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95F39" w:rsidRDefault="00E95F39" w:rsidP="00E95F39">
      <w:pPr>
        <w:jc w:val="both"/>
        <w:rPr>
          <w:b/>
          <w:bCs/>
        </w:rPr>
      </w:pPr>
      <w:r>
        <w:rPr>
          <w:rFonts w:ascii="Times New Roman" w:hAnsi="Times New Roman"/>
          <w:b/>
          <w:bCs/>
          <w:sz w:val="22"/>
        </w:rPr>
        <w:t>Chapter 1 of Calvin and the Reformed Tradition – R. A. Muller</w:t>
      </w:r>
    </w:p>
    <w:p w:rsidR="00E95F39" w:rsidRPr="00E95F39" w:rsidRDefault="00E95F39" w:rsidP="00E95F39">
      <w:pPr>
        <w:jc w:val="both"/>
        <w:rPr>
          <w:b/>
          <w:bCs/>
        </w:rPr>
      </w:pPr>
      <w:r w:rsidRPr="00E95F39">
        <w:rPr>
          <w:rFonts w:ascii="Times New Roman" w:hAnsi="Times New Roman"/>
          <w:b/>
          <w:bCs/>
          <w:sz w:val="22"/>
        </w:rPr>
        <w:t xml:space="preserve">1. </w:t>
      </w:r>
      <w:r w:rsidRPr="00E95F39">
        <w:rPr>
          <w:rFonts w:ascii="Times New Roman" w:hAnsi="Times New Roman"/>
          <w:b/>
          <w:bCs/>
          <w:sz w:val="22"/>
        </w:rPr>
        <w:t>From Reformation to Orthodoxy: The Reformed Tradition in the Early Modern Era</w:t>
      </w:r>
      <w:r>
        <w:rPr>
          <w:rFonts w:ascii="Times New Roman" w:hAnsi="Times New Roman"/>
          <w:b/>
          <w:bCs/>
          <w:sz w:val="22"/>
        </w:rPr>
        <w:t>.</w:t>
      </w:r>
    </w:p>
    <w:p w:rsidR="0052181D" w:rsidRDefault="00E95F39" w:rsidP="0052181D">
      <w:pPr>
        <w:jc w:val="both"/>
      </w:pPr>
      <w:r w:rsidRPr="00E95F39">
        <w:rPr>
          <w:rFonts w:ascii="Times New Roman" w:hAnsi="Times New Roman"/>
          <w:b/>
          <w:bCs/>
          <w:sz w:val="22"/>
        </w:rPr>
        <w:t>Approaching Reformation and Orthodoxy</w:t>
      </w:r>
      <w:r>
        <w:rPr>
          <w:rFonts w:ascii="Times New Roman" w:hAnsi="Times New Roman"/>
          <w:b/>
          <w:bCs/>
          <w:sz w:val="22"/>
        </w:rPr>
        <w:t xml:space="preserve">. </w:t>
      </w:r>
      <w:r>
        <w:rPr>
          <w:rFonts w:ascii="Times New Roman" w:hAnsi="Times New Roman"/>
          <w:sz w:val="22"/>
        </w:rPr>
        <w:t xml:space="preserve">The rise of the institutional form of Protestantism marked the development of the Reformed Tradition, which is characterized by its complexity rather than reliance on a single theologian. This tradition did not emerge </w:t>
      </w:r>
      <w:r w:rsidRPr="00E95F39">
        <w:rPr>
          <w:rFonts w:ascii="Times New Roman" w:hAnsi="Times New Roman"/>
          <w:i/>
          <w:iCs/>
          <w:sz w:val="22"/>
        </w:rPr>
        <w:t>ex nihilo</w:t>
      </w:r>
      <w:r>
        <w:rPr>
          <w:rFonts w:ascii="Times New Roman" w:hAnsi="Times New Roman"/>
          <w:sz w:val="22"/>
        </w:rPr>
        <w:t>, nor can it be fully understood by solely analyzing debates with Rome, Lutherans, or Arminians. Its roots trace back to the late Middle Ages and draw from older church traditions. Reformation theologians did not operate in isolation from their predecessors, and differences among reformers, such as Beza and Calvin, represent nuances rather than separate traditions.</w:t>
      </w:r>
      <w:r>
        <w:rPr>
          <w:rFonts w:ascii="Times New Roman" w:hAnsi="Times New Roman"/>
          <w:sz w:val="22"/>
        </w:rPr>
        <w:t xml:space="preserve"> </w:t>
      </w:r>
      <w:r w:rsidRPr="00E95F39">
        <w:rPr>
          <w:rFonts w:ascii="Times New Roman" w:hAnsi="Times New Roman"/>
          <w:b/>
          <w:bCs/>
          <w:sz w:val="22"/>
        </w:rPr>
        <w:t>Understanding Reformation as Intellectual History</w:t>
      </w:r>
      <w:r>
        <w:rPr>
          <w:rFonts w:ascii="Times New Roman" w:hAnsi="Times New Roman"/>
          <w:b/>
          <w:bCs/>
          <w:sz w:val="22"/>
        </w:rPr>
        <w:t xml:space="preserve">. </w:t>
      </w:r>
      <w:r>
        <w:rPr>
          <w:rFonts w:ascii="Times New Roman" w:hAnsi="Times New Roman"/>
          <w:sz w:val="22"/>
        </w:rPr>
        <w:t xml:space="preserve">Viewing the Reformation through the lens of intellectual history rather than dogmatics reveals that the periodization of early, high, and late orthodoxy in the Reformed Tradition is gradual and nuanced. Recent scholarship focuses more on scholasticism, humanism, and newly uncovered documents, showcasing both continuities and diversities within the tradition. </w:t>
      </w:r>
      <w:r w:rsidRPr="00E95F39">
        <w:rPr>
          <w:rFonts w:ascii="Times New Roman" w:hAnsi="Times New Roman"/>
          <w:b/>
          <w:bCs/>
          <w:sz w:val="22"/>
        </w:rPr>
        <w:t>Critiques of Older Approaches</w:t>
      </w:r>
      <w:r>
        <w:rPr>
          <w:rFonts w:ascii="Times New Roman" w:hAnsi="Times New Roman"/>
          <w:b/>
          <w:bCs/>
          <w:sz w:val="22"/>
        </w:rPr>
        <w:t xml:space="preserve">. </w:t>
      </w:r>
      <w:r>
        <w:rPr>
          <w:rFonts w:ascii="Times New Roman" w:hAnsi="Times New Roman"/>
          <w:sz w:val="22"/>
        </w:rPr>
        <w:t>Older interpretations often depicted a stark discontinuity between the Middle Ages and the Reformation, highlighting a shift from Aristotle to rationalism and humanism. Several Calvin-centered narratives emerged, including Schweizer’s focus on predestination, Heppe’s on the covenant, and the neo-orthodox emphasis on Christology. These approaches are seen as reductionistic, assuming a radical break that did not fully occur.</w:t>
      </w:r>
      <w:r>
        <w:rPr>
          <w:rFonts w:ascii="Times New Roman" w:hAnsi="Times New Roman"/>
          <w:sz w:val="22"/>
        </w:rPr>
        <w:t xml:space="preserve"> </w:t>
      </w:r>
      <w:r w:rsidRPr="00E95F39">
        <w:rPr>
          <w:rFonts w:ascii="Times New Roman" w:hAnsi="Times New Roman"/>
          <w:b/>
          <w:bCs/>
          <w:sz w:val="22"/>
        </w:rPr>
        <w:t>Parallel Growth of Humanism and Scholasticism</w:t>
      </w:r>
      <w:r>
        <w:rPr>
          <w:rFonts w:ascii="Times New Roman" w:hAnsi="Times New Roman"/>
          <w:b/>
          <w:bCs/>
          <w:sz w:val="22"/>
        </w:rPr>
        <w:t xml:space="preserve">. </w:t>
      </w:r>
      <w:r>
        <w:rPr>
          <w:rFonts w:ascii="Times New Roman" w:hAnsi="Times New Roman"/>
          <w:sz w:val="22"/>
        </w:rPr>
        <w:t>Humanism rose alongside scholasticism within universities. Reformers such as Luther, Vermigli, and Calvin had medieval educational backgrounds, with Luther influenced by nominalism, Vermigli by Thomist/Augustinianism, and Calvin by Clairvaux, Scotism, and Augustinianism. They maintained a scholastic method, engaging in discussion and debate without deference to a single "Great thinker," downplaying Calvin's supremacy.</w:t>
      </w:r>
      <w:r>
        <w:rPr>
          <w:rFonts w:ascii="Times New Roman" w:hAnsi="Times New Roman"/>
          <w:sz w:val="22"/>
        </w:rPr>
        <w:t xml:space="preserve"> </w:t>
      </w:r>
      <w:r w:rsidRPr="00E95F39">
        <w:rPr>
          <w:rFonts w:ascii="Times New Roman" w:hAnsi="Times New Roman"/>
          <w:b/>
          <w:bCs/>
          <w:sz w:val="22"/>
        </w:rPr>
        <w:t>Embracing Complexity in the Reformed Tradition</w:t>
      </w:r>
      <w:r>
        <w:rPr>
          <w:rFonts w:ascii="Times New Roman" w:hAnsi="Times New Roman"/>
          <w:b/>
          <w:bCs/>
          <w:sz w:val="22"/>
        </w:rPr>
        <w:t xml:space="preserve">. </w:t>
      </w:r>
      <w:r>
        <w:rPr>
          <w:rFonts w:ascii="Times New Roman" w:hAnsi="Times New Roman"/>
          <w:sz w:val="22"/>
        </w:rPr>
        <w:t>Calvinists regarded Calvin as one among many Reformers rather than a founder or normative figure. The article argues for moving beyond master narratives to appreciate the Reformed Tradition’s diverse and interconnected development.</w:t>
      </w:r>
      <w:r w:rsidR="0052181D">
        <w:rPr>
          <w:rFonts w:ascii="Times New Roman" w:hAnsi="Times New Roman"/>
          <w:sz w:val="22"/>
        </w:rPr>
        <w:t xml:space="preserve"> </w:t>
      </w:r>
    </w:p>
    <w:p w:rsidR="0052181D" w:rsidRPr="0052181D" w:rsidRDefault="0052181D" w:rsidP="0052181D">
      <w:pPr>
        <w:jc w:val="both"/>
        <w:rPr>
          <w:b/>
          <w:bCs/>
        </w:rPr>
      </w:pPr>
      <w:r w:rsidRPr="0052181D">
        <w:rPr>
          <w:rFonts w:ascii="Times New Roman" w:hAnsi="Times New Roman"/>
          <w:b/>
          <w:bCs/>
          <w:sz w:val="22"/>
        </w:rPr>
        <w:t>Method and Content</w:t>
      </w:r>
      <w:r>
        <w:rPr>
          <w:rFonts w:ascii="Times New Roman" w:hAnsi="Times New Roman"/>
          <w:b/>
          <w:bCs/>
          <w:sz w:val="22"/>
        </w:rPr>
        <w:t>.</w:t>
      </w:r>
    </w:p>
    <w:p w:rsidR="0052181D" w:rsidRDefault="0052181D" w:rsidP="0052181D">
      <w:pPr>
        <w:jc w:val="both"/>
      </w:pPr>
      <w:r w:rsidRPr="0052181D">
        <w:rPr>
          <w:rFonts w:ascii="Times New Roman" w:hAnsi="Times New Roman"/>
          <w:b/>
          <w:bCs/>
          <w:sz w:val="22"/>
        </w:rPr>
        <w:t>Distinction Between Method and Conclusions</w:t>
      </w:r>
      <w:r>
        <w:rPr>
          <w:rFonts w:ascii="Times New Roman" w:hAnsi="Times New Roman"/>
          <w:b/>
          <w:bCs/>
          <w:sz w:val="22"/>
        </w:rPr>
        <w:t xml:space="preserve">. </w:t>
      </w:r>
      <w:r>
        <w:rPr>
          <w:rFonts w:ascii="Times New Roman" w:hAnsi="Times New Roman"/>
          <w:sz w:val="22"/>
        </w:rPr>
        <w:t xml:space="preserve">In the study of intellectual history, the distinction between scholasticism and humanism is often viewed as methodological rather than about content. The "Calvin against the Calvinists" argument claims that the intrusion of scholasticism into Protestant theology led to deductive reasoning based on Aristotelian philosophy, emphasizing metaphysical speculation, particularly about God’s will. This perspective contrasts scholasticism, which is seen as Aristotelian and </w:t>
      </w:r>
      <w:r w:rsidRPr="0052181D">
        <w:rPr>
          <w:rFonts w:ascii="Times New Roman" w:hAnsi="Times New Roman"/>
          <w:i/>
          <w:iCs/>
          <w:sz w:val="22"/>
        </w:rPr>
        <w:t>a priori</w:t>
      </w:r>
      <w:r>
        <w:rPr>
          <w:rFonts w:ascii="Times New Roman" w:hAnsi="Times New Roman"/>
          <w:sz w:val="22"/>
        </w:rPr>
        <w:t xml:space="preserve">, with humanism, depicted as anti-Aristotelian and </w:t>
      </w:r>
      <w:r w:rsidRPr="0052181D">
        <w:rPr>
          <w:rFonts w:ascii="Times New Roman" w:hAnsi="Times New Roman"/>
          <w:i/>
          <w:iCs/>
          <w:sz w:val="22"/>
        </w:rPr>
        <w:t>a posteriori</w:t>
      </w:r>
      <w:r>
        <w:rPr>
          <w:rFonts w:ascii="Times New Roman" w:hAnsi="Times New Roman"/>
          <w:sz w:val="22"/>
        </w:rPr>
        <w:t>.</w:t>
      </w:r>
      <w:r>
        <w:rPr>
          <w:rFonts w:ascii="Times New Roman" w:hAnsi="Times New Roman"/>
          <w:sz w:val="22"/>
        </w:rPr>
        <w:t xml:space="preserve"> </w:t>
      </w:r>
      <w:r w:rsidRPr="0052181D">
        <w:rPr>
          <w:rFonts w:ascii="Times New Roman" w:hAnsi="Times New Roman"/>
          <w:b/>
          <w:bCs/>
          <w:sz w:val="22"/>
        </w:rPr>
        <w:t>Problems with the Scholasticism vs. Humanism Approach</w:t>
      </w:r>
      <w:r>
        <w:rPr>
          <w:rFonts w:ascii="Times New Roman" w:hAnsi="Times New Roman"/>
          <w:b/>
          <w:bCs/>
          <w:sz w:val="22"/>
        </w:rPr>
        <w:t xml:space="preserve">. </w:t>
      </w:r>
      <w:r>
        <w:rPr>
          <w:rFonts w:ascii="Times New Roman" w:hAnsi="Times New Roman"/>
          <w:sz w:val="22"/>
        </w:rPr>
        <w:t>The binary separation between scholasticism and humanism is flawed, as they developed in parallel, demonstrated by Calvin and other reformed writers who engaged in both oratory and disputations. Methods should not be isolated from content, and previous characterizations contain countless exceptions, such as humanist determinism and scholastic synergism.</w:t>
      </w:r>
      <w:r>
        <w:rPr>
          <w:rFonts w:ascii="Times New Roman" w:hAnsi="Times New Roman"/>
          <w:sz w:val="22"/>
        </w:rPr>
        <w:t xml:space="preserve"> </w:t>
      </w:r>
      <w:r w:rsidRPr="0052181D">
        <w:rPr>
          <w:rFonts w:ascii="Times New Roman" w:hAnsi="Times New Roman"/>
          <w:b/>
          <w:bCs/>
          <w:sz w:val="22"/>
        </w:rPr>
        <w:t>Content Matters</w:t>
      </w:r>
      <w:r>
        <w:rPr>
          <w:rFonts w:ascii="Times New Roman" w:hAnsi="Times New Roman"/>
          <w:b/>
          <w:bCs/>
          <w:sz w:val="22"/>
        </w:rPr>
        <w:t xml:space="preserve">. </w:t>
      </w:r>
      <w:r>
        <w:rPr>
          <w:rFonts w:ascii="Times New Roman" w:hAnsi="Times New Roman"/>
          <w:sz w:val="22"/>
        </w:rPr>
        <w:t>In scholasticism, emphasis is placed on references to Scripture and Church Fathers, medieval theologians, and philosophers, showcasing a broad range of sources and disputations. It employed a thetical approach where distinctions explained opposing arguments. Humanism, on the other hand, leaned toward discursive, rhetoric-driven persuasion rather than strict logical demonstration.</w:t>
      </w:r>
      <w:r>
        <w:rPr>
          <w:rFonts w:ascii="Times New Roman" w:hAnsi="Times New Roman"/>
          <w:sz w:val="22"/>
        </w:rPr>
        <w:t xml:space="preserve"> </w:t>
      </w:r>
    </w:p>
    <w:p w:rsidR="0052181D" w:rsidRDefault="0052181D" w:rsidP="0052181D">
      <w:pPr>
        <w:jc w:val="both"/>
        <w:rPr>
          <w:b/>
          <w:bCs/>
        </w:rPr>
      </w:pPr>
      <w:r w:rsidRPr="0052181D">
        <w:rPr>
          <w:rFonts w:ascii="Times New Roman" w:hAnsi="Times New Roman"/>
          <w:b/>
          <w:bCs/>
          <w:sz w:val="22"/>
        </w:rPr>
        <w:t>Toward a Contextualized Intellectual History of Reformed Protestantism</w:t>
      </w:r>
      <w:r>
        <w:rPr>
          <w:rFonts w:ascii="Times New Roman" w:hAnsi="Times New Roman"/>
          <w:b/>
          <w:bCs/>
          <w:sz w:val="22"/>
        </w:rPr>
        <w:t xml:space="preserve">. </w:t>
      </w:r>
    </w:p>
    <w:p w:rsidR="0052181D" w:rsidRDefault="0052181D" w:rsidP="0052181D">
      <w:pPr>
        <w:jc w:val="both"/>
      </w:pPr>
      <w:r w:rsidRPr="0052181D">
        <w:rPr>
          <w:rFonts w:ascii="Times New Roman" w:hAnsi="Times New Roman"/>
          <w:b/>
          <w:bCs/>
          <w:sz w:val="22"/>
        </w:rPr>
        <w:t>Muller's Thesis on Continuity</w:t>
      </w:r>
      <w:r>
        <w:rPr>
          <w:rFonts w:ascii="Times New Roman" w:hAnsi="Times New Roman"/>
          <w:b/>
          <w:bCs/>
          <w:sz w:val="22"/>
        </w:rPr>
        <w:t xml:space="preserve">. </w:t>
      </w:r>
      <w:r>
        <w:rPr>
          <w:rFonts w:ascii="Times New Roman" w:hAnsi="Times New Roman"/>
          <w:sz w:val="22"/>
        </w:rPr>
        <w:t>Muller's thesis that emphasizes continuity in Reformed thought is considered reductionistic and oversimplified, overlooking changes and developments. Calvin should not be seen as the Great Thinker or leader of Reformed theology. Reformed traditions must be understood contextually, considering ecclesial and confessional backgrounds, predecessors, contemporaries, and subsequent interpretations.</w:t>
      </w:r>
      <w:r>
        <w:rPr>
          <w:rFonts w:ascii="Times New Roman" w:hAnsi="Times New Roman"/>
          <w:sz w:val="22"/>
        </w:rPr>
        <w:t xml:space="preserve"> </w:t>
      </w:r>
      <w:r w:rsidRPr="0052181D">
        <w:rPr>
          <w:rFonts w:ascii="Times New Roman" w:hAnsi="Times New Roman"/>
          <w:b/>
          <w:bCs/>
          <w:sz w:val="22"/>
        </w:rPr>
        <w:t>Calvin Interpretations and Reformed Thought</w:t>
      </w:r>
      <w:r>
        <w:rPr>
          <w:rFonts w:ascii="Times New Roman" w:hAnsi="Times New Roman"/>
          <w:b/>
          <w:bCs/>
          <w:sz w:val="22"/>
        </w:rPr>
        <w:t xml:space="preserve">. </w:t>
      </w:r>
      <w:r>
        <w:rPr>
          <w:rFonts w:ascii="Times New Roman" w:hAnsi="Times New Roman"/>
          <w:sz w:val="22"/>
        </w:rPr>
        <w:t>Examples of isolated readings of Calvin include the notion of grace preceding the law, which was later interpreted as legalistic, and the idea of union with Christ as his central dogma. In response to "Calvin against the Calvinists," it's argued that Calvin was not the sole founder of Reformed thought, and the tradition cannot be narrowly defined as Calvinistic.</w:t>
      </w:r>
      <w:r>
        <w:rPr>
          <w:rFonts w:ascii="Times New Roman" w:hAnsi="Times New Roman"/>
          <w:sz w:val="22"/>
        </w:rPr>
        <w:t xml:space="preserve"> </w:t>
      </w:r>
      <w:r w:rsidRPr="0052181D">
        <w:rPr>
          <w:rFonts w:ascii="Times New Roman" w:hAnsi="Times New Roman"/>
          <w:b/>
          <w:bCs/>
          <w:sz w:val="22"/>
        </w:rPr>
        <w:t>Complexities of Reformed Theology</w:t>
      </w:r>
      <w:r>
        <w:rPr>
          <w:rFonts w:ascii="Times New Roman" w:hAnsi="Times New Roman"/>
          <w:b/>
          <w:bCs/>
          <w:sz w:val="22"/>
        </w:rPr>
        <w:t xml:space="preserve">. </w:t>
      </w:r>
      <w:r>
        <w:rPr>
          <w:rFonts w:ascii="Times New Roman" w:hAnsi="Times New Roman"/>
          <w:sz w:val="22"/>
        </w:rPr>
        <w:t xml:space="preserve">Issues like infra- and supralapsarianism emerged in the 17th century without much precedent, and hypothetical universalism saw little influence </w:t>
      </w:r>
      <w:r>
        <w:rPr>
          <w:rFonts w:ascii="Times New Roman" w:hAnsi="Times New Roman"/>
          <w:sz w:val="22"/>
        </w:rPr>
        <w:lastRenderedPageBreak/>
        <w:t>from Calvin. The later tradition, rather than Calvin, clarified gracious predestination, avoiding determinism. Muller's reassessment suggests that Reformed thought is a diverse and complex tradition.</w:t>
      </w:r>
      <w:r>
        <w:rPr>
          <w:rFonts w:ascii="Times New Roman" w:hAnsi="Times New Roman"/>
          <w:sz w:val="22"/>
        </w:rPr>
        <w:t xml:space="preserve"> </w:t>
      </w:r>
      <w:r w:rsidRPr="0052181D">
        <w:rPr>
          <w:rFonts w:ascii="Times New Roman" w:hAnsi="Times New Roman"/>
          <w:b/>
          <w:bCs/>
          <w:sz w:val="22"/>
        </w:rPr>
        <w:t>An Overview of the Study</w:t>
      </w:r>
      <w:r>
        <w:rPr>
          <w:rFonts w:ascii="Times New Roman" w:hAnsi="Times New Roman"/>
          <w:b/>
          <w:bCs/>
          <w:sz w:val="22"/>
        </w:rPr>
        <w:t xml:space="preserve">. </w:t>
      </w:r>
      <w:r>
        <w:rPr>
          <w:rFonts w:ascii="Times New Roman" w:hAnsi="Times New Roman"/>
          <w:sz w:val="22"/>
        </w:rPr>
        <w:t>"Calvinism" is approached as a methodological issue, and using terms like "TULIP" is seen as anachronistic. Understanding the Reformed tradition requires a nuanced view of its methods and historical context.</w:t>
      </w:r>
    </w:p>
    <w:sectPr w:rsidR="0052181D">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MulRA</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Calvin and the Reformed Tradition (Chapter 1)</w:t>
      <w:tab/>
      <w:t>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F39"/>
    <w:rsid w:val="00282F99"/>
    <w:rsid w:val="0052181D"/>
    <w:rsid w:val="00A57F40"/>
    <w:rsid w:val="00AA008D"/>
    <w:rsid w:val="00DE2625"/>
    <w:rsid w:val="00E9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A1BD9A"/>
  <w15:chartTrackingRefBased/>
  <w15:docId w15:val="{FBFFF361-B64F-6244-AFC4-51BA12A67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5F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796</Words>
  <Characters>4543</Characters>
  <Application>Microsoft Office Word</Application>
  <DocSecurity>0</DocSecurity>
  <Lines>37</Lines>
  <Paragraphs>10</Paragraphs>
  <ScaleCrop>false</ScaleCrop>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2024-11-20T18:42:00Z</dcterms:created>
  <dcterms:modified xsi:type="dcterms:W3CDTF">2024-11-20T18:49:00Z</dcterms:modified>
</cp:coreProperties>
</file>