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A008D" w:rsidRPr="006C49F7" w:rsidRDefault="006C49F7" w:rsidP="006C49F7">
      <w:pPr>
        <w:jc w:val="both"/>
        <w:rPr>
          <w:b/>
          <w:bCs/>
        </w:rPr>
      </w:pPr>
      <w:r w:rsidRPr="006C49F7">
        <w:rPr>
          <w:rFonts w:ascii="Times New Roman" w:hAnsi="Times New Roman"/>
          <w:b/>
          <w:bCs/>
          <w:sz w:val="22"/>
        </w:rPr>
        <w:t xml:space="preserve">Chapter 2 and 4 in </w:t>
      </w:r>
      <w:r w:rsidRPr="006C49F7">
        <w:rPr>
          <w:rFonts w:ascii="Times New Roman" w:hAnsi="Times New Roman"/>
          <w:b/>
          <w:bCs/>
          <w:i/>
          <w:iCs/>
          <w:sz w:val="22"/>
        </w:rPr>
        <w:t>The Unaccomodated Calvin</w:t>
      </w:r>
      <w:r w:rsidRPr="006C49F7">
        <w:rPr>
          <w:rFonts w:ascii="Times New Roman" w:hAnsi="Times New Roman"/>
          <w:b/>
          <w:bCs/>
          <w:sz w:val="22"/>
        </w:rPr>
        <w:t xml:space="preserve"> – R. A. Muller</w:t>
      </w:r>
    </w:p>
    <w:p w:rsidR="006C49F7" w:rsidRPr="006C49F7" w:rsidRDefault="006C49F7" w:rsidP="006C49F7">
      <w:pPr>
        <w:jc w:val="both"/>
        <w:rPr>
          <w:b/>
          <w:bCs/>
        </w:rPr>
      </w:pPr>
      <w:r w:rsidRPr="006C49F7">
        <w:rPr>
          <w:rFonts w:ascii="Times New Roman" w:hAnsi="Times New Roman"/>
          <w:b/>
          <w:bCs/>
          <w:sz w:val="22"/>
        </w:rPr>
        <w:t xml:space="preserve">2. </w:t>
      </w:r>
      <w:r w:rsidRPr="006C49F7">
        <w:rPr>
          <w:rFonts w:ascii="Times New Roman" w:hAnsi="Times New Roman"/>
          <w:b/>
          <w:bCs/>
          <w:sz w:val="22"/>
        </w:rPr>
        <w:t>Of Prefaces, "Arguments," and Letters to the Reader</w:t>
      </w:r>
      <w:r>
        <w:rPr>
          <w:rFonts w:ascii="Times New Roman" w:hAnsi="Times New Roman"/>
          <w:b/>
          <w:bCs/>
          <w:sz w:val="22"/>
        </w:rPr>
        <w:t xml:space="preserve"> (19-38).</w:t>
      </w:r>
    </w:p>
    <w:p w:rsidR="006C49F7" w:rsidRDefault="006C49F7" w:rsidP="006C49F7">
      <w:pPr>
        <w:jc w:val="both"/>
      </w:pPr>
      <w:r w:rsidRPr="006C49F7">
        <w:rPr>
          <w:rFonts w:ascii="Times New Roman" w:hAnsi="Times New Roman"/>
          <w:b/>
          <w:bCs/>
          <w:sz w:val="22"/>
        </w:rPr>
        <w:t>Calvin's Autobiographical Insights</w:t>
      </w:r>
      <w:r>
        <w:rPr>
          <w:rFonts w:ascii="Times New Roman" w:hAnsi="Times New Roman"/>
          <w:b/>
          <w:bCs/>
          <w:sz w:val="22"/>
        </w:rPr>
        <w:t xml:space="preserve">. </w:t>
      </w:r>
      <w:r>
        <w:rPr>
          <w:rFonts w:ascii="Times New Roman" w:hAnsi="Times New Roman"/>
          <w:sz w:val="22"/>
        </w:rPr>
        <w:t xml:space="preserve">Unlike Luther, we have limited autobiographical details about Calvin. This scarcity arises because, in the 16th century, people did not prioritize the individual's ego or psyche as the primary source of meaning. To understand Calvin, we rely on his letters, prefaces, and </w:t>
      </w:r>
      <w:r w:rsidRPr="006C49F7">
        <w:rPr>
          <w:rFonts w:ascii="Times New Roman" w:hAnsi="Times New Roman"/>
          <w:i/>
          <w:iCs/>
          <w:sz w:val="22"/>
        </w:rPr>
        <w:t>Arguments</w:t>
      </w:r>
      <w:r>
        <w:rPr>
          <w:rFonts w:ascii="Times New Roman" w:hAnsi="Times New Roman"/>
          <w:sz w:val="22"/>
        </w:rPr>
        <w:t>.</w:t>
      </w:r>
      <w:r>
        <w:rPr>
          <w:rFonts w:ascii="Times New Roman" w:hAnsi="Times New Roman"/>
          <w:sz w:val="22"/>
        </w:rPr>
        <w:t xml:space="preserve"> </w:t>
      </w:r>
      <w:r w:rsidRPr="006C49F7">
        <w:rPr>
          <w:rFonts w:ascii="Times New Roman" w:hAnsi="Times New Roman"/>
          <w:b/>
          <w:bCs/>
          <w:sz w:val="22"/>
        </w:rPr>
        <w:t xml:space="preserve"> From Paris and Basel to Geneva: Letters and Prefaces of 1532-1536</w:t>
      </w:r>
      <w:r>
        <w:rPr>
          <w:rFonts w:ascii="Times New Roman" w:hAnsi="Times New Roman"/>
          <w:b/>
          <w:bCs/>
          <w:sz w:val="22"/>
        </w:rPr>
        <w:t xml:space="preserve">. </w:t>
      </w:r>
      <w:r>
        <w:rPr>
          <w:rFonts w:ascii="Times New Roman" w:hAnsi="Times New Roman"/>
          <w:sz w:val="22"/>
        </w:rPr>
        <w:t xml:space="preserve">In his commentary on Seneca's </w:t>
      </w:r>
      <w:r w:rsidRPr="006C49F7">
        <w:rPr>
          <w:rFonts w:ascii="Times New Roman" w:hAnsi="Times New Roman"/>
          <w:i/>
          <w:iCs/>
          <w:sz w:val="22"/>
        </w:rPr>
        <w:t>De Clementia</w:t>
      </w:r>
      <w:r>
        <w:rPr>
          <w:rFonts w:ascii="Times New Roman" w:hAnsi="Times New Roman"/>
          <w:sz w:val="22"/>
        </w:rPr>
        <w:t xml:space="preserve">, Calvin praises simplicity and criticizes excessive verbosity and lack of organization. He prefers gathering topics before establishing a method. In his </w:t>
      </w:r>
      <w:r w:rsidRPr="006C49F7">
        <w:rPr>
          <w:rFonts w:ascii="Times New Roman" w:hAnsi="Times New Roman"/>
          <w:i/>
          <w:iCs/>
          <w:sz w:val="22"/>
        </w:rPr>
        <w:t>Letter to All Those Who Love Jesus Christ</w:t>
      </w:r>
      <w:r>
        <w:rPr>
          <w:rFonts w:ascii="Times New Roman" w:hAnsi="Times New Roman"/>
          <w:sz w:val="22"/>
        </w:rPr>
        <w:t xml:space="preserve">, a preface to Olivetan’s New Testament, he follows the order of Romans. His </w:t>
      </w:r>
      <w:r w:rsidRPr="006C49F7">
        <w:rPr>
          <w:rFonts w:ascii="Times New Roman" w:hAnsi="Times New Roman"/>
          <w:i/>
          <w:iCs/>
          <w:sz w:val="22"/>
        </w:rPr>
        <w:t>Letter to Francis I</w:t>
      </w:r>
      <w:r>
        <w:rPr>
          <w:rFonts w:ascii="Times New Roman" w:hAnsi="Times New Roman"/>
          <w:sz w:val="22"/>
        </w:rPr>
        <w:t xml:space="preserve"> for the first edition of the </w:t>
      </w:r>
      <w:r w:rsidRPr="006C49F7">
        <w:rPr>
          <w:rFonts w:ascii="Times New Roman" w:hAnsi="Times New Roman"/>
          <w:i/>
          <w:iCs/>
          <w:sz w:val="22"/>
        </w:rPr>
        <w:t>Institutes</w:t>
      </w:r>
      <w:r>
        <w:rPr>
          <w:rFonts w:ascii="Times New Roman" w:hAnsi="Times New Roman"/>
          <w:sz w:val="22"/>
        </w:rPr>
        <w:t xml:space="preserve"> serves both apologetic and instructional purposes, moving beyond a typical catechism to elaborate exposition. In his </w:t>
      </w:r>
      <w:r w:rsidRPr="006C49F7">
        <w:rPr>
          <w:rFonts w:ascii="Times New Roman" w:hAnsi="Times New Roman"/>
          <w:i/>
          <w:iCs/>
          <w:sz w:val="22"/>
        </w:rPr>
        <w:t>Preface to the Commentary upon the Psalms</w:t>
      </w:r>
      <w:r>
        <w:rPr>
          <w:rFonts w:ascii="Times New Roman" w:hAnsi="Times New Roman"/>
          <w:sz w:val="22"/>
        </w:rPr>
        <w:t>, Calvin discusses his exile and aims to defend the truth, vindicate the Reformation, and ask for compassion—not for fame.</w:t>
      </w:r>
      <w:r w:rsidRPr="006C49F7">
        <w:rPr>
          <w:rFonts w:ascii="Times New Roman" w:hAnsi="Times New Roman"/>
          <w:b/>
          <w:bCs/>
          <w:sz w:val="22"/>
        </w:rPr>
        <w:t xml:space="preserve"> Prefaces and Argumenta, 1538-41: Strasbourg and the Inception of a Program</w:t>
      </w:r>
      <w:r>
        <w:rPr>
          <w:rFonts w:ascii="Times New Roman" w:hAnsi="Times New Roman"/>
          <w:b/>
          <w:bCs/>
          <w:sz w:val="22"/>
        </w:rPr>
        <w:t xml:space="preserve">. </w:t>
      </w:r>
      <w:r>
        <w:rPr>
          <w:rFonts w:ascii="Times New Roman" w:hAnsi="Times New Roman"/>
          <w:sz w:val="22"/>
        </w:rPr>
        <w:t>Calvin pursued a continuous, straightforward exposition in his commentaries, avoiding complex logical devices, in contrast to Melanchthon. Instead, he reserved such methods for the "Institutes," emphasizing the need for a clear path in theological instruction. The "Argumentum" at the beginning of his homiletical exposition on Romans illustrates his integration of theological topics with meaningful contemporary discussions, forming a foundational theological guide. While commentaries emphasized brevity and simplicity, sermons allowed for extended oratory, focusing on persuasion.</w:t>
      </w:r>
      <w:r>
        <w:rPr>
          <w:rFonts w:ascii="Times New Roman" w:hAnsi="Times New Roman"/>
          <w:sz w:val="22"/>
        </w:rPr>
        <w:t xml:space="preserve"> </w:t>
      </w:r>
      <w:r w:rsidRPr="006C49F7">
        <w:rPr>
          <w:rFonts w:ascii="Times New Roman" w:hAnsi="Times New Roman"/>
          <w:b/>
          <w:bCs/>
          <w:sz w:val="22"/>
        </w:rPr>
        <w:t>In Geneva, 1541-1559: The Implementation of Calvin's Design</w:t>
      </w:r>
      <w:r>
        <w:rPr>
          <w:rFonts w:ascii="Times New Roman" w:hAnsi="Times New Roman"/>
          <w:b/>
          <w:bCs/>
          <w:sz w:val="22"/>
        </w:rPr>
        <w:t xml:space="preserve">. </w:t>
      </w:r>
      <w:r>
        <w:rPr>
          <w:rFonts w:ascii="Times New Roman" w:hAnsi="Times New Roman"/>
          <w:sz w:val="22"/>
        </w:rPr>
        <w:t>In Geneva, Calvin’s commentaries strictly adhered to</w:t>
      </w:r>
      <w:r>
        <w:rPr>
          <w:rFonts w:ascii="Times New Roman" w:hAnsi="Times New Roman"/>
          <w:sz w:val="22"/>
        </w:rPr>
        <w:t xml:space="preserve"> the order of</w:t>
      </w:r>
      <w:r>
        <w:rPr>
          <w:rFonts w:ascii="Times New Roman" w:hAnsi="Times New Roman"/>
          <w:sz w:val="22"/>
        </w:rPr>
        <w:t xml:space="preserve"> the text, </w:t>
      </w:r>
      <w:r>
        <w:rPr>
          <w:rFonts w:ascii="Times New Roman" w:hAnsi="Times New Roman"/>
          <w:sz w:val="22"/>
        </w:rPr>
        <w:t>rather than developing</w:t>
      </w:r>
      <w:r>
        <w:rPr>
          <w:rFonts w:ascii="Times New Roman" w:hAnsi="Times New Roman"/>
          <w:sz w:val="22"/>
        </w:rPr>
        <w:t xml:space="preserve"> isolated </w:t>
      </w:r>
      <w:r w:rsidRPr="008E0F3A">
        <w:rPr>
          <w:rFonts w:ascii="Times New Roman" w:hAnsi="Times New Roman"/>
          <w:i/>
          <w:iCs/>
          <w:sz w:val="22"/>
        </w:rPr>
        <w:t>loci</w:t>
      </w:r>
      <w:r>
        <w:rPr>
          <w:rFonts w:ascii="Times New Roman" w:hAnsi="Times New Roman"/>
          <w:sz w:val="22"/>
        </w:rPr>
        <w:t xml:space="preserve">. He recommended reading the Gospel of John first to understand the Incarnation's purpose, followed by Matthew and others. The Psalms served for church edification, encompassing prayer, worship, and Christian life. </w:t>
      </w:r>
      <w:r w:rsidRPr="006C49F7">
        <w:rPr>
          <w:rFonts w:ascii="Times New Roman" w:hAnsi="Times New Roman"/>
          <w:b/>
          <w:bCs/>
          <w:sz w:val="22"/>
        </w:rPr>
        <w:t>Prefaces, Letters, and Argumenta, 1559-1564: Refinements and Modification</w:t>
      </w:r>
      <w:r>
        <w:rPr>
          <w:rFonts w:ascii="Times New Roman" w:hAnsi="Times New Roman"/>
          <w:b/>
          <w:bCs/>
          <w:sz w:val="22"/>
        </w:rPr>
        <w:t xml:space="preserve">. </w:t>
      </w:r>
      <w:r>
        <w:rPr>
          <w:rFonts w:ascii="Times New Roman" w:hAnsi="Times New Roman"/>
          <w:sz w:val="22"/>
        </w:rPr>
        <w:t xml:space="preserve">Calvin enriched the "Institutes" with additions and revised the order from catechetical to dogmatic intent. His absence from France allowed him to focus on study. Works like </w:t>
      </w:r>
      <w:r w:rsidRPr="006C49F7">
        <w:rPr>
          <w:rFonts w:ascii="Times New Roman" w:hAnsi="Times New Roman"/>
          <w:i/>
          <w:iCs/>
          <w:sz w:val="22"/>
        </w:rPr>
        <w:t>Harmony of the Evangelists</w:t>
      </w:r>
      <w:r>
        <w:rPr>
          <w:rFonts w:ascii="Times New Roman" w:hAnsi="Times New Roman"/>
          <w:sz w:val="22"/>
        </w:rPr>
        <w:t xml:space="preserve"> and </w:t>
      </w:r>
      <w:r w:rsidRPr="006C49F7">
        <w:rPr>
          <w:rFonts w:ascii="Times New Roman" w:hAnsi="Times New Roman"/>
          <w:i/>
          <w:iCs/>
          <w:sz w:val="22"/>
        </w:rPr>
        <w:t>Harmony of the Four Last Books of Moses</w:t>
      </w:r>
      <w:r>
        <w:rPr>
          <w:rFonts w:ascii="Times New Roman" w:hAnsi="Times New Roman"/>
          <w:sz w:val="22"/>
        </w:rPr>
        <w:t xml:space="preserve"> illustrate his structured approach, balancing historical narrative and doctrinal teaching with a distinct method and order.</w:t>
      </w:r>
      <w:r>
        <w:rPr>
          <w:rFonts w:ascii="Times New Roman" w:hAnsi="Times New Roman"/>
          <w:sz w:val="22"/>
        </w:rPr>
        <w:t xml:space="preserve"> </w:t>
      </w:r>
    </w:p>
    <w:p w:rsidR="006C49F7" w:rsidRDefault="006C49F7" w:rsidP="006C49F7">
      <w:pPr>
        <w:jc w:val="both"/>
      </w:pPr>
    </w:p>
    <w:p w:rsidR="008E0F3A" w:rsidRPr="008E0F3A" w:rsidRDefault="008E0F3A" w:rsidP="008E0F3A">
      <w:pPr>
        <w:jc w:val="both"/>
        <w:rPr>
          <w:b/>
          <w:bCs/>
        </w:rPr>
      </w:pPr>
      <w:r>
        <w:rPr>
          <w:rFonts w:ascii="Times New Roman" w:hAnsi="Times New Roman"/>
          <w:b/>
          <w:bCs/>
          <w:sz w:val="22"/>
        </w:rPr>
        <w:t xml:space="preserve">4. </w:t>
      </w:r>
      <w:r w:rsidRPr="008E0F3A">
        <w:rPr>
          <w:rFonts w:ascii="Times New Roman" w:hAnsi="Times New Roman"/>
          <w:b/>
          <w:bCs/>
          <w:sz w:val="22"/>
        </w:rPr>
        <w:t xml:space="preserve">In the Light of Orthodoxy: The "Method and Disposition" of Calvin's </w:t>
      </w:r>
      <w:r w:rsidRPr="008E0F3A">
        <w:rPr>
          <w:rFonts w:ascii="Times New Roman" w:hAnsi="Times New Roman"/>
          <w:b/>
          <w:bCs/>
          <w:i/>
          <w:iCs/>
          <w:sz w:val="22"/>
        </w:rPr>
        <w:t>Institutio</w:t>
      </w:r>
      <w:r w:rsidRPr="008E0F3A">
        <w:rPr>
          <w:rFonts w:ascii="Times New Roman" w:hAnsi="Times New Roman"/>
          <w:b/>
          <w:bCs/>
          <w:sz w:val="22"/>
        </w:rPr>
        <w:t xml:space="preserve"> from the Perspective of Calvin's Late-Sixteenth-Century Editors</w:t>
      </w:r>
      <w:r>
        <w:rPr>
          <w:rFonts w:ascii="Times New Roman" w:hAnsi="Times New Roman"/>
          <w:b/>
          <w:bCs/>
          <w:sz w:val="22"/>
        </w:rPr>
        <w:t xml:space="preserve"> (62-78).</w:t>
      </w:r>
    </w:p>
    <w:p w:rsidR="008E0F3A" w:rsidRDefault="008E0F3A" w:rsidP="008E0F3A">
      <w:pPr>
        <w:jc w:val="both"/>
      </w:pPr>
      <w:r w:rsidRPr="008E0F3A">
        <w:rPr>
          <w:rFonts w:ascii="Times New Roman" w:hAnsi="Times New Roman"/>
          <w:b/>
          <w:bCs/>
          <w:sz w:val="22"/>
        </w:rPr>
        <w:t>Importance to Reformed Theology</w:t>
      </w:r>
      <w:r>
        <w:rPr>
          <w:rFonts w:ascii="Times New Roman" w:hAnsi="Times New Roman"/>
          <w:b/>
          <w:bCs/>
          <w:sz w:val="22"/>
        </w:rPr>
        <w:t xml:space="preserve">. </w:t>
      </w:r>
      <w:r>
        <w:rPr>
          <w:rFonts w:ascii="Times New Roman" w:hAnsi="Times New Roman"/>
          <w:sz w:val="22"/>
        </w:rPr>
        <w:t xml:space="preserve">Calvin's </w:t>
      </w:r>
      <w:r w:rsidRPr="008E0F3A">
        <w:rPr>
          <w:rFonts w:ascii="Times New Roman" w:hAnsi="Times New Roman"/>
          <w:i/>
          <w:iCs/>
          <w:sz w:val="22"/>
        </w:rPr>
        <w:t>Institutes</w:t>
      </w:r>
      <w:r>
        <w:rPr>
          <w:rFonts w:ascii="Times New Roman" w:hAnsi="Times New Roman"/>
          <w:sz w:val="22"/>
        </w:rPr>
        <w:t xml:space="preserve"> played a critical role in shaping later Reformed theology. The 1590 version marked the culmination of a process that developed an extensive apparatus, comprising 11 items between the title and the first book. These ranged from letters and lists of topics to comprehensive indices and summaries, most of which were discarded by editors after 1860. Muller emphasizes that the "frame" created by this apparatus was nearly as important as the text itself, situating the "Institutes" clearly within the 16th and 17th-century Reformed context.</w:t>
      </w:r>
      <w:r>
        <w:rPr>
          <w:rFonts w:ascii="Times New Roman" w:hAnsi="Times New Roman"/>
          <w:sz w:val="22"/>
        </w:rPr>
        <w:t xml:space="preserve"> </w:t>
      </w:r>
      <w:r w:rsidRPr="008E0F3A">
        <w:rPr>
          <w:rFonts w:ascii="Times New Roman" w:hAnsi="Times New Roman"/>
          <w:b/>
          <w:bCs/>
          <w:sz w:val="22"/>
        </w:rPr>
        <w:t xml:space="preserve">Development of an Apparatus for the </w:t>
      </w:r>
      <w:r w:rsidRPr="008E0F3A">
        <w:rPr>
          <w:rFonts w:ascii="Times New Roman" w:hAnsi="Times New Roman"/>
          <w:b/>
          <w:bCs/>
          <w:i/>
          <w:iCs/>
          <w:sz w:val="22"/>
        </w:rPr>
        <w:t>Institutes</w:t>
      </w:r>
      <w:r w:rsidRPr="008E0F3A">
        <w:rPr>
          <w:rFonts w:ascii="Times New Roman" w:hAnsi="Times New Roman"/>
          <w:b/>
          <w:bCs/>
          <w:sz w:val="22"/>
        </w:rPr>
        <w:t>, 1559-1667</w:t>
      </w:r>
      <w:r>
        <w:rPr>
          <w:rFonts w:ascii="Times New Roman" w:hAnsi="Times New Roman"/>
          <w:b/>
          <w:bCs/>
          <w:sz w:val="22"/>
        </w:rPr>
        <w:t xml:space="preserve">. </w:t>
      </w:r>
      <w:r>
        <w:rPr>
          <w:rFonts w:ascii="Times New Roman" w:hAnsi="Times New Roman"/>
          <w:sz w:val="22"/>
        </w:rPr>
        <w:t xml:space="preserve">The evolution of the </w:t>
      </w:r>
      <w:r w:rsidRPr="008E0F3A">
        <w:rPr>
          <w:rFonts w:ascii="Times New Roman" w:hAnsi="Times New Roman"/>
          <w:i/>
          <w:iCs/>
          <w:sz w:val="22"/>
        </w:rPr>
        <w:t>Institutes</w:t>
      </w:r>
      <w:r>
        <w:rPr>
          <w:rFonts w:ascii="Times New Roman" w:hAnsi="Times New Roman"/>
          <w:sz w:val="22"/>
        </w:rPr>
        <w:t xml:space="preserve"> included contributions by key figures:</w:t>
      </w:r>
    </w:p>
    <w:p w:rsidR="008E0F3A" w:rsidRDefault="008E0F3A" w:rsidP="008E0F3A">
      <w:pPr>
        <w:pStyle w:val="ListParagraph"/>
        <w:numPr>
          <w:ilvl w:val="0"/>
          <w:numId w:val="2"/>
        </w:numPr>
        <w:jc w:val="both"/>
      </w:pPr>
      <w:r w:rsidRPr="008E0F3A">
        <w:rPr>
          <w:rFonts w:ascii="Times New Roman" w:hAnsi="Times New Roman"/>
          <w:b/>
          <w:bCs/>
          <w:sz w:val="22"/>
        </w:rPr>
        <w:t>Nicholas Colladon (1559):</w:t>
      </w:r>
      <w:r>
        <w:rPr>
          <w:rFonts w:ascii="Times New Roman" w:hAnsi="Times New Roman"/>
          <w:sz w:val="22"/>
        </w:rPr>
        <w:t xml:space="preserve"> Added titles, an alphabetical list of main topics, and a synopsis.</w:t>
      </w:r>
    </w:p>
    <w:p w:rsidR="008E0F3A" w:rsidRDefault="008E0F3A" w:rsidP="008E0F3A">
      <w:pPr>
        <w:pStyle w:val="ListParagraph"/>
        <w:numPr>
          <w:ilvl w:val="0"/>
          <w:numId w:val="2"/>
        </w:numPr>
        <w:jc w:val="both"/>
      </w:pPr>
      <w:r w:rsidRPr="008E0F3A">
        <w:rPr>
          <w:rFonts w:ascii="Times New Roman" w:hAnsi="Times New Roman"/>
          <w:b/>
          <w:bCs/>
          <w:sz w:val="22"/>
        </w:rPr>
        <w:t>Augustine Marlorat (1562):</w:t>
      </w:r>
      <w:r>
        <w:rPr>
          <w:rFonts w:ascii="Times New Roman" w:hAnsi="Times New Roman"/>
          <w:sz w:val="22"/>
        </w:rPr>
        <w:t xml:space="preserve"> Developed exhaustive indices of Old and New Testament passages.</w:t>
      </w:r>
    </w:p>
    <w:p w:rsidR="008E0F3A" w:rsidRDefault="008E0F3A" w:rsidP="008E0F3A">
      <w:pPr>
        <w:pStyle w:val="ListParagraph"/>
        <w:numPr>
          <w:ilvl w:val="0"/>
          <w:numId w:val="2"/>
        </w:numPr>
        <w:jc w:val="both"/>
      </w:pPr>
      <w:r w:rsidRPr="008E0F3A">
        <w:rPr>
          <w:rFonts w:ascii="Times New Roman" w:hAnsi="Times New Roman"/>
          <w:b/>
          <w:bCs/>
          <w:sz w:val="22"/>
        </w:rPr>
        <w:t>Edmund Bunnie (1576, Vautrollerius edition):</w:t>
      </w:r>
      <w:r>
        <w:rPr>
          <w:rFonts w:ascii="Times New Roman" w:hAnsi="Times New Roman"/>
          <w:sz w:val="22"/>
        </w:rPr>
        <w:t xml:space="preserve"> Provided arguments and summaries of books and chapters.</w:t>
      </w:r>
    </w:p>
    <w:p w:rsidR="008E0F3A" w:rsidRDefault="008E0F3A" w:rsidP="008E0F3A">
      <w:pPr>
        <w:pStyle w:val="ListParagraph"/>
        <w:numPr>
          <w:ilvl w:val="0"/>
          <w:numId w:val="2"/>
        </w:numPr>
        <w:jc w:val="both"/>
      </w:pPr>
      <w:r w:rsidRPr="008E0F3A">
        <w:rPr>
          <w:rFonts w:ascii="Times New Roman" w:hAnsi="Times New Roman"/>
          <w:b/>
          <w:bCs/>
          <w:sz w:val="22"/>
        </w:rPr>
        <w:t>1576 Lausanne Edition:</w:t>
      </w:r>
      <w:r>
        <w:rPr>
          <w:rFonts w:ascii="Times New Roman" w:hAnsi="Times New Roman"/>
          <w:sz w:val="22"/>
        </w:rPr>
        <w:t xml:space="preserve"> Introduced subheadings and cross-references reflecting scholastic disputation.</w:t>
      </w:r>
    </w:p>
    <w:p w:rsidR="008E0F3A" w:rsidRDefault="008E0F3A" w:rsidP="008E0F3A">
      <w:pPr>
        <w:pStyle w:val="ListParagraph"/>
        <w:numPr>
          <w:ilvl w:val="0"/>
          <w:numId w:val="2"/>
        </w:numPr>
        <w:jc w:val="both"/>
      </w:pPr>
      <w:r w:rsidRPr="008E0F3A">
        <w:rPr>
          <w:rFonts w:ascii="Times New Roman" w:hAnsi="Times New Roman"/>
          <w:b/>
          <w:bCs/>
          <w:sz w:val="22"/>
        </w:rPr>
        <w:t>1590 Geneva Edition:</w:t>
      </w:r>
      <w:r>
        <w:rPr>
          <w:rFonts w:ascii="Times New Roman" w:hAnsi="Times New Roman"/>
          <w:sz w:val="22"/>
        </w:rPr>
        <w:t xml:space="preserve"> Enhanced apparatus with marginalia and prefatory admonitions, incorporating previous contributions.</w:t>
      </w:r>
    </w:p>
    <w:p w:rsidR="006C49F7" w:rsidRPr="006C49F7" w:rsidRDefault="008E0F3A" w:rsidP="008E0F3A">
      <w:pPr>
        <w:jc w:val="both"/>
      </w:pPr>
      <w:r w:rsidRPr="008E0F3A">
        <w:rPr>
          <w:rFonts w:ascii="Times New Roman" w:hAnsi="Times New Roman"/>
          <w:b/>
          <w:bCs/>
          <w:sz w:val="22"/>
        </w:rPr>
        <w:t>Methodus et Dispositio: Understanding in the Early Orthodox Era</w:t>
      </w:r>
      <w:r>
        <w:rPr>
          <w:rFonts w:ascii="Times New Roman" w:hAnsi="Times New Roman"/>
          <w:b/>
          <w:bCs/>
          <w:sz w:val="22"/>
        </w:rPr>
        <w:t xml:space="preserve">. </w:t>
      </w:r>
      <w:r>
        <w:rPr>
          <w:rFonts w:ascii="Times New Roman" w:hAnsi="Times New Roman"/>
          <w:sz w:val="22"/>
        </w:rPr>
        <w:t xml:space="preserve">Developing an apparatus was a natural step since Calvin himself identified the </w:t>
      </w:r>
      <w:r w:rsidRPr="008E0F3A">
        <w:rPr>
          <w:rFonts w:ascii="Times New Roman" w:hAnsi="Times New Roman"/>
          <w:i/>
          <w:iCs/>
          <w:sz w:val="22"/>
        </w:rPr>
        <w:t>Institutes</w:t>
      </w:r>
      <w:r>
        <w:rPr>
          <w:rFonts w:ascii="Times New Roman" w:hAnsi="Times New Roman"/>
          <w:sz w:val="22"/>
        </w:rPr>
        <w:t xml:space="preserve"> as </w:t>
      </w:r>
      <w:r w:rsidRPr="008E0F3A">
        <w:rPr>
          <w:rFonts w:ascii="Times New Roman" w:hAnsi="Times New Roman"/>
          <w:i/>
          <w:iCs/>
          <w:sz w:val="22"/>
        </w:rPr>
        <w:t>loci</w:t>
      </w:r>
      <w:r>
        <w:rPr>
          <w:rFonts w:ascii="Times New Roman" w:hAnsi="Times New Roman"/>
          <w:sz w:val="22"/>
        </w:rPr>
        <w:t xml:space="preserve"> and endorsed Colladon's work. Colladon’s summaries aligned with Calvin's arguments, using his language. Olevianus contributed to the understanding of the method and disposition of the </w:t>
      </w:r>
      <w:r w:rsidRPr="008E0F3A">
        <w:rPr>
          <w:rFonts w:ascii="Times New Roman" w:hAnsi="Times New Roman"/>
          <w:i/>
          <w:iCs/>
          <w:sz w:val="22"/>
        </w:rPr>
        <w:t>Institutes</w:t>
      </w:r>
      <w:r>
        <w:rPr>
          <w:rFonts w:ascii="Times New Roman" w:hAnsi="Times New Roman"/>
          <w:sz w:val="22"/>
        </w:rPr>
        <w:t>.</w:t>
      </w:r>
      <w:r>
        <w:rPr>
          <w:rFonts w:ascii="Times New Roman" w:hAnsi="Times New Roman"/>
          <w:sz w:val="22"/>
        </w:rPr>
        <w:t xml:space="preserve"> </w:t>
      </w:r>
      <w:r w:rsidRPr="008E0F3A">
        <w:rPr>
          <w:rFonts w:ascii="Times New Roman" w:hAnsi="Times New Roman"/>
          <w:b/>
          <w:bCs/>
          <w:sz w:val="22"/>
        </w:rPr>
        <w:t>Theological and Methodological Significance of the Older Apparatus</w:t>
      </w:r>
      <w:r>
        <w:rPr>
          <w:rFonts w:ascii="Times New Roman" w:hAnsi="Times New Roman"/>
          <w:b/>
          <w:bCs/>
          <w:sz w:val="22"/>
        </w:rPr>
        <w:t xml:space="preserve">. </w:t>
      </w:r>
      <w:r>
        <w:rPr>
          <w:rFonts w:ascii="Times New Roman" w:hAnsi="Times New Roman"/>
          <w:sz w:val="22"/>
        </w:rPr>
        <w:t xml:space="preserve">The idea of </w:t>
      </w:r>
      <w:r w:rsidRPr="008E0F3A">
        <w:rPr>
          <w:rFonts w:ascii="Times New Roman" w:hAnsi="Times New Roman"/>
          <w:i/>
          <w:iCs/>
          <w:sz w:val="22"/>
        </w:rPr>
        <w:t>duplex cognitio Dei</w:t>
      </w:r>
      <w:r>
        <w:rPr>
          <w:rFonts w:ascii="Times New Roman" w:hAnsi="Times New Roman"/>
          <w:sz w:val="22"/>
        </w:rPr>
        <w:t xml:space="preserve"> was not unique, as Dowey identified it as a theme. Figures like Launeus also explored this concept. Parker noted the creedal order of the </w:t>
      </w:r>
      <w:r w:rsidRPr="008E0F3A">
        <w:rPr>
          <w:rFonts w:ascii="Times New Roman" w:hAnsi="Times New Roman"/>
          <w:i/>
          <w:iCs/>
          <w:sz w:val="22"/>
        </w:rPr>
        <w:t>Institutes</w:t>
      </w:r>
      <w:r>
        <w:rPr>
          <w:rFonts w:ascii="Times New Roman" w:hAnsi="Times New Roman"/>
          <w:sz w:val="22"/>
        </w:rPr>
        <w:t xml:space="preserve">, as did Olevianus and </w:t>
      </w:r>
      <w:r>
        <w:rPr>
          <w:rFonts w:ascii="Times New Roman" w:hAnsi="Times New Roman"/>
          <w:sz w:val="22"/>
        </w:rPr>
        <w:lastRenderedPageBreak/>
        <w:t xml:space="preserve">Bunnie. However, Olevianus also recognized the </w:t>
      </w:r>
      <w:r w:rsidRPr="008E0F3A">
        <w:rPr>
          <w:rFonts w:ascii="Times New Roman" w:hAnsi="Times New Roman"/>
          <w:i/>
          <w:iCs/>
          <w:sz w:val="22"/>
        </w:rPr>
        <w:t>duplex cognitio</w:t>
      </w:r>
      <w:r>
        <w:rPr>
          <w:rFonts w:ascii="Times New Roman" w:hAnsi="Times New Roman"/>
          <w:sz w:val="22"/>
        </w:rPr>
        <w:t>. Modern scholarship, such as that by Weber, McNeil, and Ford Lewis Battles, has focused on the discursive nature of the text, inserting topical headings and often overlooking its scholastic form. This emphasis on humanistic rhetorical form has led to subdivisions that obscure rather than highlight the disputative character of the chapters.</w:t>
      </w:r>
    </w:p>
    <w:sectPr w:rsidR="006C49F7" w:rsidRPr="006C49F7">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MulRA</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Unaccomodated Calvin (Chapters 2 and 4)</w:t>
      <w:tab/>
      <w: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EF2147"/>
    <w:multiLevelType w:val="hybridMultilevel"/>
    <w:tmpl w:val="8AB4B642"/>
    <w:lvl w:ilvl="0" w:tplc="285E1C1A">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DB7740"/>
    <w:multiLevelType w:val="hybridMultilevel"/>
    <w:tmpl w:val="474CC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5978591">
    <w:abstractNumId w:val="1"/>
  </w:num>
  <w:num w:numId="2" w16cid:durableId="558444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9F7"/>
    <w:rsid w:val="00282F99"/>
    <w:rsid w:val="006C49F7"/>
    <w:rsid w:val="008E0F3A"/>
    <w:rsid w:val="00A57F40"/>
    <w:rsid w:val="00AA008D"/>
    <w:rsid w:val="00DE2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F1F2E5"/>
  <w15:chartTrackingRefBased/>
  <w15:docId w15:val="{40BB1961-E34F-9C46-837D-120BC3DA6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0F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758</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2024-11-20T18:19:00Z</dcterms:created>
  <dcterms:modified xsi:type="dcterms:W3CDTF">2024-11-20T18:33:00Z</dcterms:modified>
</cp:coreProperties>
</file>