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97900" w:rsidRPr="00A97900" w:rsidRDefault="00A97900" w:rsidP="00A97900">
      <w:pPr>
        <w:jc w:val="both"/>
        <w:rPr>
          <w:b/>
          <w:bCs/>
        </w:rPr>
      </w:pPr>
      <w:r w:rsidRPr="00A97900">
        <w:rPr>
          <w:rFonts w:ascii="Times New Roman" w:hAnsi="Times New Roman"/>
          <w:b/>
          <w:bCs/>
          <w:sz w:val="22"/>
        </w:rPr>
        <w:t>The Age of Reform</w:t>
      </w:r>
      <w:r w:rsidR="00496001">
        <w:rPr>
          <w:rFonts w:ascii="Times New Roman" w:hAnsi="Times New Roman"/>
          <w:b/>
          <w:bCs/>
          <w:sz w:val="22"/>
        </w:rPr>
        <w:t>:</w:t>
      </w:r>
      <w:r w:rsidRPr="00A97900">
        <w:rPr>
          <w:rFonts w:ascii="Times New Roman" w:hAnsi="Times New Roman"/>
          <w:b/>
          <w:bCs/>
          <w:sz w:val="22"/>
        </w:rPr>
        <w:t xml:space="preserve"> 1250-1550 </w:t>
      </w:r>
      <w:r w:rsidR="00496001">
        <w:rPr>
          <w:rFonts w:ascii="Times New Roman" w:hAnsi="Times New Roman"/>
          <w:b/>
          <w:bCs/>
          <w:sz w:val="22"/>
        </w:rPr>
        <w:t>-</w:t>
      </w:r>
      <w:r w:rsidRPr="00A97900">
        <w:rPr>
          <w:rFonts w:ascii="Times New Roman" w:hAnsi="Times New Roman"/>
          <w:b/>
          <w:bCs/>
          <w:sz w:val="22"/>
        </w:rPr>
        <w:t xml:space="preserve"> Steve Ozment</w:t>
      </w:r>
      <w:r>
        <w:rPr>
          <w:rFonts w:ascii="Times New Roman" w:hAnsi="Times New Roman"/>
          <w:b/>
          <w:bCs/>
          <w:sz w:val="22"/>
        </w:rPr>
        <w:t>.</w:t>
      </w:r>
    </w:p>
    <w:p w:rsidR="00A97900" w:rsidRPr="00A97900" w:rsidRDefault="00A97900" w:rsidP="00A97900">
      <w:pPr>
        <w:jc w:val="both"/>
        <w:rPr>
          <w:b/>
          <w:bCs/>
        </w:rPr>
      </w:pPr>
      <w:r>
        <w:rPr>
          <w:rFonts w:ascii="Times New Roman" w:hAnsi="Times New Roman"/>
          <w:b/>
          <w:bCs/>
          <w:sz w:val="22"/>
        </w:rPr>
        <w:t xml:space="preserve">1. </w:t>
      </w:r>
      <w:r w:rsidRPr="00A97900">
        <w:rPr>
          <w:rFonts w:ascii="Times New Roman" w:hAnsi="Times New Roman"/>
          <w:b/>
          <w:bCs/>
          <w:sz w:val="22"/>
        </w:rPr>
        <w:t>The Role of Social and Political Factors</w:t>
      </w:r>
      <w:r w:rsidRPr="00A97900">
        <w:rPr>
          <w:rFonts w:ascii="Times New Roman" w:hAnsi="Times New Roman"/>
          <w:b/>
          <w:bCs/>
          <w:sz w:val="22"/>
        </w:rPr>
        <w:t>.</w:t>
      </w:r>
    </w:p>
    <w:p w:rsidR="00AA008D" w:rsidRDefault="00A97900" w:rsidP="00A97900">
      <w:pPr>
        <w:jc w:val="both"/>
      </w:pPr>
      <w:r>
        <w:rPr>
          <w:rFonts w:ascii="Times New Roman" w:hAnsi="Times New Roman"/>
          <w:sz w:val="22"/>
        </w:rPr>
        <w:t>The relationship between social and political factors and intellectual history is crucial in understanding the transitions leading to the Reformation. Starting with the Fall of Rome, the development of feudal society, and the collapse of Charlemagne’s empire set the stage for significant philosophical and theological influences that shaped the Middle Ages.</w:t>
      </w:r>
      <w:r>
        <w:rPr>
          <w:rFonts w:ascii="Times New Roman" w:hAnsi="Times New Roman"/>
          <w:sz w:val="22"/>
        </w:rPr>
        <w:t xml:space="preserve"> </w:t>
      </w:r>
      <w:r w:rsidRPr="00A97900">
        <w:rPr>
          <w:rFonts w:ascii="Times New Roman" w:hAnsi="Times New Roman"/>
          <w:b/>
          <w:bCs/>
          <w:sz w:val="22"/>
        </w:rPr>
        <w:t>Philosophical Influences</w:t>
      </w:r>
      <w:r>
        <w:rPr>
          <w:rFonts w:ascii="Times New Roman" w:hAnsi="Times New Roman"/>
          <w:b/>
          <w:bCs/>
          <w:sz w:val="22"/>
        </w:rPr>
        <w:t xml:space="preserve">. </w:t>
      </w:r>
      <w:r>
        <w:rPr>
          <w:rFonts w:ascii="Times New Roman" w:hAnsi="Times New Roman"/>
          <w:sz w:val="22"/>
        </w:rPr>
        <w:t>Influential figures such as Augustine, Anselm, and Boethius played key roles in preserving and interpreting ancient philosophies. Boethius acted as a custodian of ancient masters, particularly in Aristotelian thought, while figures like Scotus, Augustine, and Dionysius were more aligned with Platonic traditions.</w:t>
      </w:r>
      <w:r>
        <w:rPr>
          <w:rFonts w:ascii="Times New Roman" w:hAnsi="Times New Roman"/>
          <w:sz w:val="22"/>
        </w:rPr>
        <w:t xml:space="preserve"> </w:t>
      </w:r>
      <w:r w:rsidRPr="00A97900">
        <w:rPr>
          <w:rFonts w:ascii="Times New Roman" w:hAnsi="Times New Roman"/>
          <w:b/>
          <w:bCs/>
          <w:sz w:val="22"/>
        </w:rPr>
        <w:t>Reforms and Power Struggles</w:t>
      </w:r>
      <w:r>
        <w:rPr>
          <w:rFonts w:ascii="Times New Roman" w:hAnsi="Times New Roman"/>
          <w:b/>
          <w:bCs/>
          <w:sz w:val="22"/>
        </w:rPr>
        <w:t xml:space="preserve">. </w:t>
      </w:r>
      <w:r>
        <w:rPr>
          <w:rFonts w:ascii="Times New Roman" w:hAnsi="Times New Roman"/>
          <w:sz w:val="22"/>
        </w:rPr>
        <w:t>The 10th century saw significant monastic reforms aimed at reviving spiritual fervor and discipline. The 11th and 12th centuries were marked by the Investiture Struggle, a significant conflict between church and state powers, highlighting the intricate relationship between religion and politics.</w:t>
      </w:r>
      <w:r>
        <w:rPr>
          <w:rFonts w:ascii="Times New Roman" w:hAnsi="Times New Roman"/>
          <w:sz w:val="22"/>
        </w:rPr>
        <w:t xml:space="preserve"> </w:t>
      </w:r>
      <w:r w:rsidRPr="00A97900">
        <w:rPr>
          <w:rFonts w:ascii="Times New Roman" w:hAnsi="Times New Roman"/>
          <w:b/>
          <w:bCs/>
          <w:sz w:val="22"/>
        </w:rPr>
        <w:t>Cultural Renaissance and Scholasticism</w:t>
      </w:r>
      <w:r>
        <w:rPr>
          <w:rFonts w:ascii="Times New Roman" w:hAnsi="Times New Roman"/>
          <w:b/>
          <w:bCs/>
          <w:sz w:val="22"/>
        </w:rPr>
        <w:t xml:space="preserve">. </w:t>
      </w:r>
      <w:r>
        <w:rPr>
          <w:rFonts w:ascii="Times New Roman" w:hAnsi="Times New Roman"/>
          <w:sz w:val="22"/>
        </w:rPr>
        <w:t xml:space="preserve">A cultural renaissance in the 12th and 13th centuries brought about the rise of universities and the flourishing of scholasticism alongside a renewed interest in Aristotle. This period was characterized by the dialectical method embodied in the scholastic approach, which included elements like </w:t>
      </w:r>
      <w:r w:rsidRPr="00A97900">
        <w:rPr>
          <w:rFonts w:ascii="Times New Roman" w:hAnsi="Times New Roman"/>
          <w:i/>
          <w:iCs/>
          <w:sz w:val="22"/>
        </w:rPr>
        <w:t>quaestio</w:t>
      </w:r>
      <w:r>
        <w:rPr>
          <w:rFonts w:ascii="Times New Roman" w:hAnsi="Times New Roman"/>
          <w:sz w:val="22"/>
        </w:rPr>
        <w:t xml:space="preserve"> (question), </w:t>
      </w:r>
      <w:r w:rsidRPr="00A97900">
        <w:rPr>
          <w:rFonts w:ascii="Times New Roman" w:hAnsi="Times New Roman"/>
          <w:i/>
          <w:iCs/>
          <w:sz w:val="22"/>
        </w:rPr>
        <w:t>videtur quod</w:t>
      </w:r>
      <w:r>
        <w:rPr>
          <w:rFonts w:ascii="Times New Roman" w:hAnsi="Times New Roman"/>
          <w:sz w:val="22"/>
        </w:rPr>
        <w:t xml:space="preserve"> (it seems that), </w:t>
      </w:r>
      <w:r w:rsidRPr="00A97900">
        <w:rPr>
          <w:rFonts w:ascii="Times New Roman" w:hAnsi="Times New Roman"/>
          <w:i/>
          <w:iCs/>
          <w:sz w:val="22"/>
        </w:rPr>
        <w:t>sed contra</w:t>
      </w:r>
      <w:r>
        <w:rPr>
          <w:rFonts w:ascii="Times New Roman" w:hAnsi="Times New Roman"/>
          <w:sz w:val="22"/>
        </w:rPr>
        <w:t xml:space="preserve"> (on the contrary), and </w:t>
      </w:r>
      <w:r w:rsidRPr="00A97900">
        <w:rPr>
          <w:rFonts w:ascii="Times New Roman" w:hAnsi="Times New Roman"/>
          <w:i/>
          <w:iCs/>
          <w:sz w:val="22"/>
        </w:rPr>
        <w:t>responsio</w:t>
      </w:r>
      <w:r>
        <w:rPr>
          <w:rFonts w:ascii="Times New Roman" w:hAnsi="Times New Roman"/>
          <w:sz w:val="22"/>
        </w:rPr>
        <w:t xml:space="preserve"> (response).</w:t>
      </w:r>
      <w:r>
        <w:rPr>
          <w:rFonts w:ascii="Times New Roman" w:hAnsi="Times New Roman"/>
          <w:sz w:val="22"/>
        </w:rPr>
        <w:t xml:space="preserve"> </w:t>
      </w:r>
      <w:r w:rsidRPr="00A97900">
        <w:rPr>
          <w:rFonts w:ascii="Times New Roman" w:hAnsi="Times New Roman"/>
          <w:b/>
          <w:bCs/>
          <w:sz w:val="22"/>
        </w:rPr>
        <w:t>The Church and Rational Thought</w:t>
      </w:r>
      <w:r>
        <w:rPr>
          <w:rFonts w:ascii="Times New Roman" w:hAnsi="Times New Roman"/>
          <w:b/>
          <w:bCs/>
          <w:sz w:val="22"/>
        </w:rPr>
        <w:t xml:space="preserve">. </w:t>
      </w:r>
      <w:r>
        <w:rPr>
          <w:rFonts w:ascii="Times New Roman" w:hAnsi="Times New Roman"/>
          <w:sz w:val="22"/>
        </w:rPr>
        <w:t>Rational thought was considered the handmaiden of philosophy, though the Church remained suspicious of its potential to challenge ecclesiastical authority. The early Middle Ages focused on preservation of knowledge, the high Middle Ages on self-discovery and definition, and the later Middle Ages faced unprecedented challenges.</w:t>
      </w:r>
      <w:r>
        <w:rPr>
          <w:rFonts w:ascii="Times New Roman" w:hAnsi="Times New Roman"/>
          <w:sz w:val="22"/>
        </w:rPr>
        <w:t xml:space="preserve"> </w:t>
      </w:r>
      <w:r w:rsidRPr="00A97900">
        <w:rPr>
          <w:rFonts w:ascii="Times New Roman" w:hAnsi="Times New Roman"/>
          <w:b/>
          <w:bCs/>
          <w:sz w:val="22"/>
        </w:rPr>
        <w:t>Thomist Synthesis and Its Critics</w:t>
      </w:r>
      <w:r>
        <w:rPr>
          <w:rFonts w:ascii="Times New Roman" w:hAnsi="Times New Roman"/>
          <w:b/>
          <w:bCs/>
          <w:sz w:val="22"/>
        </w:rPr>
        <w:t xml:space="preserve">. </w:t>
      </w:r>
      <w:r>
        <w:rPr>
          <w:rFonts w:ascii="Times New Roman" w:hAnsi="Times New Roman"/>
          <w:sz w:val="22"/>
        </w:rPr>
        <w:t>Gilson and Aquinas are noted for their somewhat uncritical perspectives that stood against fideism—relying solely on faith—and sought a synthesis of faith and reason. However, the Paris Condemnations took a stand against certain Aristotelian views. Figures like Ockham and Scotus later further undermined this Thomist synthesis; Scotus with equivocalism, emphasizing the distinctiveness of divine concepts, and Ockham with his extreme nominalism, asserting that not only do we not need to know certain divine mysteries, but that they are also ultimately unknowable.</w:t>
      </w:r>
      <w:r>
        <w:rPr>
          <w:rFonts w:ascii="Times New Roman" w:hAnsi="Times New Roman"/>
          <w:sz w:val="22"/>
        </w:rPr>
        <w:t xml:space="preserve"> </w:t>
      </w:r>
    </w:p>
    <w:p w:rsidR="00A97900" w:rsidRDefault="00A97900" w:rsidP="00A97900">
      <w:pPr>
        <w:jc w:val="both"/>
      </w:pPr>
    </w:p>
    <w:p w:rsidR="00A97900" w:rsidRPr="00A97900" w:rsidRDefault="00DF5C06" w:rsidP="00A97900">
      <w:pPr>
        <w:jc w:val="both"/>
        <w:rPr>
          <w:b/>
          <w:bCs/>
        </w:rPr>
      </w:pPr>
      <w:r>
        <w:rPr>
          <w:rFonts w:ascii="Times New Roman" w:hAnsi="Times New Roman"/>
          <w:b/>
          <w:bCs/>
          <w:sz w:val="22"/>
        </w:rPr>
        <w:t xml:space="preserve">2. </w:t>
      </w:r>
      <w:r w:rsidR="00A97900" w:rsidRPr="00A97900">
        <w:rPr>
          <w:rFonts w:ascii="Times New Roman" w:hAnsi="Times New Roman"/>
          <w:b/>
          <w:bCs/>
          <w:sz w:val="22"/>
        </w:rPr>
        <w:t>The Scholastic Traditions</w:t>
      </w:r>
      <w:r w:rsidR="00A97900">
        <w:rPr>
          <w:rFonts w:ascii="Times New Roman" w:hAnsi="Times New Roman"/>
          <w:b/>
          <w:bCs/>
          <w:sz w:val="22"/>
        </w:rPr>
        <w:t>.</w:t>
      </w:r>
    </w:p>
    <w:p w:rsidR="00A97900" w:rsidRDefault="00A97900" w:rsidP="00A97900">
      <w:pPr>
        <w:jc w:val="both"/>
      </w:pPr>
      <w:r w:rsidRPr="00A97900">
        <w:rPr>
          <w:rFonts w:ascii="Times New Roman" w:hAnsi="Times New Roman"/>
          <w:b/>
          <w:bCs/>
          <w:sz w:val="22"/>
        </w:rPr>
        <w:t>How Man is Saved: Theories of Salvation from Augustine to Gabriel Biel</w:t>
      </w:r>
      <w:r>
        <w:rPr>
          <w:rFonts w:ascii="Times New Roman" w:hAnsi="Times New Roman"/>
          <w:b/>
          <w:bCs/>
          <w:sz w:val="22"/>
        </w:rPr>
        <w:t xml:space="preserve">. </w:t>
      </w:r>
      <w:r>
        <w:rPr>
          <w:rFonts w:ascii="Times New Roman" w:hAnsi="Times New Roman"/>
          <w:sz w:val="22"/>
        </w:rPr>
        <w:t xml:space="preserve">Augustine's theological framework set the standard for medieval theology by defining humanity as inherently fallen and sinful, transitioning from </w:t>
      </w:r>
      <w:r w:rsidRPr="00A97900">
        <w:rPr>
          <w:rFonts w:ascii="Times New Roman" w:hAnsi="Times New Roman"/>
          <w:i/>
          <w:iCs/>
          <w:sz w:val="22"/>
        </w:rPr>
        <w:t>posse non peccare</w:t>
      </w:r>
      <w:r>
        <w:rPr>
          <w:rFonts w:ascii="Times New Roman" w:hAnsi="Times New Roman"/>
          <w:sz w:val="22"/>
        </w:rPr>
        <w:t xml:space="preserve"> to </w:t>
      </w:r>
      <w:r w:rsidRPr="00A97900">
        <w:rPr>
          <w:rFonts w:ascii="Times New Roman" w:hAnsi="Times New Roman"/>
          <w:i/>
          <w:iCs/>
          <w:sz w:val="22"/>
        </w:rPr>
        <w:t>non posse non peccare</w:t>
      </w:r>
      <w:r>
        <w:rPr>
          <w:rFonts w:ascii="Times New Roman" w:hAnsi="Times New Roman"/>
          <w:sz w:val="22"/>
        </w:rPr>
        <w:t>. This perspective emphasized the loss of special grace and reinforced the high authority of the Church, advocating for baptism as a means of washing away sins. Aquinas viewed grace in the soul as accidental, while Ockhamists leaned towards Pelagianism. Scotus, representing a Franciscan critique of Aquinas, was suspicious of the concept of possessing a habitual grace and maintained that God's will surpasses human habits or qualities of the soul. God's love was seen as preceding anything lovable in man, stressing the transcendental distance between God’s eternal will and its means of execution. In contrast, Auriole argued against Scotus, suggesting that acts of love intrinsically gain divine acceptance whether decreed eternally or executed in time. Ockham introduced the idea that God does not require secondary causes, supporting the concepts of ordained and absolute power, highlighting God’s transcendent freedom, and flirting with semi-Pelagianism by suggesting grace as a reward for prior moral effort.</w:t>
      </w:r>
      <w:r>
        <w:rPr>
          <w:rFonts w:ascii="Times New Roman" w:hAnsi="Times New Roman"/>
          <w:sz w:val="22"/>
        </w:rPr>
        <w:t xml:space="preserve"> </w:t>
      </w:r>
      <w:r w:rsidRPr="00A97900">
        <w:rPr>
          <w:rFonts w:ascii="Times New Roman" w:hAnsi="Times New Roman"/>
          <w:b/>
          <w:bCs/>
          <w:sz w:val="22"/>
        </w:rPr>
        <w:t>How Man Truly Knows: Theories of Knowledge from Augustine to Ockham</w:t>
      </w:r>
      <w:r>
        <w:rPr>
          <w:rFonts w:ascii="Times New Roman" w:hAnsi="Times New Roman"/>
          <w:b/>
          <w:bCs/>
          <w:sz w:val="22"/>
        </w:rPr>
        <w:t xml:space="preserve">. </w:t>
      </w:r>
      <w:r w:rsidRPr="00A97900">
        <w:rPr>
          <w:rFonts w:ascii="Times New Roman" w:hAnsi="Times New Roman"/>
          <w:b/>
          <w:bCs/>
          <w:sz w:val="22"/>
        </w:rPr>
        <w:t>Augustine</w:t>
      </w:r>
      <w:r>
        <w:rPr>
          <w:rFonts w:ascii="Times New Roman" w:hAnsi="Times New Roman"/>
          <w:sz w:val="22"/>
        </w:rPr>
        <w:t xml:space="preserve"> adopted Platonic thought, using it to counter Manichaean ideas by linking eternal forms to divine memory, mediated through Christ. </w:t>
      </w:r>
    </w:p>
    <w:p w:rsidR="00A97900" w:rsidRDefault="00A97900" w:rsidP="00A97900">
      <w:pPr>
        <w:jc w:val="both"/>
      </w:pPr>
      <w:r>
        <w:rPr>
          <w:rFonts w:ascii="Times New Roman" w:hAnsi="Times New Roman"/>
          <w:sz w:val="22"/>
        </w:rPr>
        <w:lastRenderedPageBreak/>
        <w:drawing>
          <wp:inline distT="0" distB="0" distL="0" distR="0">
            <wp:extent cx="5943600" cy="7261860"/>
            <wp:effectExtent l="0" t="0" r="0" b="2540"/>
            <wp:docPr id="213320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09259" name="Picture 21332092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261860"/>
                    </a:xfrm>
                    <a:prstGeom prst="rect">
                      <a:avLst/>
                    </a:prstGeom>
                  </pic:spPr>
                </pic:pic>
              </a:graphicData>
            </a:graphic>
          </wp:inline>
        </w:drawing>
      </w:r>
    </w:p>
    <w:p w:rsidR="00A97900" w:rsidRDefault="00A97900" w:rsidP="00A97900">
      <w:pPr>
        <w:jc w:val="both"/>
      </w:pPr>
    </w:p>
    <w:p w:rsidR="00A97900" w:rsidRDefault="00A97900" w:rsidP="00A97900">
      <w:pPr>
        <w:jc w:val="both"/>
      </w:pPr>
      <w:r>
        <w:rPr>
          <w:rFonts w:ascii="Times New Roman" w:hAnsi="Times New Roman"/>
          <w:b/>
          <w:bCs/>
          <w:sz w:val="22"/>
        </w:rPr>
        <w:t xml:space="preserve">Aquinas. </w:t>
      </w:r>
      <w:r>
        <w:rPr>
          <w:rFonts w:ascii="Times New Roman" w:hAnsi="Times New Roman"/>
          <w:sz w:val="22"/>
        </w:rPr>
        <w:t xml:space="preserve">In contrast, Aquinas replaced Platonic ideas with Aristotelian concepts, positing that universals exist within particulars and emphasizing the interdependence of form and matter. </w:t>
      </w:r>
      <w:r w:rsidRPr="00A97900">
        <w:rPr>
          <w:rFonts w:ascii="Times New Roman" w:hAnsi="Times New Roman"/>
          <w:b/>
          <w:bCs/>
          <w:sz w:val="22"/>
        </w:rPr>
        <w:t>Anselm</w:t>
      </w:r>
      <w:r>
        <w:rPr>
          <w:rFonts w:ascii="Times New Roman" w:hAnsi="Times New Roman"/>
          <w:sz w:val="22"/>
        </w:rPr>
        <w:t xml:space="preserve"> retained a Platonic outlook with the idea of God residing in the mind, while Aquinas argued that knowledge is attainable only through natural reason and involves a process of sensation, abstraction, and understanding abstracted universals. In medieval thought, universals existed in the mind of God, within particular things, </w:t>
      </w:r>
      <w:r>
        <w:rPr>
          <w:rFonts w:ascii="Times New Roman" w:hAnsi="Times New Roman"/>
          <w:sz w:val="22"/>
        </w:rPr>
        <w:lastRenderedPageBreak/>
        <w:t xml:space="preserve">and through human abstraction. </w:t>
      </w:r>
      <w:r w:rsidRPr="00A97900">
        <w:rPr>
          <w:rFonts w:ascii="Times New Roman" w:hAnsi="Times New Roman"/>
          <w:b/>
          <w:bCs/>
          <w:sz w:val="22"/>
        </w:rPr>
        <w:t>Ockham</w:t>
      </w:r>
      <w:r>
        <w:rPr>
          <w:rFonts w:ascii="Times New Roman" w:hAnsi="Times New Roman"/>
          <w:sz w:val="22"/>
        </w:rPr>
        <w:t xml:space="preserve"> diverged by asserting that particular things could be known directly without relying on universals, which he believed existed only in the mind. This marked a shift toward a more modest, speculative reflection on revelation, emphasizing faith over rational religion known as the via moderna.</w:t>
      </w:r>
      <w:r>
        <w:rPr>
          <w:rFonts w:ascii="Times New Roman" w:hAnsi="Times New Roman"/>
          <w:sz w:val="22"/>
        </w:rPr>
        <w:t xml:space="preserve"> </w:t>
      </w:r>
      <w:r w:rsidRPr="00A97900">
        <w:rPr>
          <w:rFonts w:ascii="Times New Roman" w:hAnsi="Times New Roman"/>
          <w:b/>
          <w:bCs/>
          <w:sz w:val="22"/>
        </w:rPr>
        <w:t>What Scripture Means: The Interpretation of the Bible in the Middle Ages</w:t>
      </w:r>
      <w:r>
        <w:rPr>
          <w:rFonts w:ascii="Times New Roman" w:hAnsi="Times New Roman"/>
          <w:b/>
          <w:bCs/>
          <w:sz w:val="22"/>
        </w:rPr>
        <w:t xml:space="preserve">. </w:t>
      </w:r>
      <w:r>
        <w:rPr>
          <w:rFonts w:ascii="Times New Roman" w:hAnsi="Times New Roman"/>
          <w:sz w:val="22"/>
        </w:rPr>
        <w:t xml:space="preserve">Scriptural interpretation in the Middle Ages often involved allegorical readings, particularly of the Old Testament, to resolve tensions with its harsher depictions of God, which were problematic for some, like Marcion. Augustine and Ambrose championed the belief that "the letter kills but the spirit quickens," warning against minimizing the historical significance of the text. John Cassian outlined a fourfold interpretative framework: </w:t>
      </w:r>
    </w:p>
    <w:p w:rsidR="00A97900" w:rsidRDefault="00A97900" w:rsidP="00A97900">
      <w:pPr>
        <w:pStyle w:val="ListParagraph"/>
        <w:numPr>
          <w:ilvl w:val="0"/>
          <w:numId w:val="6"/>
        </w:numPr>
        <w:jc w:val="both"/>
      </w:pPr>
      <w:r w:rsidRPr="00A97900">
        <w:rPr>
          <w:rFonts w:ascii="Times New Roman" w:hAnsi="Times New Roman"/>
          <w:i/>
          <w:iCs/>
          <w:sz w:val="22"/>
        </w:rPr>
        <w:t>littera gesta docet</w:t>
      </w:r>
      <w:r>
        <w:rPr>
          <w:rFonts w:ascii="Times New Roman" w:hAnsi="Times New Roman"/>
          <w:sz w:val="22"/>
        </w:rPr>
        <w:t xml:space="preserve"> (the letter teaches deeds), </w:t>
      </w:r>
    </w:p>
    <w:p w:rsidR="00A97900" w:rsidRDefault="00A97900" w:rsidP="00A97900">
      <w:pPr>
        <w:pStyle w:val="ListParagraph"/>
        <w:numPr>
          <w:ilvl w:val="0"/>
          <w:numId w:val="6"/>
        </w:numPr>
        <w:jc w:val="both"/>
      </w:pPr>
      <w:r w:rsidRPr="00A97900">
        <w:rPr>
          <w:rFonts w:ascii="Times New Roman" w:hAnsi="Times New Roman"/>
          <w:i/>
          <w:iCs/>
          <w:sz w:val="22"/>
        </w:rPr>
        <w:t>quid credas allegoria</w:t>
      </w:r>
      <w:r>
        <w:rPr>
          <w:rFonts w:ascii="Times New Roman" w:hAnsi="Times New Roman"/>
          <w:sz w:val="22"/>
        </w:rPr>
        <w:t xml:space="preserve"> (allegory teaches what you should believe), </w:t>
      </w:r>
    </w:p>
    <w:p w:rsidR="00A97900" w:rsidRDefault="00A97900" w:rsidP="00A97900">
      <w:pPr>
        <w:pStyle w:val="ListParagraph"/>
        <w:numPr>
          <w:ilvl w:val="0"/>
          <w:numId w:val="6"/>
        </w:numPr>
        <w:jc w:val="both"/>
      </w:pPr>
      <w:r w:rsidRPr="00A97900">
        <w:rPr>
          <w:rFonts w:ascii="Times New Roman" w:hAnsi="Times New Roman"/>
          <w:i/>
          <w:iCs/>
          <w:sz w:val="22"/>
        </w:rPr>
        <w:t>moralis quid agas</w:t>
      </w:r>
      <w:r>
        <w:rPr>
          <w:rFonts w:ascii="Times New Roman" w:hAnsi="Times New Roman"/>
          <w:sz w:val="22"/>
        </w:rPr>
        <w:t xml:space="preserve"> (morality teaches what you should do), and </w:t>
      </w:r>
    </w:p>
    <w:p w:rsidR="00A97900" w:rsidRDefault="00A97900" w:rsidP="00A97900">
      <w:pPr>
        <w:pStyle w:val="ListParagraph"/>
        <w:numPr>
          <w:ilvl w:val="0"/>
          <w:numId w:val="6"/>
        </w:numPr>
        <w:jc w:val="both"/>
      </w:pPr>
      <w:r w:rsidRPr="00A97900">
        <w:rPr>
          <w:rFonts w:ascii="Times New Roman" w:hAnsi="Times New Roman"/>
          <w:i/>
          <w:iCs/>
          <w:sz w:val="22"/>
        </w:rPr>
        <w:t>quo tendas anagogia</w:t>
      </w:r>
      <w:r>
        <w:rPr>
          <w:rFonts w:ascii="Times New Roman" w:hAnsi="Times New Roman"/>
          <w:sz w:val="22"/>
        </w:rPr>
        <w:t xml:space="preserve"> (anagogy teaches what you should aspire to). </w:t>
      </w:r>
    </w:p>
    <w:p w:rsidR="00A97900" w:rsidRDefault="00A97900" w:rsidP="00A97900">
      <w:pPr>
        <w:jc w:val="both"/>
      </w:pPr>
      <w:r>
        <w:rPr>
          <w:rFonts w:ascii="Times New Roman" w:hAnsi="Times New Roman"/>
          <w:sz w:val="22"/>
        </w:rPr>
        <w:t>There was a growing interest in the</w:t>
      </w:r>
      <w:r>
        <w:rPr>
          <w:rFonts w:ascii="Times New Roman" w:hAnsi="Times New Roman"/>
          <w:i/>
          <w:iCs/>
          <w:sz w:val="22"/>
        </w:rPr>
        <w:t xml:space="preserve"> </w:t>
      </w:r>
      <w:r w:rsidRPr="00A97900">
        <w:rPr>
          <w:rFonts w:ascii="Times New Roman" w:hAnsi="Times New Roman"/>
          <w:i/>
          <w:iCs/>
          <w:sz w:val="22"/>
        </w:rPr>
        <w:t>littera</w:t>
      </w:r>
      <w:r>
        <w:rPr>
          <w:rFonts w:ascii="Times New Roman" w:hAnsi="Times New Roman"/>
          <w:sz w:val="22"/>
        </w:rPr>
        <w:t xml:space="preserve"> as the basis for spiritual meanings, with Aquinas taking a measured approach by emphasizing historical foundations for all interpretations. Lyra proposed a double literal sense, while Lefèvre advocated for a solely spiritual reading, finding Christian relevance throughout Scripture. </w:t>
      </w:r>
      <w:r w:rsidRPr="00A97900">
        <w:rPr>
          <w:rFonts w:ascii="Times New Roman" w:hAnsi="Times New Roman"/>
          <w:b/>
          <w:bCs/>
          <w:sz w:val="22"/>
        </w:rPr>
        <w:t>Martin Luther</w:t>
      </w:r>
      <w:r>
        <w:rPr>
          <w:rFonts w:ascii="Times New Roman" w:hAnsi="Times New Roman"/>
          <w:sz w:val="22"/>
        </w:rPr>
        <w:t xml:space="preserve"> prioritized Christ </w:t>
      </w:r>
      <w:r>
        <w:rPr>
          <w:rFonts w:ascii="Times New Roman" w:hAnsi="Times New Roman"/>
          <w:sz w:val="22"/>
        </w:rPr>
        <w:t>in</w:t>
      </w:r>
      <w:r>
        <w:rPr>
          <w:rFonts w:ascii="Times New Roman" w:hAnsi="Times New Roman"/>
          <w:sz w:val="22"/>
        </w:rPr>
        <w:t xml:space="preserve"> the literal sense and faith </w:t>
      </w:r>
      <w:r>
        <w:rPr>
          <w:rFonts w:ascii="Times New Roman" w:hAnsi="Times New Roman"/>
          <w:sz w:val="22"/>
        </w:rPr>
        <w:t>in</w:t>
      </w:r>
      <w:r>
        <w:rPr>
          <w:rFonts w:ascii="Times New Roman" w:hAnsi="Times New Roman"/>
          <w:sz w:val="22"/>
        </w:rPr>
        <w:t xml:space="preserve"> the moral sense, reshaping biblical interpretation during the Reformation.</w:t>
      </w:r>
    </w:p>
    <w:p w:rsidR="00A97900" w:rsidRDefault="00A97900" w:rsidP="00A97900">
      <w:pPr>
        <w:jc w:val="both"/>
      </w:pPr>
    </w:p>
    <w:p w:rsidR="00A97900" w:rsidRPr="00DF5C06" w:rsidRDefault="00DF5C06" w:rsidP="00A97900">
      <w:pPr>
        <w:jc w:val="both"/>
        <w:rPr>
          <w:b/>
          <w:bCs/>
        </w:rPr>
      </w:pPr>
      <w:r w:rsidRPr="00DF5C06">
        <w:rPr>
          <w:rFonts w:ascii="Times New Roman" w:hAnsi="Times New Roman"/>
          <w:b/>
          <w:bCs/>
          <w:sz w:val="22"/>
        </w:rPr>
        <w:t xml:space="preserve">3. </w:t>
      </w:r>
      <w:r w:rsidR="00A97900" w:rsidRPr="00DF5C06">
        <w:rPr>
          <w:rFonts w:ascii="Times New Roman" w:hAnsi="Times New Roman"/>
          <w:b/>
          <w:bCs/>
          <w:sz w:val="22"/>
        </w:rPr>
        <w:t>The Spiritual Traditions</w:t>
      </w:r>
      <w:r>
        <w:rPr>
          <w:rFonts w:ascii="Times New Roman" w:hAnsi="Times New Roman"/>
          <w:b/>
          <w:bCs/>
          <w:sz w:val="22"/>
        </w:rPr>
        <w:t>.</w:t>
      </w:r>
    </w:p>
    <w:p w:rsidR="00DF5C06" w:rsidRDefault="00A97900" w:rsidP="00A97900">
      <w:pPr>
        <w:jc w:val="both"/>
      </w:pPr>
      <w:r w:rsidRPr="00DF5C06">
        <w:rPr>
          <w:rFonts w:ascii="Times New Roman" w:hAnsi="Times New Roman"/>
          <w:b/>
          <w:bCs/>
          <w:sz w:val="22"/>
        </w:rPr>
        <w:t>Critics of Scholasticism</w:t>
      </w:r>
      <w:r w:rsidR="00DF5C06">
        <w:rPr>
          <w:rFonts w:ascii="Times New Roman" w:hAnsi="Times New Roman"/>
          <w:b/>
          <w:bCs/>
          <w:sz w:val="22"/>
        </w:rPr>
        <w:t xml:space="preserve">. </w:t>
      </w:r>
      <w:r>
        <w:rPr>
          <w:rFonts w:ascii="Times New Roman" w:hAnsi="Times New Roman"/>
          <w:sz w:val="22"/>
        </w:rPr>
        <w:t>The distinction between Scholasticism and mystical spirituality lies in their focus—</w:t>
      </w:r>
      <w:r w:rsidR="00DF5C06">
        <w:rPr>
          <w:rFonts w:ascii="Times New Roman" w:hAnsi="Times New Roman"/>
          <w:sz w:val="22"/>
        </w:rPr>
        <w:t xml:space="preserve">a) </w:t>
      </w:r>
      <w:r>
        <w:rPr>
          <w:rFonts w:ascii="Times New Roman" w:hAnsi="Times New Roman"/>
          <w:sz w:val="22"/>
        </w:rPr>
        <w:t xml:space="preserve">outward versus inward effects, </w:t>
      </w:r>
      <w:r w:rsidR="00DF5C06">
        <w:rPr>
          <w:rFonts w:ascii="Times New Roman" w:hAnsi="Times New Roman"/>
          <w:sz w:val="22"/>
        </w:rPr>
        <w:t xml:space="preserve">b) </w:t>
      </w:r>
      <w:r>
        <w:rPr>
          <w:rFonts w:ascii="Times New Roman" w:hAnsi="Times New Roman"/>
          <w:sz w:val="22"/>
        </w:rPr>
        <w:t xml:space="preserve">reason versus affections, and an </w:t>
      </w:r>
      <w:r w:rsidR="00DF5C06">
        <w:rPr>
          <w:rFonts w:ascii="Times New Roman" w:hAnsi="Times New Roman"/>
          <w:sz w:val="22"/>
        </w:rPr>
        <w:t xml:space="preserve">c) </w:t>
      </w:r>
      <w:r>
        <w:rPr>
          <w:rFonts w:ascii="Times New Roman" w:hAnsi="Times New Roman"/>
          <w:sz w:val="22"/>
        </w:rPr>
        <w:t xml:space="preserve">elite versus democratic approach. Scholastics prioritized technical knowledge, while mysticism emphasized personal fulfillment. Gerson introduced educational reforms to address the extremes of Scotism, advocating for less speculative theology and more applicable knowledge. He encouraged reading beyond Lombard's Sentences on God's nature and retained scholastic disputation focused on contemplation and preaching, reintroducing figures like Bonaventura and Bernard. Nicholas of Clémanges viewed theological study as a practical tool for pastors, reflecting </w:t>
      </w:r>
      <w:r w:rsidRPr="00DF5C06">
        <w:rPr>
          <w:rFonts w:ascii="Times New Roman" w:hAnsi="Times New Roman"/>
          <w:i/>
          <w:iCs/>
          <w:sz w:val="22"/>
        </w:rPr>
        <w:t>anti-intellectual tendencies</w:t>
      </w:r>
      <w:r>
        <w:rPr>
          <w:rFonts w:ascii="Times New Roman" w:hAnsi="Times New Roman"/>
          <w:sz w:val="22"/>
        </w:rPr>
        <w:t xml:space="preserve"> seen in the </w:t>
      </w:r>
      <w:r w:rsidRPr="00DF5C06">
        <w:rPr>
          <w:rFonts w:ascii="Times New Roman" w:hAnsi="Times New Roman"/>
          <w:i/>
          <w:iCs/>
          <w:sz w:val="22"/>
        </w:rPr>
        <w:t>Devotia Moderna</w:t>
      </w:r>
      <w:r>
        <w:rPr>
          <w:rFonts w:ascii="Times New Roman" w:hAnsi="Times New Roman"/>
          <w:sz w:val="22"/>
        </w:rPr>
        <w:t>. Pico della Mirandola, although scholastic, acknowledged that fear of error outweighed the importance of eloquence according to critics.</w:t>
      </w:r>
      <w:r w:rsidR="00DF5C06">
        <w:rPr>
          <w:rFonts w:ascii="Times New Roman" w:hAnsi="Times New Roman"/>
          <w:sz w:val="22"/>
        </w:rPr>
        <w:t xml:space="preserve"> </w:t>
      </w:r>
      <w:r w:rsidRPr="00DF5C06">
        <w:rPr>
          <w:rFonts w:ascii="Times New Roman" w:hAnsi="Times New Roman"/>
          <w:b/>
          <w:bCs/>
          <w:sz w:val="22"/>
        </w:rPr>
        <w:t>Monastic Piety</w:t>
      </w:r>
      <w:r w:rsidR="00DF5C06">
        <w:rPr>
          <w:rFonts w:ascii="Times New Roman" w:hAnsi="Times New Roman"/>
          <w:b/>
          <w:bCs/>
          <w:sz w:val="22"/>
        </w:rPr>
        <w:t xml:space="preserve">. </w:t>
      </w:r>
      <w:r>
        <w:rPr>
          <w:rFonts w:ascii="Times New Roman" w:hAnsi="Times New Roman"/>
          <w:sz w:val="22"/>
        </w:rPr>
        <w:t xml:space="preserve">Monasticism grew as it was seen as the most perfect form of Christian confession, setting individuals apart from established religion. Praised during the Middle Ages, monks confessed sins to an abbot. </w:t>
      </w:r>
    </w:p>
    <w:p w:rsidR="00DF5C06" w:rsidRDefault="00A97900" w:rsidP="00DF5C06">
      <w:pPr>
        <w:pStyle w:val="ListParagraph"/>
        <w:numPr>
          <w:ilvl w:val="0"/>
          <w:numId w:val="7"/>
        </w:numPr>
        <w:jc w:val="both"/>
      </w:pPr>
      <w:r>
        <w:rPr>
          <w:rFonts w:ascii="Times New Roman" w:hAnsi="Times New Roman"/>
          <w:sz w:val="22"/>
        </w:rPr>
        <w:t xml:space="preserve">The </w:t>
      </w:r>
      <w:r w:rsidRPr="00DF5C06">
        <w:rPr>
          <w:rFonts w:ascii="Times New Roman" w:hAnsi="Times New Roman"/>
          <w:i/>
          <w:iCs/>
          <w:sz w:val="22"/>
        </w:rPr>
        <w:t>Cluny</w:t>
      </w:r>
      <w:r w:rsidRPr="00DF5C06">
        <w:rPr>
          <w:rFonts w:ascii="Times New Roman" w:hAnsi="Times New Roman"/>
          <w:sz w:val="22"/>
        </w:rPr>
        <w:t xml:space="preserve"> reform</w:t>
      </w:r>
      <w:r>
        <w:rPr>
          <w:rFonts w:ascii="Times New Roman" w:hAnsi="Times New Roman"/>
          <w:sz w:val="22"/>
        </w:rPr>
        <w:t xml:space="preserve"> opposed secular interference</w:t>
      </w:r>
      <w:r w:rsidR="00DF5C06">
        <w:rPr>
          <w:rFonts w:ascii="Times New Roman" w:hAnsi="Times New Roman"/>
          <w:sz w:val="22"/>
        </w:rPr>
        <w:t>.</w:t>
      </w:r>
      <w:r>
        <w:rPr>
          <w:rFonts w:ascii="Times New Roman" w:hAnsi="Times New Roman"/>
          <w:sz w:val="22"/>
        </w:rPr>
        <w:t xml:space="preserve"> </w:t>
      </w:r>
    </w:p>
    <w:p w:rsidR="00DF5C06" w:rsidRDefault="00DF5C06" w:rsidP="00DF5C06">
      <w:pPr>
        <w:pStyle w:val="ListParagraph"/>
        <w:numPr>
          <w:ilvl w:val="0"/>
          <w:numId w:val="7"/>
        </w:numPr>
        <w:jc w:val="both"/>
      </w:pPr>
      <w:r>
        <w:rPr>
          <w:rFonts w:ascii="Times New Roman" w:hAnsi="Times New Roman"/>
          <w:sz w:val="22"/>
        </w:rPr>
        <w:t>T</w:t>
      </w:r>
      <w:r w:rsidR="00A97900">
        <w:rPr>
          <w:rFonts w:ascii="Times New Roman" w:hAnsi="Times New Roman"/>
          <w:sz w:val="22"/>
        </w:rPr>
        <w:t>he</w:t>
      </w:r>
      <w:r w:rsidR="00A97900" w:rsidRPr="00DF5C06">
        <w:rPr>
          <w:rFonts w:ascii="Times New Roman" w:hAnsi="Times New Roman"/>
          <w:i/>
          <w:iCs/>
          <w:sz w:val="22"/>
        </w:rPr>
        <w:t xml:space="preserve"> Cistercians</w:t>
      </w:r>
      <w:r w:rsidR="00A97900">
        <w:rPr>
          <w:rFonts w:ascii="Times New Roman" w:hAnsi="Times New Roman"/>
          <w:sz w:val="22"/>
        </w:rPr>
        <w:t xml:space="preserve"> represented the height of monastic development, merging theology with piety. </w:t>
      </w:r>
    </w:p>
    <w:p w:rsidR="00DF5C06" w:rsidRDefault="00A97900" w:rsidP="00DF5C06">
      <w:pPr>
        <w:pStyle w:val="ListParagraph"/>
        <w:numPr>
          <w:ilvl w:val="0"/>
          <w:numId w:val="7"/>
        </w:numPr>
        <w:jc w:val="both"/>
      </w:pPr>
      <w:r>
        <w:rPr>
          <w:rFonts w:ascii="Times New Roman" w:hAnsi="Times New Roman"/>
          <w:sz w:val="22"/>
        </w:rPr>
        <w:t xml:space="preserve">Bernard of </w:t>
      </w:r>
      <w:r w:rsidRPr="00DF5C06">
        <w:rPr>
          <w:rFonts w:ascii="Times New Roman" w:hAnsi="Times New Roman"/>
          <w:i/>
          <w:iCs/>
          <w:sz w:val="22"/>
        </w:rPr>
        <w:t>Clairvaux's</w:t>
      </w:r>
      <w:r>
        <w:rPr>
          <w:rFonts w:ascii="Times New Roman" w:hAnsi="Times New Roman"/>
          <w:sz w:val="22"/>
        </w:rPr>
        <w:t xml:space="preserve"> progression of love—from self-love to love for God's sake—illustrates monastic ideals. </w:t>
      </w:r>
    </w:p>
    <w:p w:rsidR="00DF5C06" w:rsidRDefault="00A97900" w:rsidP="00DF5C06">
      <w:pPr>
        <w:pStyle w:val="ListParagraph"/>
        <w:numPr>
          <w:ilvl w:val="0"/>
          <w:numId w:val="7"/>
        </w:numPr>
        <w:jc w:val="both"/>
      </w:pPr>
      <w:r>
        <w:rPr>
          <w:rFonts w:ascii="Times New Roman" w:hAnsi="Times New Roman"/>
          <w:sz w:val="22"/>
        </w:rPr>
        <w:t xml:space="preserve">The </w:t>
      </w:r>
      <w:r w:rsidRPr="00DF5C06">
        <w:rPr>
          <w:rFonts w:ascii="Times New Roman" w:hAnsi="Times New Roman"/>
          <w:i/>
          <w:iCs/>
          <w:sz w:val="22"/>
        </w:rPr>
        <w:t>Victorines</w:t>
      </w:r>
      <w:r>
        <w:rPr>
          <w:rFonts w:ascii="Times New Roman" w:hAnsi="Times New Roman"/>
          <w:sz w:val="22"/>
        </w:rPr>
        <w:t xml:space="preserve"> prioritized experiential over intellectual pursuits. </w:t>
      </w:r>
    </w:p>
    <w:p w:rsidR="00DF5C06" w:rsidRDefault="00A97900" w:rsidP="00DF5C06">
      <w:pPr>
        <w:pStyle w:val="ListParagraph"/>
        <w:numPr>
          <w:ilvl w:val="0"/>
          <w:numId w:val="7"/>
        </w:numPr>
        <w:jc w:val="both"/>
      </w:pPr>
      <w:r w:rsidRPr="00DF5C06">
        <w:rPr>
          <w:rFonts w:ascii="Times New Roman" w:hAnsi="Times New Roman"/>
          <w:i/>
          <w:iCs/>
          <w:sz w:val="22"/>
        </w:rPr>
        <w:t>Beguines</w:t>
      </w:r>
      <w:r>
        <w:rPr>
          <w:rFonts w:ascii="Times New Roman" w:hAnsi="Times New Roman"/>
          <w:sz w:val="22"/>
        </w:rPr>
        <w:t xml:space="preserve">, though often mystics, faced accusations of heresy for their beliefs on spiritual perfection. </w:t>
      </w:r>
    </w:p>
    <w:p w:rsidR="00DF5C06" w:rsidRDefault="00A97900" w:rsidP="00DF5C06">
      <w:pPr>
        <w:pStyle w:val="ListParagraph"/>
        <w:numPr>
          <w:ilvl w:val="0"/>
          <w:numId w:val="7"/>
        </w:numPr>
        <w:jc w:val="both"/>
      </w:pPr>
      <w:r>
        <w:rPr>
          <w:rFonts w:ascii="Times New Roman" w:hAnsi="Times New Roman"/>
          <w:sz w:val="22"/>
        </w:rPr>
        <w:t xml:space="preserve">The </w:t>
      </w:r>
      <w:r w:rsidRPr="00DF5C06">
        <w:rPr>
          <w:rFonts w:ascii="Times New Roman" w:hAnsi="Times New Roman"/>
          <w:i/>
          <w:iCs/>
          <w:sz w:val="22"/>
        </w:rPr>
        <w:t>Modern Devotion</w:t>
      </w:r>
      <w:r>
        <w:rPr>
          <w:rFonts w:ascii="Times New Roman" w:hAnsi="Times New Roman"/>
          <w:sz w:val="22"/>
        </w:rPr>
        <w:t xml:space="preserve"> movement, championed by </w:t>
      </w:r>
      <w:r w:rsidRPr="00DF5C06">
        <w:rPr>
          <w:rFonts w:ascii="Times New Roman" w:hAnsi="Times New Roman"/>
          <w:i/>
          <w:iCs/>
          <w:sz w:val="22"/>
        </w:rPr>
        <w:t>Thomas à Kempis</w:t>
      </w:r>
      <w:r>
        <w:rPr>
          <w:rFonts w:ascii="Times New Roman" w:hAnsi="Times New Roman"/>
          <w:sz w:val="22"/>
        </w:rPr>
        <w:t>, turned away from speculative mysticism, emphasizing inner spiritual life.</w:t>
      </w:r>
      <w:r w:rsidR="00DF5C06">
        <w:rPr>
          <w:rFonts w:ascii="Times New Roman" w:hAnsi="Times New Roman"/>
          <w:sz w:val="22"/>
        </w:rPr>
        <w:t xml:space="preserve"> </w:t>
      </w:r>
    </w:p>
    <w:p w:rsidR="00A97900" w:rsidRDefault="00A97900" w:rsidP="00A97900">
      <w:pPr>
        <w:jc w:val="both"/>
      </w:pPr>
      <w:r w:rsidRPr="00DF5C06">
        <w:rPr>
          <w:rFonts w:ascii="Times New Roman" w:hAnsi="Times New Roman"/>
          <w:b/>
          <w:bCs/>
          <w:sz w:val="22"/>
        </w:rPr>
        <w:t>The Franciscan Movement</w:t>
      </w:r>
      <w:r w:rsidR="00DF5C06" w:rsidRPr="00DF5C06">
        <w:rPr>
          <w:rFonts w:ascii="Times New Roman" w:hAnsi="Times New Roman"/>
          <w:b/>
          <w:bCs/>
          <w:sz w:val="22"/>
        </w:rPr>
        <w:t xml:space="preserve">. </w:t>
      </w:r>
      <w:r>
        <w:rPr>
          <w:rFonts w:ascii="Times New Roman" w:hAnsi="Times New Roman"/>
          <w:sz w:val="22"/>
        </w:rPr>
        <w:t xml:space="preserve">Franciscans emphasized poverty, itinerant preaching, and manual labor, echoing Jesus’ mission to the apostles. After Francis's death, the movement split into </w:t>
      </w:r>
      <w:r w:rsidRPr="00DF5C06">
        <w:rPr>
          <w:rFonts w:ascii="Times New Roman" w:hAnsi="Times New Roman"/>
          <w:i/>
          <w:iCs/>
          <w:sz w:val="22"/>
        </w:rPr>
        <w:t>observant</w:t>
      </w:r>
      <w:r>
        <w:rPr>
          <w:rFonts w:ascii="Times New Roman" w:hAnsi="Times New Roman"/>
          <w:sz w:val="22"/>
        </w:rPr>
        <w:t xml:space="preserve"> and </w:t>
      </w:r>
      <w:r w:rsidRPr="00DF5C06">
        <w:rPr>
          <w:rFonts w:ascii="Times New Roman" w:hAnsi="Times New Roman"/>
          <w:i/>
          <w:iCs/>
          <w:sz w:val="22"/>
        </w:rPr>
        <w:t>conventual</w:t>
      </w:r>
      <w:r>
        <w:rPr>
          <w:rFonts w:ascii="Times New Roman" w:hAnsi="Times New Roman"/>
          <w:sz w:val="22"/>
        </w:rPr>
        <w:t xml:space="preserve"> branches. Bonaventura, known as the "second founder," unified the movement and promoted intellectual work. Joachim of Fiore, known for his philosophical views on history and the Trinity, was condemned yet revered by some as a prophet. Papal decrees ended Spiritual poverty and condemned Joachim.</w:t>
      </w:r>
      <w:r w:rsidR="00DF5C06">
        <w:rPr>
          <w:rFonts w:ascii="Times New Roman" w:hAnsi="Times New Roman"/>
          <w:sz w:val="22"/>
        </w:rPr>
        <w:t xml:space="preserve"> </w:t>
      </w:r>
      <w:r w:rsidRPr="00DF5C06">
        <w:rPr>
          <w:rFonts w:ascii="Times New Roman" w:hAnsi="Times New Roman"/>
          <w:b/>
          <w:bCs/>
          <w:sz w:val="22"/>
        </w:rPr>
        <w:t>Varieties of Mystical Experience</w:t>
      </w:r>
      <w:r w:rsidR="00DF5C06">
        <w:rPr>
          <w:rFonts w:ascii="Times New Roman" w:hAnsi="Times New Roman"/>
          <w:b/>
          <w:bCs/>
          <w:sz w:val="22"/>
        </w:rPr>
        <w:t xml:space="preserve">. </w:t>
      </w:r>
      <w:r>
        <w:rPr>
          <w:rFonts w:ascii="Times New Roman" w:hAnsi="Times New Roman"/>
          <w:sz w:val="22"/>
        </w:rPr>
        <w:t xml:space="preserve">Mystical experiences varied between the Latin and German traditions. The Latin tradition, with Cistercians and Franciscans, focused on figures like Bernard of Clairvaux and Bonaventura, while the German tradition included Dominicans like Albertus Magnus and Thomists. Mystics emphasized </w:t>
      </w:r>
      <w:r w:rsidR="00DF5C06">
        <w:rPr>
          <w:rFonts w:ascii="Times New Roman" w:hAnsi="Times New Roman"/>
          <w:sz w:val="22"/>
        </w:rPr>
        <w:t xml:space="preserve">a) </w:t>
      </w:r>
      <w:r>
        <w:rPr>
          <w:rFonts w:ascii="Times New Roman" w:hAnsi="Times New Roman"/>
          <w:sz w:val="22"/>
        </w:rPr>
        <w:t xml:space="preserve">self-denial, </w:t>
      </w:r>
      <w:r w:rsidR="00DF5C06">
        <w:rPr>
          <w:rFonts w:ascii="Times New Roman" w:hAnsi="Times New Roman"/>
          <w:sz w:val="22"/>
        </w:rPr>
        <w:t xml:space="preserve">b) </w:t>
      </w:r>
      <w:r>
        <w:rPr>
          <w:rFonts w:ascii="Times New Roman" w:hAnsi="Times New Roman"/>
          <w:sz w:val="22"/>
        </w:rPr>
        <w:t xml:space="preserve">faith-based experiences, and </w:t>
      </w:r>
      <w:r w:rsidR="00DF5C06">
        <w:rPr>
          <w:rFonts w:ascii="Times New Roman" w:hAnsi="Times New Roman"/>
          <w:sz w:val="22"/>
        </w:rPr>
        <w:t>c) likeness</w:t>
      </w:r>
      <w:r>
        <w:rPr>
          <w:rFonts w:ascii="Times New Roman" w:hAnsi="Times New Roman"/>
          <w:sz w:val="22"/>
        </w:rPr>
        <w:t xml:space="preserve"> to God. Dionysian Mysticism, based on the works of the Areopagite, highlighted God's transcendence with methods like the via affirmativa and via negativa. Bonaventura’s "Journey of the Mind to God" sought unity with Christ, </w:t>
      </w:r>
      <w:r>
        <w:rPr>
          <w:rFonts w:ascii="Times New Roman" w:hAnsi="Times New Roman"/>
          <w:sz w:val="22"/>
        </w:rPr>
        <w:lastRenderedPageBreak/>
        <w:t>emphasizing a Christ-centered approach compared to the Dionysian, using a metaphorical ladder to transcend into divine realms through grace</w:t>
      </w:r>
      <w:r w:rsidR="00DF5C06">
        <w:rPr>
          <w:rFonts w:ascii="Times New Roman" w:hAnsi="Times New Roman"/>
          <w:sz w:val="22"/>
        </w:rPr>
        <w:t xml:space="preserve"> (cf. Bonaventure notes)</w:t>
      </w:r>
      <w:r>
        <w:rPr>
          <w:rFonts w:ascii="Times New Roman" w:hAnsi="Times New Roman"/>
          <w:sz w:val="22"/>
        </w:rPr>
        <w:t>.</w:t>
      </w:r>
      <w:r w:rsidR="00DF5C06">
        <w:rPr>
          <w:rFonts w:ascii="Times New Roman" w:hAnsi="Times New Roman"/>
          <w:sz w:val="22"/>
        </w:rPr>
        <w:t xml:space="preserve"> </w:t>
      </w:r>
      <w:r w:rsidRPr="00DF5C06">
        <w:rPr>
          <w:rFonts w:ascii="Times New Roman" w:hAnsi="Times New Roman"/>
          <w:b/>
          <w:bCs/>
          <w:sz w:val="22"/>
        </w:rPr>
        <w:t>Meister Eckhart</w:t>
      </w:r>
      <w:r w:rsidR="00DF5C06">
        <w:rPr>
          <w:rFonts w:ascii="Times New Roman" w:hAnsi="Times New Roman"/>
          <w:b/>
          <w:bCs/>
          <w:sz w:val="22"/>
        </w:rPr>
        <w:t xml:space="preserve">. </w:t>
      </w:r>
      <w:r>
        <w:rPr>
          <w:rFonts w:ascii="Times New Roman" w:hAnsi="Times New Roman"/>
          <w:sz w:val="22"/>
        </w:rPr>
        <w:t>Eckhart, a controversial figure, was condemned for pantheistic views. His philosophy centered on the idea of returning to the undifferentiated Godhead, seeking union with God akin to a drop of water merging with the ocean. This concept contrasted with Bernard of Clairvaux and Gerson, who maintained a respectful distance between the soul and God. Eckhart's notion of thinking "</w:t>
      </w:r>
      <w:r w:rsidRPr="00DF5C06">
        <w:rPr>
          <w:rFonts w:ascii="Times New Roman" w:hAnsi="Times New Roman"/>
          <w:i/>
          <w:iCs/>
          <w:sz w:val="22"/>
        </w:rPr>
        <w:t>sub specie aeternitatis</w:t>
      </w:r>
      <w:r>
        <w:rPr>
          <w:rFonts w:ascii="Times New Roman" w:hAnsi="Times New Roman"/>
          <w:sz w:val="22"/>
        </w:rPr>
        <w:t>"—from the perspective of eternity—emphasizes beginning from the source, highlighting an innate connection to divine creation.</w:t>
      </w:r>
    </w:p>
    <w:p w:rsidR="00DF5C06" w:rsidRDefault="00DF5C06" w:rsidP="00A97900">
      <w:pPr>
        <w:jc w:val="both"/>
      </w:pPr>
    </w:p>
    <w:p w:rsidR="00DF5C06" w:rsidRPr="00DF5C06" w:rsidRDefault="00DF5C06" w:rsidP="00DF5C06">
      <w:pPr>
        <w:jc w:val="both"/>
        <w:rPr>
          <w:b/>
          <w:bCs/>
        </w:rPr>
      </w:pPr>
      <w:r>
        <w:rPr>
          <w:rFonts w:ascii="Times New Roman" w:hAnsi="Times New Roman"/>
          <w:b/>
          <w:bCs/>
          <w:sz w:val="22"/>
        </w:rPr>
        <w:t xml:space="preserve">4. </w:t>
      </w:r>
      <w:r w:rsidRPr="00DF5C06">
        <w:rPr>
          <w:rFonts w:ascii="Times New Roman" w:hAnsi="Times New Roman"/>
          <w:b/>
          <w:bCs/>
          <w:sz w:val="22"/>
        </w:rPr>
        <w:t>The Ecclesiopolitical Traditions</w:t>
      </w:r>
      <w:r>
        <w:rPr>
          <w:rFonts w:ascii="Times New Roman" w:hAnsi="Times New Roman"/>
          <w:b/>
          <w:bCs/>
          <w:sz w:val="22"/>
        </w:rPr>
        <w:t>.</w:t>
      </w:r>
    </w:p>
    <w:p w:rsidR="00DF5C06" w:rsidRDefault="00DF5C06" w:rsidP="00DF5C06">
      <w:pPr>
        <w:jc w:val="both"/>
      </w:pPr>
      <w:r w:rsidRPr="00DF5C06">
        <w:rPr>
          <w:rFonts w:ascii="Times New Roman" w:hAnsi="Times New Roman"/>
          <w:b/>
          <w:bCs/>
          <w:sz w:val="22"/>
        </w:rPr>
        <w:t>Secular and Theocratic Concepts of Government</w:t>
      </w:r>
      <w:r>
        <w:rPr>
          <w:rFonts w:ascii="Times New Roman" w:hAnsi="Times New Roman"/>
          <w:b/>
          <w:bCs/>
          <w:sz w:val="22"/>
        </w:rPr>
        <w:t xml:space="preserve">. </w:t>
      </w:r>
      <w:r>
        <w:rPr>
          <w:rFonts w:ascii="Times New Roman" w:hAnsi="Times New Roman"/>
          <w:sz w:val="22"/>
        </w:rPr>
        <w:t>The transition from feudal to modern nation-states marked a significant shift in governance, with evolving secular and theocratic concepts. This period saw a complex interplay between emerging nations and the Church, as power dynamics shifted dramatically.</w:t>
      </w:r>
      <w:r>
        <w:rPr>
          <w:rFonts w:ascii="Times New Roman" w:hAnsi="Times New Roman"/>
          <w:sz w:val="22"/>
        </w:rPr>
        <w:t xml:space="preserve"> </w:t>
      </w:r>
      <w:r w:rsidRPr="00DF5C06">
        <w:rPr>
          <w:rFonts w:ascii="Times New Roman" w:hAnsi="Times New Roman"/>
          <w:b/>
          <w:bCs/>
          <w:sz w:val="22"/>
        </w:rPr>
        <w:t>The Pre-eminence of Peter</w:t>
      </w:r>
      <w:r>
        <w:rPr>
          <w:rFonts w:ascii="Times New Roman" w:hAnsi="Times New Roman"/>
          <w:b/>
          <w:bCs/>
          <w:sz w:val="22"/>
        </w:rPr>
        <w:t xml:space="preserve">. </w:t>
      </w:r>
      <w:r>
        <w:rPr>
          <w:rFonts w:ascii="Times New Roman" w:hAnsi="Times New Roman"/>
          <w:sz w:val="22"/>
        </w:rPr>
        <w:t xml:space="preserve">The papacy's rise to power is historically rooted in ambiguous Biblical references to Peter and politically supported by Augustine’s view of politics as a result of the fall and sin. The Church was seen as the true republic. Historically, powerful bishops often outweighed emperors, managing to serve both religious and secular interests. The Donation of Constantine, later exposed as a forgery, bolstered papal claims. The papal crowning of Charlemagne in 800 and the </w:t>
      </w:r>
      <w:r w:rsidRPr="00DF5C06">
        <w:rPr>
          <w:rFonts w:ascii="Times New Roman" w:hAnsi="Times New Roman"/>
          <w:b/>
          <w:bCs/>
          <w:sz w:val="22"/>
        </w:rPr>
        <w:t>Cluny reform</w:t>
      </w:r>
      <w:r>
        <w:rPr>
          <w:rFonts w:ascii="Times New Roman" w:hAnsi="Times New Roman"/>
          <w:sz w:val="22"/>
        </w:rPr>
        <w:t>, which rejected clerical subservience to royal power, exemplified the growing authority of the Church. Disputes over the Investiture Controversy and the assertion that dealing with Peter's successors meant dealing with God heightened tensions, leading to excommunications of rebellious emperors and kings. Under Innocent III, the Church came close to a papal theocracy.</w:t>
      </w:r>
      <w:r>
        <w:rPr>
          <w:rFonts w:ascii="Times New Roman" w:hAnsi="Times New Roman"/>
          <w:sz w:val="22"/>
        </w:rPr>
        <w:t xml:space="preserve"> </w:t>
      </w:r>
      <w:r w:rsidRPr="00DF5C06">
        <w:rPr>
          <w:rFonts w:ascii="Times New Roman" w:hAnsi="Times New Roman"/>
          <w:b/>
          <w:bCs/>
          <w:sz w:val="22"/>
        </w:rPr>
        <w:t>Royal and Papal Apologists</w:t>
      </w:r>
      <w:r>
        <w:rPr>
          <w:rFonts w:ascii="Times New Roman" w:hAnsi="Times New Roman"/>
          <w:b/>
          <w:bCs/>
          <w:sz w:val="22"/>
        </w:rPr>
        <w:t xml:space="preserve">. </w:t>
      </w:r>
      <w:r>
        <w:rPr>
          <w:rFonts w:ascii="Times New Roman" w:hAnsi="Times New Roman"/>
          <w:sz w:val="22"/>
        </w:rPr>
        <w:t xml:space="preserve">The debate between canon lawyers and jurists highlighted the conflict between ecclesiastical and royalist claims. </w:t>
      </w:r>
      <w:r w:rsidRPr="00DF5C06">
        <w:rPr>
          <w:rFonts w:ascii="Times New Roman" w:hAnsi="Times New Roman"/>
          <w:sz w:val="22"/>
        </w:rPr>
        <w:t>Aristotle's</w:t>
      </w:r>
      <w:r>
        <w:rPr>
          <w:rFonts w:ascii="Times New Roman" w:hAnsi="Times New Roman"/>
          <w:sz w:val="22"/>
        </w:rPr>
        <w:t xml:space="preserve"> Politics, supporting the idea that man is naturally political, bolstered </w:t>
      </w:r>
      <w:r w:rsidRPr="00DF5C06">
        <w:rPr>
          <w:rFonts w:ascii="Times New Roman" w:hAnsi="Times New Roman"/>
          <w:sz w:val="22"/>
        </w:rPr>
        <w:t>royalist</w:t>
      </w:r>
      <w:r>
        <w:rPr>
          <w:rFonts w:ascii="Times New Roman" w:hAnsi="Times New Roman"/>
          <w:sz w:val="22"/>
        </w:rPr>
        <w:t xml:space="preserve"> arguments. Nations like France and England resisted papal authority, with figures like Giles of Rome articulating ecclesiastical positions. Royalists such as Aquinas, John of Paris, Ockham, and Marsilius in "Defender of Peace" criticized papal corruption and the illicit growth of papal power. Marsilius advocated for a structure where both the people and the faithful hold authority, challenging papal supremacy, and was ultimately condemned for these views.</w:t>
      </w:r>
    </w:p>
    <w:p w:rsidR="00B12D14" w:rsidRDefault="00B12D14" w:rsidP="00DF5C06">
      <w:pPr>
        <w:jc w:val="both"/>
      </w:pPr>
      <w:r>
        <w:rPr>
          <w:rFonts w:ascii="Times New Roman" w:hAnsi="Times New Roman"/>
          <w:sz w:val="22"/>
        </w:rPr>
        <w:drawing>
          <wp:inline distT="0" distB="0" distL="0" distR="0">
            <wp:extent cx="5943600" cy="1725930"/>
            <wp:effectExtent l="0" t="0" r="0" b="1270"/>
            <wp:docPr id="127794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4368" name="Picture 127794368"/>
                    <pic:cNvPicPr/>
                  </pic:nvPicPr>
                  <pic:blipFill>
                    <a:blip r:embed="rId8">
                      <a:extLst>
                        <a:ext uri="{28A0092B-C50C-407E-A947-70E740481C1C}">
                          <a14:useLocalDpi xmlns:a14="http://schemas.microsoft.com/office/drawing/2010/main" val="0"/>
                        </a:ext>
                      </a:extLst>
                    </a:blip>
                    <a:stretch>
                      <a:fillRect/>
                    </a:stretch>
                  </pic:blipFill>
                  <pic:spPr>
                    <a:xfrm>
                      <a:off x="0" y="0"/>
                      <a:ext cx="5943600" cy="1725930"/>
                    </a:xfrm>
                    <a:prstGeom prst="rect">
                      <a:avLst/>
                    </a:prstGeom>
                  </pic:spPr>
                </pic:pic>
              </a:graphicData>
            </a:graphic>
          </wp:inline>
        </w:drawing>
      </w:r>
    </w:p>
    <w:p w:rsidR="00DF5C06" w:rsidRDefault="00DF5C06" w:rsidP="00DF5C06">
      <w:pPr>
        <w:jc w:val="both"/>
      </w:pPr>
    </w:p>
    <w:p w:rsidR="00DF5C06" w:rsidRDefault="00DF5C06" w:rsidP="00DF5C06">
      <w:pPr>
        <w:jc w:val="both"/>
      </w:pPr>
      <w:r w:rsidRPr="00B12D14">
        <w:rPr>
          <w:rFonts w:ascii="Times New Roman" w:hAnsi="Times New Roman"/>
          <w:b/>
          <w:bCs/>
          <w:sz w:val="22"/>
        </w:rPr>
        <w:t>The Schism and the Rise of the Conciliar Theory of Church Government</w:t>
      </w:r>
      <w:r w:rsidR="00B12D14">
        <w:rPr>
          <w:rFonts w:ascii="Times New Roman" w:hAnsi="Times New Roman"/>
          <w:b/>
          <w:bCs/>
          <w:sz w:val="22"/>
        </w:rPr>
        <w:t xml:space="preserve">. </w:t>
      </w:r>
      <w:r>
        <w:rPr>
          <w:rFonts w:ascii="Times New Roman" w:hAnsi="Times New Roman"/>
          <w:sz w:val="22"/>
        </w:rPr>
        <w:t xml:space="preserve">The Council of Constance addressed the Great Schism, where multiple popes claimed authority. The council declared its authority superior to the pope, giving rise to </w:t>
      </w:r>
      <w:r w:rsidRPr="00B12D14">
        <w:rPr>
          <w:rFonts w:ascii="Times New Roman" w:hAnsi="Times New Roman"/>
          <w:b/>
          <w:bCs/>
          <w:sz w:val="22"/>
        </w:rPr>
        <w:t>conciliarism</w:t>
      </w:r>
      <w:r>
        <w:rPr>
          <w:rFonts w:ascii="Times New Roman" w:hAnsi="Times New Roman"/>
          <w:sz w:val="22"/>
        </w:rPr>
        <w:t>—the belief that councils held ultimate authority from Christ. Earlier canon law addressed how to deal with problematic popes, lending support to conciliarists who argued against papal absolute immunity during multiple papal claims.</w:t>
      </w:r>
      <w:r w:rsidR="00B12D14">
        <w:rPr>
          <w:rFonts w:ascii="Times New Roman" w:hAnsi="Times New Roman"/>
          <w:sz w:val="22"/>
        </w:rPr>
        <w:t xml:space="preserve"> </w:t>
      </w:r>
      <w:r w:rsidRPr="00B12D14">
        <w:rPr>
          <w:rFonts w:ascii="Times New Roman" w:hAnsi="Times New Roman"/>
          <w:b/>
          <w:bCs/>
          <w:sz w:val="22"/>
        </w:rPr>
        <w:t>The Council of Constance (1414-1417)</w:t>
      </w:r>
      <w:r w:rsidR="00B12D14">
        <w:rPr>
          <w:rFonts w:ascii="Times New Roman" w:hAnsi="Times New Roman"/>
          <w:b/>
          <w:bCs/>
          <w:sz w:val="22"/>
        </w:rPr>
        <w:t xml:space="preserve">. </w:t>
      </w:r>
      <w:r>
        <w:rPr>
          <w:rFonts w:ascii="Times New Roman" w:hAnsi="Times New Roman"/>
          <w:sz w:val="22"/>
        </w:rPr>
        <w:t>At Constance, two popes were deposed, one abdicated, and Martin V was elected, ending the schism. Figures like Huss and Wycliffe challenged papal power over civic domains, asserting that all dominion was divine. Huss's views, articulated in "On the Church," labeled Constance a heretic. He was ultimately burned at the council, perceived as advocating anarchism.</w:t>
      </w:r>
      <w:r w:rsidR="00B12D14">
        <w:rPr>
          <w:rFonts w:ascii="Times New Roman" w:hAnsi="Times New Roman"/>
          <w:sz w:val="22"/>
        </w:rPr>
        <w:t xml:space="preserve"> </w:t>
      </w:r>
      <w:r w:rsidRPr="00B12D14">
        <w:rPr>
          <w:rFonts w:ascii="Times New Roman" w:hAnsi="Times New Roman"/>
          <w:b/>
          <w:bCs/>
          <w:sz w:val="22"/>
        </w:rPr>
        <w:t>The Conciliar Movement After Constance</w:t>
      </w:r>
      <w:r w:rsidR="00B12D14">
        <w:rPr>
          <w:rFonts w:ascii="Times New Roman" w:hAnsi="Times New Roman"/>
          <w:b/>
          <w:bCs/>
          <w:sz w:val="22"/>
        </w:rPr>
        <w:t xml:space="preserve">. </w:t>
      </w:r>
      <w:r>
        <w:rPr>
          <w:rFonts w:ascii="Times New Roman" w:hAnsi="Times New Roman"/>
          <w:sz w:val="22"/>
        </w:rPr>
        <w:t xml:space="preserve">Following Constance, heretics were executed, and Martin V's election ended the schism, instituting reforms like regular councils. Popes resisted, desiring broader authority than mere ecclesiastical jurisdiction. Power struggles ensued, with the Council of Basel deposing a pope and creating an antipope, </w:t>
      </w:r>
      <w:r>
        <w:rPr>
          <w:rFonts w:ascii="Times New Roman" w:hAnsi="Times New Roman"/>
          <w:sz w:val="22"/>
        </w:rPr>
        <w:lastRenderedPageBreak/>
        <w:t>Felix V. Schismatic councils like Ferrara/Florence and Basel/Constance battled for supremacy, ultimately restoring papal control.</w:t>
      </w:r>
      <w:r w:rsidR="00B12D14">
        <w:rPr>
          <w:rFonts w:ascii="Times New Roman" w:hAnsi="Times New Roman"/>
          <w:sz w:val="22"/>
        </w:rPr>
        <w:t xml:space="preserve"> </w:t>
      </w:r>
      <w:r w:rsidRPr="00B12D14">
        <w:rPr>
          <w:rFonts w:ascii="Times New Roman" w:hAnsi="Times New Roman"/>
          <w:b/>
          <w:bCs/>
          <w:sz w:val="22"/>
        </w:rPr>
        <w:t>Nicholas of Cusa</w:t>
      </w:r>
      <w:r w:rsidR="00B12D14">
        <w:rPr>
          <w:rFonts w:ascii="Times New Roman" w:hAnsi="Times New Roman"/>
          <w:b/>
          <w:bCs/>
          <w:sz w:val="22"/>
        </w:rPr>
        <w:t xml:space="preserve">. </w:t>
      </w:r>
      <w:r>
        <w:rPr>
          <w:rFonts w:ascii="Times New Roman" w:hAnsi="Times New Roman"/>
          <w:sz w:val="22"/>
        </w:rPr>
        <w:t>Nicholas of Cusa supported the Basel Council initially but later backed the pope in Ferrara. A key theorist for both sides, his shift was due to Basel losing consensus and unity. He argued that council authority was valid only in emergencies, with only the pope having the right to call councils, reflecting the intricate dance between conciliar and papal powers.</w:t>
      </w:r>
    </w:p>
    <w:p w:rsidR="00DF5C06" w:rsidRDefault="00DF5C06" w:rsidP="00A97900">
      <w:pPr>
        <w:jc w:val="both"/>
      </w:pPr>
    </w:p>
    <w:p w:rsidR="00B12D14" w:rsidRPr="00B12D14" w:rsidRDefault="00B12D14" w:rsidP="00B12D14">
      <w:pPr>
        <w:jc w:val="both"/>
        <w:rPr>
          <w:b/>
          <w:bCs/>
        </w:rPr>
      </w:pPr>
      <w:r>
        <w:rPr>
          <w:rFonts w:ascii="Times New Roman" w:hAnsi="Times New Roman"/>
          <w:b/>
          <w:bCs/>
          <w:sz w:val="22"/>
        </w:rPr>
        <w:t xml:space="preserve">5. </w:t>
      </w:r>
      <w:r w:rsidRPr="00B12D14">
        <w:rPr>
          <w:rFonts w:ascii="Times New Roman" w:hAnsi="Times New Roman"/>
          <w:b/>
          <w:bCs/>
          <w:sz w:val="22"/>
        </w:rPr>
        <w:t>On the Eve of the Reformation</w:t>
      </w:r>
      <w:r>
        <w:rPr>
          <w:rFonts w:ascii="Times New Roman" w:hAnsi="Times New Roman"/>
          <w:b/>
          <w:bCs/>
          <w:sz w:val="22"/>
        </w:rPr>
        <w:t>.</w:t>
      </w:r>
    </w:p>
    <w:p w:rsidR="00B12D14" w:rsidRDefault="00B12D14" w:rsidP="00B12D14">
      <w:pPr>
        <w:jc w:val="both"/>
      </w:pPr>
      <w:r w:rsidRPr="00B12D14">
        <w:rPr>
          <w:rFonts w:ascii="Times New Roman" w:hAnsi="Times New Roman"/>
          <w:b/>
          <w:bCs/>
          <w:sz w:val="22"/>
        </w:rPr>
        <w:t>The Growth of Monarchy</w:t>
      </w:r>
      <w:r>
        <w:rPr>
          <w:rFonts w:ascii="Times New Roman" w:hAnsi="Times New Roman"/>
          <w:b/>
          <w:bCs/>
          <w:sz w:val="22"/>
        </w:rPr>
        <w:t xml:space="preserve">. </w:t>
      </w:r>
      <w:r>
        <w:rPr>
          <w:rFonts w:ascii="Times New Roman" w:hAnsi="Times New Roman"/>
          <w:sz w:val="22"/>
        </w:rPr>
        <w:t>During this period, monarchies gained strength through military victories, political unifications, and increased independence from ecclesiastical control, effectively checking papal power. France, Spain, and England led in these efforts, while Germany and Italy saw less unification due to the influence of German territorial princes and Italian city-states. The secular domination of the Church became prevalent in Spain, France, England, and Germany.</w:t>
      </w:r>
      <w:r>
        <w:rPr>
          <w:rFonts w:ascii="Times New Roman" w:hAnsi="Times New Roman"/>
          <w:sz w:val="22"/>
        </w:rPr>
        <w:t xml:space="preserve"> </w:t>
      </w:r>
      <w:r w:rsidRPr="00B12D14">
        <w:rPr>
          <w:rFonts w:ascii="Times New Roman" w:hAnsi="Times New Roman"/>
          <w:b/>
          <w:bCs/>
          <w:sz w:val="22"/>
        </w:rPr>
        <w:t>Population Dynamics and Economic Changes</w:t>
      </w:r>
      <w:r>
        <w:rPr>
          <w:rFonts w:ascii="Times New Roman" w:hAnsi="Times New Roman"/>
          <w:b/>
          <w:bCs/>
          <w:sz w:val="22"/>
        </w:rPr>
        <w:t xml:space="preserve">. </w:t>
      </w:r>
      <w:r>
        <w:rPr>
          <w:rFonts w:ascii="Times New Roman" w:hAnsi="Times New Roman"/>
          <w:sz w:val="22"/>
        </w:rPr>
        <w:t xml:space="preserve">The late Middle Ages witnessed growth in population, wealth, and fertility, with 90% of the population remaining rural. This growth led to increased divisions between capital and labor, expanded trade, and heavier taxes on the peasantry, often resulting in social unrest and revolts. </w:t>
      </w:r>
      <w:r w:rsidRPr="00B12D14">
        <w:rPr>
          <w:rFonts w:ascii="Times New Roman" w:hAnsi="Times New Roman"/>
          <w:b/>
          <w:bCs/>
          <w:sz w:val="22"/>
        </w:rPr>
        <w:t>Nobility and Royal Power</w:t>
      </w:r>
      <w:r>
        <w:rPr>
          <w:rFonts w:ascii="Times New Roman" w:hAnsi="Times New Roman"/>
          <w:b/>
          <w:bCs/>
          <w:sz w:val="22"/>
        </w:rPr>
        <w:t xml:space="preserve">. </w:t>
      </w:r>
      <w:r>
        <w:rPr>
          <w:rFonts w:ascii="Times New Roman" w:hAnsi="Times New Roman"/>
          <w:sz w:val="22"/>
        </w:rPr>
        <w:t>As noble influence waned, royal power and wealth ascended, with nobility increasingly subject to court demands and taxation, even surpassing previous Church levies. The new economy saw tensions in urban centers and the emergence of politically powerful rich classes, a situation Max Weber regarded as favorable to the rise of Protestantism.</w:t>
      </w:r>
      <w:r>
        <w:rPr>
          <w:rFonts w:ascii="Times New Roman" w:hAnsi="Times New Roman"/>
          <w:sz w:val="22"/>
        </w:rPr>
        <w:t xml:space="preserve"> </w:t>
      </w:r>
      <w:r w:rsidRPr="00B12D14">
        <w:rPr>
          <w:rFonts w:ascii="Times New Roman" w:hAnsi="Times New Roman"/>
          <w:b/>
          <w:bCs/>
          <w:sz w:val="22"/>
        </w:rPr>
        <w:t>Impact of Inflation and Innovation</w:t>
      </w:r>
      <w:r>
        <w:rPr>
          <w:rFonts w:ascii="Times New Roman" w:hAnsi="Times New Roman"/>
          <w:b/>
          <w:bCs/>
          <w:sz w:val="22"/>
        </w:rPr>
        <w:t xml:space="preserve">. </w:t>
      </w:r>
      <w:r>
        <w:rPr>
          <w:rFonts w:ascii="Times New Roman" w:hAnsi="Times New Roman"/>
          <w:sz w:val="22"/>
        </w:rPr>
        <w:t>High inflation followed population growth, outpacing the production of goods. The printing press introduced rapid and affordable access to information, fostering increased literacy and providing tools for political and cultural change. The spread of vernacular Bibles established a complex relationship between the Reformation and print, akin to the chicken-and-egg scenario.</w:t>
      </w:r>
      <w:r>
        <w:rPr>
          <w:rFonts w:ascii="Times New Roman" w:hAnsi="Times New Roman"/>
          <w:sz w:val="22"/>
        </w:rPr>
        <w:t xml:space="preserve"> </w:t>
      </w:r>
      <w:r w:rsidRPr="00B12D14">
        <w:rPr>
          <w:rFonts w:ascii="Times New Roman" w:hAnsi="Times New Roman"/>
          <w:b/>
          <w:bCs/>
          <w:sz w:val="22"/>
        </w:rPr>
        <w:t>Nationalism and Apostolic Movements</w:t>
      </w:r>
      <w:r>
        <w:rPr>
          <w:rFonts w:ascii="Times New Roman" w:hAnsi="Times New Roman"/>
          <w:b/>
          <w:bCs/>
          <w:sz w:val="22"/>
        </w:rPr>
        <w:t xml:space="preserve">. </w:t>
      </w:r>
      <w:r>
        <w:rPr>
          <w:rFonts w:ascii="Times New Roman" w:hAnsi="Times New Roman"/>
          <w:sz w:val="22"/>
        </w:rPr>
        <w:t>Nationalism fostered territorial churches while various groups like the Waldensians, Albigensians (Cathars), Spiritual Franciscans (Fraticelli), Lollards, and Hussites pursued an apostolic lifestyle, emphasizing moral excellence. This movement toward individualistic piety, often seen in contrast to external religious observances, aligned with Protestant interpretations, although some saw it as a false dichotomy.</w:t>
      </w:r>
      <w:r>
        <w:rPr>
          <w:rFonts w:ascii="Times New Roman" w:hAnsi="Times New Roman"/>
          <w:sz w:val="22"/>
        </w:rPr>
        <w:t xml:space="preserve"> </w:t>
      </w:r>
      <w:r w:rsidRPr="00B12D14">
        <w:rPr>
          <w:rFonts w:ascii="Times New Roman" w:hAnsi="Times New Roman"/>
          <w:b/>
          <w:bCs/>
          <w:sz w:val="22"/>
        </w:rPr>
        <w:t>Clerical Taxation and Dissatisfaction</w:t>
      </w:r>
      <w:r>
        <w:rPr>
          <w:rFonts w:ascii="Times New Roman" w:hAnsi="Times New Roman"/>
          <w:b/>
          <w:bCs/>
          <w:sz w:val="22"/>
        </w:rPr>
        <w:t xml:space="preserve">. </w:t>
      </w:r>
      <w:r>
        <w:rPr>
          <w:rFonts w:ascii="Times New Roman" w:hAnsi="Times New Roman"/>
          <w:sz w:val="22"/>
        </w:rPr>
        <w:t>High taxes imposed by bishops alienated lower clergy from their superiors, trickling down to increased burdens on the laity, including expensive burial fees. Penitential practices like indulgences left many dissatisfied with traditional piety, even as lay spiritual life increasingly mirrored clerical models.</w:t>
      </w:r>
      <w:r>
        <w:rPr>
          <w:rFonts w:ascii="Times New Roman" w:hAnsi="Times New Roman"/>
          <w:sz w:val="22"/>
        </w:rPr>
        <w:t xml:space="preserve"> </w:t>
      </w:r>
      <w:r w:rsidRPr="00B12D14">
        <w:rPr>
          <w:rFonts w:ascii="Times New Roman" w:hAnsi="Times New Roman"/>
          <w:b/>
          <w:bCs/>
          <w:sz w:val="22"/>
        </w:rPr>
        <w:t>The Seeds of Reformation</w:t>
      </w:r>
      <w:r>
        <w:rPr>
          <w:rFonts w:ascii="Times New Roman" w:hAnsi="Times New Roman"/>
          <w:b/>
          <w:bCs/>
          <w:sz w:val="22"/>
        </w:rPr>
        <w:t xml:space="preserve">. </w:t>
      </w:r>
      <w:r>
        <w:rPr>
          <w:rFonts w:ascii="Times New Roman" w:hAnsi="Times New Roman"/>
          <w:sz w:val="22"/>
        </w:rPr>
        <w:t>This dissatisfaction contributed to the Reformation, as seen in Martin Luther's experience, illustrating that even a rigorous monastic life could not satisfy the spiritual yearnings of the time.</w:t>
      </w:r>
    </w:p>
    <w:p w:rsidR="00DF5C06" w:rsidRDefault="00DF5C06" w:rsidP="00A97900">
      <w:pPr>
        <w:jc w:val="both"/>
      </w:pPr>
    </w:p>
    <w:p w:rsidR="00B12D14" w:rsidRPr="00B12D14" w:rsidRDefault="00496001" w:rsidP="00B12D14">
      <w:pPr>
        <w:jc w:val="both"/>
        <w:rPr>
          <w:b/>
          <w:bCs/>
        </w:rPr>
      </w:pPr>
      <w:r>
        <w:rPr>
          <w:rFonts w:ascii="Times New Roman" w:hAnsi="Times New Roman"/>
          <w:b/>
          <w:bCs/>
          <w:sz w:val="22"/>
        </w:rPr>
        <w:t xml:space="preserve">6. </w:t>
      </w:r>
      <w:r w:rsidR="00B12D14" w:rsidRPr="00B12D14">
        <w:rPr>
          <w:rFonts w:ascii="Times New Roman" w:hAnsi="Times New Roman"/>
          <w:b/>
          <w:bCs/>
          <w:sz w:val="22"/>
        </w:rPr>
        <w:t>Luther and Scholasticism</w:t>
      </w:r>
      <w:r w:rsidR="00B12D14">
        <w:rPr>
          <w:rFonts w:ascii="Times New Roman" w:hAnsi="Times New Roman"/>
          <w:b/>
          <w:bCs/>
          <w:sz w:val="22"/>
        </w:rPr>
        <w:t>.</w:t>
      </w:r>
    </w:p>
    <w:p w:rsidR="00B12D14" w:rsidRDefault="00B12D14" w:rsidP="00B12D14">
      <w:pPr>
        <w:jc w:val="both"/>
      </w:pPr>
      <w:r>
        <w:rPr>
          <w:rFonts w:ascii="Times New Roman" w:hAnsi="Times New Roman"/>
          <w:sz w:val="22"/>
        </w:rPr>
        <w:t xml:space="preserve">Martin Luther, a brilliant theologian, engaged deeply with the scholastic traditions, critiquing them through a well-informed lens. He challenged the frameworks established by figures like Aquinas and Ockham. Aquinas posited a process involving the </w:t>
      </w:r>
      <w:r>
        <w:rPr>
          <w:rFonts w:ascii="Times New Roman" w:hAnsi="Times New Roman"/>
          <w:sz w:val="22"/>
        </w:rPr>
        <w:t xml:space="preserve">1) </w:t>
      </w:r>
      <w:r>
        <w:rPr>
          <w:rFonts w:ascii="Times New Roman" w:hAnsi="Times New Roman"/>
          <w:sz w:val="22"/>
        </w:rPr>
        <w:t>gratuitous infusion of grace,</w:t>
      </w:r>
      <w:r>
        <w:rPr>
          <w:rFonts w:ascii="Times New Roman" w:hAnsi="Times New Roman"/>
          <w:sz w:val="22"/>
        </w:rPr>
        <w:t xml:space="preserve"> 2)</w:t>
      </w:r>
      <w:r>
        <w:rPr>
          <w:rFonts w:ascii="Times New Roman" w:hAnsi="Times New Roman"/>
          <w:sz w:val="22"/>
        </w:rPr>
        <w:t xml:space="preserve"> moral cooperation aided by grace, and </w:t>
      </w:r>
      <w:r>
        <w:rPr>
          <w:rFonts w:ascii="Times New Roman" w:hAnsi="Times New Roman"/>
          <w:sz w:val="22"/>
        </w:rPr>
        <w:t xml:space="preserve">3) </w:t>
      </w:r>
      <w:r>
        <w:rPr>
          <w:rFonts w:ascii="Times New Roman" w:hAnsi="Times New Roman"/>
          <w:sz w:val="22"/>
        </w:rPr>
        <w:t xml:space="preserve">the eventual reward of eternal life as a just due. Ockham, however, emphasized </w:t>
      </w:r>
      <w:r>
        <w:rPr>
          <w:rFonts w:ascii="Times New Roman" w:hAnsi="Times New Roman"/>
          <w:sz w:val="22"/>
        </w:rPr>
        <w:t xml:space="preserve">1) </w:t>
      </w:r>
      <w:r>
        <w:rPr>
          <w:rFonts w:ascii="Times New Roman" w:hAnsi="Times New Roman"/>
          <w:sz w:val="22"/>
        </w:rPr>
        <w:t>natural moral effort followed by</w:t>
      </w:r>
      <w:r>
        <w:rPr>
          <w:rFonts w:ascii="Times New Roman" w:hAnsi="Times New Roman"/>
          <w:sz w:val="22"/>
        </w:rPr>
        <w:t xml:space="preserve"> 2)</w:t>
      </w:r>
      <w:r>
        <w:rPr>
          <w:rFonts w:ascii="Times New Roman" w:hAnsi="Times New Roman"/>
          <w:sz w:val="22"/>
        </w:rPr>
        <w:t xml:space="preserve"> grace as a reward,</w:t>
      </w:r>
      <w:r>
        <w:rPr>
          <w:rFonts w:ascii="Times New Roman" w:hAnsi="Times New Roman"/>
          <w:sz w:val="22"/>
        </w:rPr>
        <w:t xml:space="preserve"> 3)</w:t>
      </w:r>
      <w:r>
        <w:rPr>
          <w:rFonts w:ascii="Times New Roman" w:hAnsi="Times New Roman"/>
          <w:sz w:val="22"/>
        </w:rPr>
        <w:t xml:space="preserve"> moral cooperation, and </w:t>
      </w:r>
      <w:r>
        <w:rPr>
          <w:rFonts w:ascii="Times New Roman" w:hAnsi="Times New Roman"/>
          <w:sz w:val="22"/>
        </w:rPr>
        <w:t xml:space="preserve">4) </w:t>
      </w:r>
      <w:r>
        <w:rPr>
          <w:rFonts w:ascii="Times New Roman" w:hAnsi="Times New Roman"/>
          <w:sz w:val="22"/>
        </w:rPr>
        <w:t>eternal life also viewed as a just due. Luther stood against Ockham's emphasis on natural moral ability and wholly opposed Aristotle’s influence, which he viewed as undermining the logic of faith. In his Disputation against Scholastic Theology, Luther criticized theological speculation and what he saw as Pelagianism within these frameworks, focusing instead on a theology rooted in faith rather than Aristotelian logic.</w:t>
      </w:r>
      <w:r>
        <w:rPr>
          <w:rFonts w:ascii="Times New Roman" w:hAnsi="Times New Roman"/>
          <w:sz w:val="22"/>
        </w:rPr>
        <w:t xml:space="preserve"> </w:t>
      </w:r>
      <w:r w:rsidRPr="00B12D14">
        <w:rPr>
          <w:rFonts w:ascii="Times New Roman" w:hAnsi="Times New Roman"/>
          <w:b/>
          <w:bCs/>
          <w:sz w:val="22"/>
        </w:rPr>
        <w:t>Luther and Mysticism</w:t>
      </w:r>
      <w:r>
        <w:rPr>
          <w:rFonts w:ascii="Times New Roman" w:hAnsi="Times New Roman"/>
          <w:b/>
          <w:bCs/>
          <w:sz w:val="22"/>
        </w:rPr>
        <w:t xml:space="preserve">. </w:t>
      </w:r>
      <w:r>
        <w:rPr>
          <w:rFonts w:ascii="Times New Roman" w:hAnsi="Times New Roman"/>
          <w:sz w:val="22"/>
        </w:rPr>
        <w:t xml:space="preserve">Luther’s views on mysticism were complex. While he valued its non-scholastic and biblical approach, which offered a personal treatment of religion, he ultimately opposed mysticism. Unlike mystics </w:t>
      </w:r>
      <w:r>
        <w:rPr>
          <w:rFonts w:ascii="Times New Roman" w:hAnsi="Times New Roman"/>
          <w:sz w:val="22"/>
        </w:rPr>
        <w:t xml:space="preserve">who </w:t>
      </w:r>
      <w:r>
        <w:rPr>
          <w:rFonts w:ascii="Times New Roman" w:hAnsi="Times New Roman"/>
          <w:sz w:val="22"/>
        </w:rPr>
        <w:t xml:space="preserve">focused on </w:t>
      </w:r>
      <w:r w:rsidRPr="00B12D14">
        <w:rPr>
          <w:rFonts w:ascii="Times New Roman" w:hAnsi="Times New Roman"/>
          <w:i/>
          <w:iCs/>
          <w:sz w:val="22"/>
        </w:rPr>
        <w:t>charitas</w:t>
      </w:r>
      <w:r>
        <w:rPr>
          <w:rFonts w:ascii="Times New Roman" w:hAnsi="Times New Roman"/>
          <w:sz w:val="22"/>
        </w:rPr>
        <w:t>,</w:t>
      </w:r>
      <w:r>
        <w:rPr>
          <w:rFonts w:ascii="Times New Roman" w:hAnsi="Times New Roman"/>
          <w:sz w:val="22"/>
        </w:rPr>
        <w:t xml:space="preserve"> Luther emphasized </w:t>
      </w:r>
      <w:r w:rsidRPr="00B12D14">
        <w:rPr>
          <w:rFonts w:ascii="Times New Roman" w:hAnsi="Times New Roman"/>
          <w:i/>
          <w:iCs/>
          <w:sz w:val="22"/>
        </w:rPr>
        <w:t>fides</w:t>
      </w:r>
      <w:r>
        <w:rPr>
          <w:rFonts w:ascii="Times New Roman" w:hAnsi="Times New Roman"/>
          <w:sz w:val="22"/>
        </w:rPr>
        <w:t>. He agreed with Scotus and Ockham that salvation relied on God's trustworthiness rather than the institutional Church, sacraments, or the soul. Despite finding mysticism appealing, Luther sought a faith-centered, scriptural approach, distinct from both scholastic and mystical traditions.</w:t>
      </w:r>
      <w:r>
        <w:rPr>
          <w:rFonts w:ascii="Times New Roman" w:hAnsi="Times New Roman"/>
          <w:sz w:val="22"/>
        </w:rPr>
        <w:t xml:space="preserve"> </w:t>
      </w:r>
    </w:p>
    <w:p w:rsidR="00496001" w:rsidRDefault="00496001" w:rsidP="00B12D14">
      <w:pPr>
        <w:jc w:val="both"/>
      </w:pPr>
    </w:p>
    <w:p w:rsidR="00496001" w:rsidRPr="00496001" w:rsidRDefault="00496001" w:rsidP="00496001">
      <w:pPr>
        <w:jc w:val="both"/>
        <w:rPr>
          <w:b/>
          <w:bCs/>
        </w:rPr>
      </w:pPr>
      <w:r w:rsidRPr="00496001">
        <w:rPr>
          <w:rFonts w:ascii="Times New Roman" w:hAnsi="Times New Roman"/>
          <w:b/>
          <w:bCs/>
          <w:sz w:val="22"/>
        </w:rPr>
        <w:lastRenderedPageBreak/>
        <w:t xml:space="preserve">7. </w:t>
      </w:r>
      <w:r w:rsidRPr="00496001">
        <w:rPr>
          <w:rFonts w:ascii="Times New Roman" w:hAnsi="Times New Roman"/>
          <w:b/>
          <w:bCs/>
          <w:sz w:val="22"/>
        </w:rPr>
        <w:t>Society and Politics in the German Reformation</w:t>
      </w:r>
      <w:r>
        <w:rPr>
          <w:rFonts w:ascii="Times New Roman" w:hAnsi="Times New Roman"/>
          <w:b/>
          <w:bCs/>
          <w:sz w:val="22"/>
        </w:rPr>
        <w:t>.</w:t>
      </w:r>
    </w:p>
    <w:p w:rsidR="00496001" w:rsidRDefault="00496001" w:rsidP="00496001">
      <w:pPr>
        <w:jc w:val="both"/>
      </w:pPr>
      <w:r w:rsidRPr="00496001">
        <w:rPr>
          <w:rFonts w:ascii="Times New Roman" w:hAnsi="Times New Roman"/>
          <w:b/>
          <w:bCs/>
          <w:sz w:val="22"/>
        </w:rPr>
        <w:t>Imperial Politics in the First Half of the Sixteenth Century</w:t>
      </w:r>
      <w:r>
        <w:rPr>
          <w:rFonts w:ascii="Times New Roman" w:hAnsi="Times New Roman"/>
          <w:b/>
          <w:bCs/>
          <w:sz w:val="22"/>
        </w:rPr>
        <w:t xml:space="preserve">. </w:t>
      </w:r>
      <w:r>
        <w:rPr>
          <w:rFonts w:ascii="Times New Roman" w:hAnsi="Times New Roman"/>
          <w:sz w:val="22"/>
        </w:rPr>
        <w:t>Frederick the Wise was Luther's highest immediate political authority, serving as both a protector and a model of Catholic piety. His friendship with the emperor allowed Luther to thrive despite official scrutiny. Luther’s survival was partly due to the death of Emperor Maximilian, which shifted attention away from him</w:t>
      </w:r>
      <w:r>
        <w:rPr>
          <w:rFonts w:ascii="Times New Roman" w:hAnsi="Times New Roman"/>
          <w:sz w:val="22"/>
        </w:rPr>
        <w:t xml:space="preserve"> to the issue of succession</w:t>
      </w:r>
      <w:r>
        <w:rPr>
          <w:rFonts w:ascii="Times New Roman" w:hAnsi="Times New Roman"/>
          <w:sz w:val="22"/>
        </w:rPr>
        <w:t xml:space="preserve">, preventing his capture. Charles V, having ascended to a vast empire, struggled with maintaining control, especially after a long war with France and having made concessions to Germans to </w:t>
      </w:r>
      <w:r>
        <w:rPr>
          <w:rFonts w:ascii="Times New Roman" w:hAnsi="Times New Roman"/>
          <w:sz w:val="22"/>
        </w:rPr>
        <w:t>limit</w:t>
      </w:r>
      <w:r>
        <w:rPr>
          <w:rFonts w:ascii="Times New Roman" w:hAnsi="Times New Roman"/>
          <w:sz w:val="22"/>
        </w:rPr>
        <w:t xml:space="preserve"> Spanish influence in Germany. Consequently, Charles lacked the power to enforce the Edict of Worms in Protestant territories, allowing Lutheran princes to seize and maintain power.</w:t>
      </w:r>
      <w:r>
        <w:rPr>
          <w:rFonts w:ascii="Times New Roman" w:hAnsi="Times New Roman"/>
          <w:sz w:val="22"/>
        </w:rPr>
        <w:t xml:space="preserve"> </w:t>
      </w:r>
      <w:r w:rsidRPr="00496001">
        <w:rPr>
          <w:rFonts w:ascii="Times New Roman" w:hAnsi="Times New Roman"/>
          <w:b/>
          <w:bCs/>
          <w:sz w:val="22"/>
        </w:rPr>
        <w:t>Lutheran Social Philosophy</w:t>
      </w:r>
      <w:r>
        <w:rPr>
          <w:rFonts w:ascii="Times New Roman" w:hAnsi="Times New Roman"/>
          <w:b/>
          <w:bCs/>
          <w:sz w:val="22"/>
        </w:rPr>
        <w:t xml:space="preserve">. </w:t>
      </w:r>
      <w:r w:rsidRPr="00496001">
        <w:rPr>
          <w:rFonts w:ascii="Times New Roman" w:hAnsi="Times New Roman"/>
          <w:i/>
          <w:iCs/>
          <w:sz w:val="22"/>
        </w:rPr>
        <w:t>Dilthey</w:t>
      </w:r>
      <w:r>
        <w:rPr>
          <w:rFonts w:ascii="Times New Roman" w:hAnsi="Times New Roman"/>
          <w:sz w:val="22"/>
        </w:rPr>
        <w:t xml:space="preserve"> viewed justification by faith as a defense of personal autonomy, anticipating modern individual freedom. </w:t>
      </w:r>
      <w:r w:rsidRPr="00496001">
        <w:rPr>
          <w:rFonts w:ascii="Times New Roman" w:hAnsi="Times New Roman"/>
          <w:i/>
          <w:iCs/>
          <w:sz w:val="22"/>
        </w:rPr>
        <w:t>Max Weber</w:t>
      </w:r>
      <w:r>
        <w:rPr>
          <w:rFonts w:ascii="Times New Roman" w:hAnsi="Times New Roman"/>
          <w:sz w:val="22"/>
        </w:rPr>
        <w:t xml:space="preserve"> noted its influence on work ethic, while </w:t>
      </w:r>
      <w:r w:rsidRPr="00496001">
        <w:rPr>
          <w:rFonts w:ascii="Times New Roman" w:hAnsi="Times New Roman"/>
          <w:i/>
          <w:iCs/>
          <w:sz w:val="22"/>
        </w:rPr>
        <w:t xml:space="preserve">Ernst </w:t>
      </w:r>
      <w:r w:rsidRPr="00496001">
        <w:rPr>
          <w:rFonts w:ascii="Times New Roman" w:hAnsi="Times New Roman"/>
          <w:i/>
          <w:iCs/>
          <w:sz w:val="22"/>
        </w:rPr>
        <w:t>Troeltsch</w:t>
      </w:r>
      <w:r>
        <w:rPr>
          <w:rFonts w:ascii="Times New Roman" w:hAnsi="Times New Roman"/>
          <w:sz w:val="22"/>
        </w:rPr>
        <w:t xml:space="preserve"> argued that the Reformation retained medieval characteristics yet fostered modern tendencies: rejecting monasticism, supporting Roman/natural law over canon law, aiding economic organization, and embracing humanist educational reforms. Early on, Luther was cautious not to alienate magistrates, advocating for social welfare and secular taxes. He promoted two forms of governance—spiritual and temporal—and encouraged reform, not rebellion, although he eventually supported the active resistance of princes against the emperor.</w:t>
      </w:r>
      <w:r>
        <w:rPr>
          <w:rFonts w:ascii="Times New Roman" w:hAnsi="Times New Roman"/>
          <w:sz w:val="22"/>
        </w:rPr>
        <w:t xml:space="preserve"> </w:t>
      </w:r>
      <w:r w:rsidRPr="00496001">
        <w:rPr>
          <w:rFonts w:ascii="Times New Roman" w:hAnsi="Times New Roman"/>
          <w:b/>
          <w:bCs/>
          <w:sz w:val="22"/>
        </w:rPr>
        <w:t>The Revolt of the Common Man</w:t>
      </w:r>
      <w:r>
        <w:rPr>
          <w:rFonts w:ascii="Times New Roman" w:hAnsi="Times New Roman"/>
          <w:b/>
          <w:bCs/>
          <w:sz w:val="22"/>
        </w:rPr>
        <w:t xml:space="preserve">. </w:t>
      </w:r>
      <w:r>
        <w:rPr>
          <w:rFonts w:ascii="Times New Roman" w:hAnsi="Times New Roman"/>
          <w:sz w:val="22"/>
        </w:rPr>
        <w:t xml:space="preserve">The Peasant War, seen by </w:t>
      </w:r>
      <w:r w:rsidRPr="00496001">
        <w:rPr>
          <w:rFonts w:ascii="Times New Roman" w:hAnsi="Times New Roman"/>
          <w:i/>
          <w:iCs/>
          <w:sz w:val="22"/>
        </w:rPr>
        <w:t>Marx</w:t>
      </w:r>
      <w:r>
        <w:rPr>
          <w:rFonts w:ascii="Times New Roman" w:hAnsi="Times New Roman"/>
          <w:sz w:val="22"/>
        </w:rPr>
        <w:t xml:space="preserve"> as an early bourgeois revolution, was inspired by the gospel of freedom and equality. It represented a revolt against feudalism and restrictions imposed by German princes. While Luther initially endorsed the peasants' grievances, urging justice and fairness, he condemned armed resistance, eventually speaking harshly against the revolt. He believed Christianity was not about social justice or ethics and preferred tyranny over anarchy, reflecting his cautious approach to political and social upheavals.</w:t>
      </w:r>
    </w:p>
    <w:p w:rsidR="00496001" w:rsidRDefault="00496001" w:rsidP="00496001">
      <w:pPr>
        <w:jc w:val="both"/>
      </w:pPr>
    </w:p>
    <w:p w:rsidR="00496001" w:rsidRPr="00496001" w:rsidRDefault="00496001" w:rsidP="00496001">
      <w:pPr>
        <w:jc w:val="both"/>
        <w:rPr>
          <w:b/>
          <w:bCs/>
        </w:rPr>
      </w:pPr>
      <w:r>
        <w:rPr>
          <w:rFonts w:ascii="Times New Roman" w:hAnsi="Times New Roman"/>
          <w:b/>
          <w:bCs/>
          <w:sz w:val="22"/>
        </w:rPr>
        <w:t xml:space="preserve">8. </w:t>
      </w:r>
      <w:r w:rsidRPr="00496001">
        <w:rPr>
          <w:rFonts w:ascii="Times New Roman" w:hAnsi="Times New Roman"/>
          <w:b/>
          <w:bCs/>
          <w:sz w:val="22"/>
        </w:rPr>
        <w:t>Humanism and the Reformation</w:t>
      </w:r>
      <w:r>
        <w:rPr>
          <w:rFonts w:ascii="Times New Roman" w:hAnsi="Times New Roman"/>
          <w:b/>
          <w:bCs/>
          <w:sz w:val="22"/>
        </w:rPr>
        <w:t>.</w:t>
      </w:r>
    </w:p>
    <w:p w:rsidR="00496001" w:rsidRDefault="00496001" w:rsidP="00496001">
      <w:pPr>
        <w:jc w:val="both"/>
      </w:pPr>
      <w:r w:rsidRPr="00496001">
        <w:rPr>
          <w:rFonts w:ascii="Times New Roman" w:hAnsi="Times New Roman"/>
          <w:b/>
          <w:bCs/>
          <w:sz w:val="22"/>
        </w:rPr>
        <w:t>Erasmus and Luther</w:t>
      </w:r>
      <w:r>
        <w:rPr>
          <w:rFonts w:ascii="Times New Roman" w:hAnsi="Times New Roman"/>
          <w:b/>
          <w:bCs/>
          <w:sz w:val="22"/>
        </w:rPr>
        <w:t xml:space="preserve">. </w:t>
      </w:r>
      <w:r>
        <w:rPr>
          <w:rFonts w:ascii="Times New Roman" w:hAnsi="Times New Roman"/>
          <w:sz w:val="22"/>
        </w:rPr>
        <w:t>Erasmus viewed humans as neutral moral agents and initially appreciated Luther's stance against superstition</w:t>
      </w:r>
      <w:r>
        <w:rPr>
          <w:rFonts w:ascii="Times New Roman" w:hAnsi="Times New Roman"/>
          <w:sz w:val="22"/>
        </w:rPr>
        <w:t>s</w:t>
      </w:r>
      <w:r>
        <w:rPr>
          <w:rFonts w:ascii="Times New Roman" w:hAnsi="Times New Roman"/>
          <w:sz w:val="22"/>
        </w:rPr>
        <w:t xml:space="preserve">, showing crypto-Lutheran tendencies. However, Erasmus later opposed Luther's calls for radical reform, favoring gradual changes within existing faith structures. Erasmus saw the doctrine of free will as nonessential, whereas Luther, disputing against Ockhamists, rejected free will as a fiction. In response, Erasmus adopted a Semi-Pelagian view, arguing for free will aided by grace, opposing </w:t>
      </w:r>
      <w:r>
        <w:rPr>
          <w:rFonts w:ascii="Times New Roman" w:hAnsi="Times New Roman"/>
          <w:sz w:val="22"/>
        </w:rPr>
        <w:t xml:space="preserve">the </w:t>
      </w:r>
      <w:r>
        <w:rPr>
          <w:rFonts w:ascii="Times New Roman" w:hAnsi="Times New Roman"/>
          <w:sz w:val="22"/>
        </w:rPr>
        <w:t>implications</w:t>
      </w:r>
      <w:r>
        <w:rPr>
          <w:rFonts w:ascii="Times New Roman" w:hAnsi="Times New Roman"/>
          <w:sz w:val="22"/>
        </w:rPr>
        <w:t xml:space="preserve"> of determinism</w:t>
      </w:r>
      <w:r>
        <w:rPr>
          <w:rFonts w:ascii="Times New Roman" w:hAnsi="Times New Roman"/>
          <w:sz w:val="22"/>
        </w:rPr>
        <w:t xml:space="preserve"> for reward and punishment.</w:t>
      </w:r>
      <w:r>
        <w:rPr>
          <w:rFonts w:ascii="Times New Roman" w:hAnsi="Times New Roman"/>
          <w:sz w:val="22"/>
        </w:rPr>
        <w:t xml:space="preserve"> </w:t>
      </w:r>
      <w:r w:rsidRPr="00496001">
        <w:rPr>
          <w:rFonts w:ascii="Times New Roman" w:hAnsi="Times New Roman"/>
          <w:b/>
          <w:bCs/>
          <w:sz w:val="22"/>
        </w:rPr>
        <w:t>Protestant Reformers: Biblical Humanist or New Scholastics?</w:t>
      </w:r>
      <w:r>
        <w:rPr>
          <w:rFonts w:ascii="Times New Roman" w:hAnsi="Times New Roman"/>
          <w:b/>
          <w:bCs/>
          <w:sz w:val="22"/>
        </w:rPr>
        <w:t xml:space="preserve"> </w:t>
      </w:r>
      <w:r>
        <w:rPr>
          <w:rFonts w:ascii="Times New Roman" w:hAnsi="Times New Roman"/>
          <w:sz w:val="22"/>
        </w:rPr>
        <w:t>Protestantism and humanism shared positive associations, yet Erasmus saw Lutherans as threats to liberal arts. Protestantism didn't align strictly with humanism or scholasticism, presenting a unique blend of both. They developed alongside each other: humanists prioritized primary sources and civic life, while scholastics emphasized multiple views and sound doctrine. Both traditions critiqued their methodologies, recognizing value in each other's approaches.</w:t>
      </w:r>
      <w:r>
        <w:rPr>
          <w:rFonts w:ascii="Times New Roman" w:hAnsi="Times New Roman"/>
          <w:sz w:val="22"/>
        </w:rPr>
        <w:t xml:space="preserve"> </w:t>
      </w:r>
      <w:r w:rsidRPr="00496001">
        <w:rPr>
          <w:rFonts w:ascii="Times New Roman" w:hAnsi="Times New Roman"/>
          <w:b/>
          <w:bCs/>
          <w:sz w:val="22"/>
        </w:rPr>
        <w:t>Protestantism and Humanist Educational Reforms</w:t>
      </w:r>
      <w:r>
        <w:rPr>
          <w:rFonts w:ascii="Times New Roman" w:hAnsi="Times New Roman"/>
          <w:b/>
          <w:bCs/>
          <w:sz w:val="22"/>
        </w:rPr>
        <w:t xml:space="preserve">. </w:t>
      </w:r>
      <w:r>
        <w:rPr>
          <w:rFonts w:ascii="Times New Roman" w:hAnsi="Times New Roman"/>
          <w:sz w:val="22"/>
        </w:rPr>
        <w:t xml:space="preserve">Protestant reforms focused on reducing the influence of Aristotle, with figures like </w:t>
      </w:r>
      <w:r w:rsidRPr="00496001">
        <w:rPr>
          <w:rFonts w:ascii="Times New Roman" w:hAnsi="Times New Roman"/>
          <w:i/>
          <w:iCs/>
          <w:sz w:val="22"/>
        </w:rPr>
        <w:t>Melanchthon</w:t>
      </w:r>
      <w:r>
        <w:rPr>
          <w:rFonts w:ascii="Times New Roman" w:hAnsi="Times New Roman"/>
          <w:sz w:val="22"/>
        </w:rPr>
        <w:t xml:space="preserve"> emphasizing classics and primary sources over scholastic commentaries. The study of Greek, Hebrew, and the humanities gained importance, promoting true piety. Differences between reformers and humanists included viewing doctrine as paramount to humanities and not conforming ethics to doctrine.</w:t>
      </w:r>
      <w:r>
        <w:rPr>
          <w:rFonts w:ascii="Times New Roman" w:hAnsi="Times New Roman"/>
          <w:sz w:val="22"/>
        </w:rPr>
        <w:t xml:space="preserve"> </w:t>
      </w:r>
    </w:p>
    <w:p w:rsidR="00496001" w:rsidRDefault="00496001" w:rsidP="00496001">
      <w:pPr>
        <w:jc w:val="both"/>
      </w:pPr>
    </w:p>
    <w:p w:rsidR="00496001" w:rsidRPr="00496001" w:rsidRDefault="00496001" w:rsidP="00496001">
      <w:pPr>
        <w:jc w:val="both"/>
        <w:rPr>
          <w:b/>
          <w:bCs/>
        </w:rPr>
      </w:pPr>
      <w:r w:rsidRPr="00496001">
        <w:rPr>
          <w:rFonts w:ascii="Times New Roman" w:hAnsi="Times New Roman"/>
          <w:b/>
          <w:bCs/>
          <w:sz w:val="22"/>
        </w:rPr>
        <w:t xml:space="preserve">9. </w:t>
      </w:r>
      <w:r w:rsidRPr="00496001">
        <w:rPr>
          <w:rFonts w:ascii="Times New Roman" w:hAnsi="Times New Roman"/>
          <w:b/>
          <w:bCs/>
          <w:sz w:val="22"/>
        </w:rPr>
        <w:t>The Swiss Reformation</w:t>
      </w:r>
      <w:r>
        <w:rPr>
          <w:rFonts w:ascii="Times New Roman" w:hAnsi="Times New Roman"/>
          <w:b/>
          <w:bCs/>
          <w:sz w:val="22"/>
        </w:rPr>
        <w:t>.</w:t>
      </w:r>
    </w:p>
    <w:p w:rsidR="00496001" w:rsidRDefault="00496001" w:rsidP="00496001">
      <w:pPr>
        <w:jc w:val="both"/>
      </w:pPr>
      <w:r w:rsidRPr="00496001">
        <w:rPr>
          <w:rFonts w:ascii="Times New Roman" w:hAnsi="Times New Roman"/>
          <w:b/>
          <w:bCs/>
          <w:sz w:val="22"/>
        </w:rPr>
        <w:t>Zwingli and Zurich</w:t>
      </w:r>
      <w:r>
        <w:rPr>
          <w:rFonts w:ascii="Times New Roman" w:hAnsi="Times New Roman"/>
          <w:b/>
          <w:bCs/>
          <w:sz w:val="22"/>
        </w:rPr>
        <w:t xml:space="preserve">. </w:t>
      </w:r>
      <w:r>
        <w:rPr>
          <w:rFonts w:ascii="Times New Roman" w:hAnsi="Times New Roman"/>
          <w:sz w:val="22"/>
        </w:rPr>
        <w:t>Zwingli, critical of the mercenary trade, claimed his reforms were independent of Luther’s. As a priest, he emphasized biblical preaching and sola scriptura, challenging traditional authorities. In 1522, Zwingli publicly broke with tradition, famously during a “sausage fest.” Political authorities did not oppose his reform party, and the lack of bishopric power in Zurich allowed Zwingli's reforms to take root, confining clergy preaching strictly to Scripture.</w:t>
      </w:r>
      <w:r>
        <w:rPr>
          <w:rFonts w:ascii="Times New Roman" w:hAnsi="Times New Roman"/>
          <w:sz w:val="22"/>
        </w:rPr>
        <w:t xml:space="preserve"> </w:t>
      </w:r>
      <w:r w:rsidRPr="00496001">
        <w:rPr>
          <w:rFonts w:ascii="Times New Roman" w:hAnsi="Times New Roman"/>
          <w:b/>
          <w:bCs/>
          <w:sz w:val="22"/>
        </w:rPr>
        <w:t>Conrad Grebel and Swiss Anabaptism</w:t>
      </w:r>
      <w:r>
        <w:rPr>
          <w:rFonts w:ascii="Times New Roman" w:hAnsi="Times New Roman"/>
          <w:b/>
          <w:bCs/>
          <w:sz w:val="22"/>
        </w:rPr>
        <w:t xml:space="preserve">. </w:t>
      </w:r>
      <w:r>
        <w:rPr>
          <w:rFonts w:ascii="Times New Roman" w:hAnsi="Times New Roman"/>
          <w:sz w:val="22"/>
        </w:rPr>
        <w:t>Initially cooperating with Zwingli, Grebel eventually parted ways due to differing theological visions. Pro-Grebel scholars argue Zwingli changed his theology, while pro-Zwingli scholars maintain he was consistent but did not share the Anabaptist vision. Zwingli supported infant baptism, while Grebel advocated for adult (re)baptism.</w:t>
      </w:r>
      <w:r>
        <w:rPr>
          <w:rFonts w:ascii="Times New Roman" w:hAnsi="Times New Roman"/>
          <w:sz w:val="22"/>
        </w:rPr>
        <w:t xml:space="preserve"> </w:t>
      </w:r>
      <w:r w:rsidRPr="00496001">
        <w:rPr>
          <w:rFonts w:ascii="Times New Roman" w:hAnsi="Times New Roman"/>
          <w:b/>
          <w:bCs/>
          <w:sz w:val="22"/>
        </w:rPr>
        <w:t>The Working Out of Zwinglianism</w:t>
      </w:r>
      <w:r>
        <w:rPr>
          <w:rFonts w:ascii="Times New Roman" w:hAnsi="Times New Roman"/>
          <w:b/>
          <w:bCs/>
          <w:sz w:val="22"/>
        </w:rPr>
        <w:t xml:space="preserve">. </w:t>
      </w:r>
      <w:r>
        <w:rPr>
          <w:rFonts w:ascii="Times New Roman" w:hAnsi="Times New Roman"/>
          <w:sz w:val="22"/>
        </w:rPr>
        <w:t xml:space="preserve">With Bern turning Protestant in 1528, Swiss Protestantism was solidified. However, tensions arose between southern German and Swiss cities, </w:t>
      </w:r>
      <w:r>
        <w:rPr>
          <w:rFonts w:ascii="Times New Roman" w:hAnsi="Times New Roman"/>
          <w:sz w:val="22"/>
        </w:rPr>
        <w:lastRenderedPageBreak/>
        <w:t>particularly over views on the Eucharist: Luther endorsed a corporeal presence, while Zwingli saw it as symbolic. Luther opposed what he termed "spiritual religion," including Zwingli’s perspective on the Lord’s Supper, leading to a definitive split between Lutherans and Zwinglians by 1530.</w:t>
      </w:r>
    </w:p>
    <w:p w:rsidR="00496001" w:rsidRDefault="00496001" w:rsidP="00496001">
      <w:pPr>
        <w:jc w:val="both"/>
      </w:pPr>
    </w:p>
    <w:p w:rsidR="00496001" w:rsidRPr="00496001" w:rsidRDefault="00496001" w:rsidP="00496001">
      <w:pPr>
        <w:jc w:val="both"/>
        <w:rPr>
          <w:b/>
          <w:bCs/>
        </w:rPr>
      </w:pPr>
      <w:r>
        <w:rPr>
          <w:rFonts w:ascii="Times New Roman" w:hAnsi="Times New Roman"/>
          <w:b/>
          <w:bCs/>
          <w:sz w:val="22"/>
        </w:rPr>
        <w:t xml:space="preserve">10. </w:t>
      </w:r>
      <w:r w:rsidRPr="00496001">
        <w:rPr>
          <w:rFonts w:ascii="Times New Roman" w:hAnsi="Times New Roman"/>
          <w:b/>
          <w:bCs/>
          <w:sz w:val="22"/>
        </w:rPr>
        <w:t>The Sectarian Spectrum: Radical Movements within Protestantism</w:t>
      </w:r>
      <w:r>
        <w:rPr>
          <w:rFonts w:ascii="Times New Roman" w:hAnsi="Times New Roman"/>
          <w:b/>
          <w:bCs/>
          <w:sz w:val="22"/>
        </w:rPr>
        <w:t>.</w:t>
      </w:r>
    </w:p>
    <w:p w:rsidR="00496001" w:rsidRDefault="00496001" w:rsidP="00496001">
      <w:pPr>
        <w:jc w:val="both"/>
      </w:pPr>
      <w:r>
        <w:rPr>
          <w:rFonts w:ascii="Times New Roman" w:hAnsi="Times New Roman"/>
          <w:b/>
          <w:bCs/>
          <w:sz w:val="22"/>
        </w:rPr>
        <w:t xml:space="preserve">Dissenters. </w:t>
      </w:r>
      <w:r>
        <w:rPr>
          <w:rFonts w:ascii="Times New Roman" w:hAnsi="Times New Roman"/>
          <w:sz w:val="22"/>
        </w:rPr>
        <w:t xml:space="preserve">Dissenters within the Protestant movement ranged widely in beliefs and practices. Typifications of the time labeled Catholics as medieval and reactionary, Lutherans as conservative and moderate, and Calvinists and Zwinglians as moderate to liberal. Anabaptists, Spiritualists, and Evangelical Rationalists were seen as liberal and modern. Figures like Karlstadt and Müntzer were considered radicals. </w:t>
      </w:r>
      <w:r>
        <w:rPr>
          <w:rFonts w:ascii="Times New Roman" w:hAnsi="Times New Roman"/>
          <w:b/>
          <w:bCs/>
          <w:sz w:val="22"/>
        </w:rPr>
        <w:t xml:space="preserve">Nistorical Perspectives on Radical Reformation. </w:t>
      </w:r>
      <w:r>
        <w:rPr>
          <w:rFonts w:ascii="Times New Roman" w:hAnsi="Times New Roman"/>
          <w:sz w:val="22"/>
        </w:rPr>
        <w:t>The Reformed traditions often viewed Anabaptists and Spiritualists as dangerous fanatics and revolutionaries.</w:t>
      </w:r>
      <w:r>
        <w:rPr>
          <w:rFonts w:ascii="Times New Roman" w:hAnsi="Times New Roman"/>
          <w:sz w:val="22"/>
        </w:rPr>
        <w:t xml:space="preserve"> </w:t>
      </w:r>
      <w:r>
        <w:rPr>
          <w:rFonts w:ascii="Times New Roman" w:hAnsi="Times New Roman"/>
          <w:sz w:val="22"/>
        </w:rPr>
        <w:t>Modern historians attempt to dissociate Anabaptists from figures like Müntzer due to differences in beliefs such as adult baptism and pacifism. Known as the "Radical Reformation," these groups shared traits like primitivism, biblical literalism, disciplined communal life, adult baptism, and free faith over state religion.</w:t>
      </w:r>
      <w:r>
        <w:rPr>
          <w:rFonts w:ascii="Times New Roman" w:hAnsi="Times New Roman"/>
          <w:sz w:val="22"/>
        </w:rPr>
        <w:t xml:space="preserve"> </w:t>
      </w:r>
      <w:r>
        <w:rPr>
          <w:rFonts w:ascii="Times New Roman" w:hAnsi="Times New Roman"/>
          <w:b/>
          <w:bCs/>
          <w:sz w:val="22"/>
        </w:rPr>
        <w:t>Categories of Radical Reformers.</w:t>
      </w:r>
      <w:r>
        <w:rPr>
          <w:rFonts w:ascii="Times New Roman" w:hAnsi="Times New Roman"/>
          <w:sz w:val="22"/>
        </w:rPr>
        <w:t xml:space="preserve"> </w:t>
      </w:r>
      <w:r>
        <w:rPr>
          <w:rFonts w:ascii="Times New Roman" w:hAnsi="Times New Roman"/>
          <w:sz w:val="22"/>
        </w:rPr>
        <w:t>Radicals</w:t>
      </w:r>
      <w:r>
        <w:rPr>
          <w:rFonts w:ascii="Times New Roman" w:hAnsi="Times New Roman"/>
          <w:sz w:val="22"/>
        </w:rPr>
        <w:t xml:space="preserve"> were </w:t>
      </w:r>
      <w:r>
        <w:rPr>
          <w:rFonts w:ascii="Times New Roman" w:hAnsi="Times New Roman"/>
          <w:sz w:val="22"/>
        </w:rPr>
        <w:t>grouped</w:t>
      </w:r>
      <w:r>
        <w:rPr>
          <w:rFonts w:ascii="Times New Roman" w:hAnsi="Times New Roman"/>
          <w:sz w:val="22"/>
        </w:rPr>
        <w:t xml:space="preserve"> into three types: revolutionaries like those at Münster advocating Old Testament theocracy, contemplative Spiritualists akin to Quakers, and evangelical Anabaptists following an apostolic New Testament model with pacifism and separation from worldly influences. Common concerns included dissatisfaction with territorial Protestantism's morality, the advocacy of free will in religion, criticism of original sin and predestination, religious universalism, direct individual relationship with God, and resisting church-state alliances.</w:t>
      </w:r>
    </w:p>
    <w:p w:rsidR="00496001" w:rsidRDefault="00496001" w:rsidP="00496001">
      <w:pPr>
        <w:jc w:val="both"/>
      </w:pPr>
    </w:p>
    <w:p w:rsidR="00496001" w:rsidRPr="00496001" w:rsidRDefault="00496001" w:rsidP="00496001">
      <w:pPr>
        <w:jc w:val="both"/>
        <w:rPr>
          <w:b/>
          <w:bCs/>
        </w:rPr>
      </w:pPr>
      <w:r w:rsidRPr="00496001">
        <w:rPr>
          <w:rFonts w:ascii="Times New Roman" w:hAnsi="Times New Roman"/>
          <w:b/>
          <w:bCs/>
          <w:sz w:val="22"/>
        </w:rPr>
        <w:t xml:space="preserve">11. </w:t>
      </w:r>
      <w:r w:rsidRPr="00496001">
        <w:rPr>
          <w:rFonts w:ascii="Times New Roman" w:hAnsi="Times New Roman"/>
          <w:b/>
          <w:bCs/>
          <w:sz w:val="22"/>
        </w:rPr>
        <w:t>Calvin and Calvinism</w:t>
      </w:r>
      <w:r>
        <w:rPr>
          <w:rFonts w:ascii="Times New Roman" w:hAnsi="Times New Roman"/>
          <w:b/>
          <w:bCs/>
          <w:sz w:val="22"/>
        </w:rPr>
        <w:t>.</w:t>
      </w:r>
    </w:p>
    <w:p w:rsidR="00496001" w:rsidRDefault="00496001" w:rsidP="00496001">
      <w:pPr>
        <w:jc w:val="both"/>
      </w:pPr>
      <w:r w:rsidRPr="00496001">
        <w:rPr>
          <w:rFonts w:ascii="Times New Roman" w:hAnsi="Times New Roman"/>
          <w:b/>
          <w:bCs/>
          <w:sz w:val="22"/>
        </w:rPr>
        <w:t>Young Calvin</w:t>
      </w:r>
      <w:r>
        <w:rPr>
          <w:rFonts w:ascii="Times New Roman" w:hAnsi="Times New Roman"/>
          <w:b/>
          <w:bCs/>
          <w:sz w:val="22"/>
        </w:rPr>
        <w:t xml:space="preserve">. </w:t>
      </w:r>
      <w:r>
        <w:rPr>
          <w:rFonts w:ascii="Times New Roman" w:hAnsi="Times New Roman"/>
          <w:sz w:val="22"/>
        </w:rPr>
        <w:t>Calvin was educated in divinity and received a scholastic education. Initially studying law at his father's behest, he converted to Protestantism between 1532 and 1534, describing it as "God subduing and making teachable a stubborn heart." He was particularly sensitive to groups like the Libertines, who lived loosely with uncertain faith, and the Nicodemites, who outwardly conformed to avoid persecution.</w:t>
      </w:r>
      <w:r>
        <w:rPr>
          <w:rFonts w:ascii="Times New Roman" w:hAnsi="Times New Roman"/>
          <w:sz w:val="22"/>
        </w:rPr>
        <w:t xml:space="preserve"> </w:t>
      </w:r>
      <w:r w:rsidRPr="00496001">
        <w:rPr>
          <w:rFonts w:ascii="Times New Roman" w:hAnsi="Times New Roman"/>
          <w:b/>
          <w:bCs/>
          <w:sz w:val="22"/>
        </w:rPr>
        <w:t>Political Revolt and Religious Reform in Geneva</w:t>
      </w:r>
      <w:r>
        <w:rPr>
          <w:rFonts w:ascii="Times New Roman" w:hAnsi="Times New Roman"/>
          <w:b/>
          <w:bCs/>
          <w:sz w:val="22"/>
        </w:rPr>
        <w:t xml:space="preserve">. </w:t>
      </w:r>
      <w:r>
        <w:rPr>
          <w:rFonts w:ascii="Times New Roman" w:hAnsi="Times New Roman"/>
          <w:sz w:val="22"/>
        </w:rPr>
        <w:t>Calvin’s eloquent defense of Protestantism, the "Institutes of the Christian Religion," supported Geneva's Reform, which coincided with a political revolution against the Swiss and Savoyard alliance backing the prince-bishop. Seeking independence, Geneva allied with militarily superior Bern, whose strategic and political advantages outweighed those of the prince-bishop. The reform symbolized Geneva's consolidation of its political upheaval. Though Bern saved Geneva from the imposition of a new prince-bishop, in 1536, Geneva embraced the Reformation, adopting Calvin’s leadership, ordinances, and catechism. Despite resistance from those wishing to return to controversial church practices, which led to Calvin’s temporary dismissal in 1538, he played a crucial role in shaping Geneva’s religious and political landscape.</w:t>
      </w:r>
    </w:p>
    <w:sectPr w:rsidR="00496001">
      <w:headerReference w:type="default"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53AD8" w:rsidRDefault="00453AD8" w:rsidP="00A97900">
      <w:r>
        <w:separator/>
      </w:r>
    </w:p>
  </w:endnote>
  <w:endnote w:type="continuationSeparator" w:id="0">
    <w:p w:rsidR="00453AD8" w:rsidRDefault="00453AD8" w:rsidP="00A97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OzmS</w:t>
      <w:tab/>
    </w:r>
    <w:r>
      <w:rPr>
        <w:rFonts w:ascii="Times New Roman" w:hAnsi="Times New Roman"/>
        <w:sz w:val="22"/>
      </w:rPr>
      <w:fldSimple w:instr="PAGE \* MERGEFORMA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53AD8" w:rsidRDefault="00453AD8" w:rsidP="00A97900">
      <w:r>
        <w:separator/>
      </w:r>
    </w:p>
  </w:footnote>
  <w:footnote w:type="continuationSeparator" w:id="0">
    <w:p w:rsidR="00453AD8" w:rsidRDefault="00453AD8" w:rsidP="00A9790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Age of Reform: 1250-1550</w:t>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52658"/>
    <w:multiLevelType w:val="hybridMultilevel"/>
    <w:tmpl w:val="71A8BACC"/>
    <w:lvl w:ilvl="0" w:tplc="285E1C1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6414C"/>
    <w:multiLevelType w:val="hybridMultilevel"/>
    <w:tmpl w:val="006EB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613307"/>
    <w:multiLevelType w:val="hybridMultilevel"/>
    <w:tmpl w:val="655837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F553518"/>
    <w:multiLevelType w:val="hybridMultilevel"/>
    <w:tmpl w:val="40F0A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1C085B"/>
    <w:multiLevelType w:val="hybridMultilevel"/>
    <w:tmpl w:val="90F6D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511713"/>
    <w:multiLevelType w:val="hybridMultilevel"/>
    <w:tmpl w:val="E6BE9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7C3FFA"/>
    <w:multiLevelType w:val="hybridMultilevel"/>
    <w:tmpl w:val="EEAE2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003262">
    <w:abstractNumId w:val="6"/>
  </w:num>
  <w:num w:numId="2" w16cid:durableId="408773329">
    <w:abstractNumId w:val="2"/>
  </w:num>
  <w:num w:numId="3" w16cid:durableId="839660178">
    <w:abstractNumId w:val="4"/>
  </w:num>
  <w:num w:numId="4" w16cid:durableId="1867867049">
    <w:abstractNumId w:val="3"/>
  </w:num>
  <w:num w:numId="5" w16cid:durableId="41175411">
    <w:abstractNumId w:val="1"/>
  </w:num>
  <w:num w:numId="6" w16cid:durableId="400762034">
    <w:abstractNumId w:val="5"/>
  </w:num>
  <w:num w:numId="7" w16cid:durableId="777598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00"/>
    <w:rsid w:val="00282F99"/>
    <w:rsid w:val="00453AD8"/>
    <w:rsid w:val="00496001"/>
    <w:rsid w:val="00A57F40"/>
    <w:rsid w:val="00A97900"/>
    <w:rsid w:val="00AA008D"/>
    <w:rsid w:val="00B12D14"/>
    <w:rsid w:val="00DE2625"/>
    <w:rsid w:val="00DF5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6547B7"/>
  <w15:chartTrackingRefBased/>
  <w15:docId w15:val="{D0CE7164-7046-4544-B691-1AC9C4660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7900"/>
    <w:pPr>
      <w:ind w:left="720"/>
      <w:contextualSpacing/>
    </w:pPr>
  </w:style>
  <w:style w:type="paragraph" w:styleId="Header">
    <w:name w:val="header"/>
    <w:basedOn w:val="Normal"/>
    <w:link w:val="HeaderChar"/>
    <w:uiPriority w:val="99"/>
    <w:unhideWhenUsed/>
    <w:rsid w:val="00A97900"/>
    <w:pPr>
      <w:tabs>
        <w:tab w:val="center" w:pos="4680"/>
        <w:tab w:val="right" w:pos="9360"/>
      </w:tabs>
    </w:pPr>
  </w:style>
  <w:style w:type="character" w:customStyle="1" w:styleId="HeaderChar">
    <w:name w:val="Header Char"/>
    <w:basedOn w:val="DefaultParagraphFont"/>
    <w:link w:val="Header"/>
    <w:uiPriority w:val="99"/>
    <w:rsid w:val="00A97900"/>
    <w:rPr>
      <w:rFonts w:ascii="Times New Roman" w:hAnsi="Times New Roman"/>
      <w:noProof/>
      <w:sz w:val="22"/>
    </w:rPr>
  </w:style>
  <w:style w:type="paragraph" w:styleId="Footer">
    <w:name w:val="footer"/>
    <w:basedOn w:val="Normal"/>
    <w:link w:val="FooterChar"/>
    <w:uiPriority w:val="99"/>
    <w:unhideWhenUsed/>
    <w:rsid w:val="00A97900"/>
    <w:pPr>
      <w:tabs>
        <w:tab w:val="center" w:pos="4680"/>
        <w:tab w:val="right" w:pos="9360"/>
      </w:tabs>
    </w:pPr>
  </w:style>
  <w:style w:type="character" w:customStyle="1" w:styleId="FooterChar">
    <w:name w:val="Footer Char"/>
    <w:basedOn w:val="DefaultParagraphFont"/>
    <w:link w:val="Footer"/>
    <w:uiPriority w:val="99"/>
    <w:rsid w:val="00A97900"/>
    <w:rPr>
      <w:rFonts w:ascii="Times New Roman" w:hAnsi="Times New Roman"/>
      <w:noProo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7509394">
      <w:bodyDiv w:val="1"/>
      <w:marLeft w:val="0"/>
      <w:marRight w:val="0"/>
      <w:marTop w:val="0"/>
      <w:marBottom w:val="0"/>
      <w:divBdr>
        <w:top w:val="none" w:sz="0" w:space="0" w:color="auto"/>
        <w:left w:val="none" w:sz="0" w:space="0" w:color="auto"/>
        <w:bottom w:val="none" w:sz="0" w:space="0" w:color="auto"/>
        <w:right w:val="none" w:sz="0" w:space="0" w:color="auto"/>
      </w:divBdr>
    </w:div>
    <w:div w:id="133722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3795</Words>
  <Characters>21632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2024-11-19T22:08:00Z</dcterms:created>
  <dcterms:modified xsi:type="dcterms:W3CDTF">2024-11-19T22:49:00Z</dcterms:modified>
</cp:coreProperties>
</file>