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65C92" w:rsidRPr="00D56174" w:rsidRDefault="00D56174" w:rsidP="00665C92">
      <w:pPr>
        <w:jc w:val="both"/>
        <w:rPr>
          <w:b/>
          <w:bCs/>
        </w:rPr>
      </w:pPr>
      <w:r>
        <w:rPr>
          <w:rFonts w:ascii="Times New Roman" w:hAnsi="Times New Roman"/>
          <w:b/>
          <w:bCs/>
          <w:sz w:val="22"/>
        </w:rPr>
        <w:t>“</w:t>
      </w:r>
      <w:r w:rsidR="00665C92" w:rsidRPr="00665C92">
        <w:rPr>
          <w:rFonts w:ascii="Times New Roman" w:hAnsi="Times New Roman"/>
          <w:b/>
          <w:bCs/>
          <w:sz w:val="22"/>
        </w:rPr>
        <w:t>Renaissance and Reformation</w:t>
      </w:r>
      <w:r>
        <w:rPr>
          <w:rFonts w:ascii="Times New Roman" w:hAnsi="Times New Roman"/>
          <w:b/>
          <w:bCs/>
          <w:sz w:val="22"/>
        </w:rPr>
        <w:t xml:space="preserve">” in </w:t>
      </w:r>
      <w:r>
        <w:rPr>
          <w:rFonts w:ascii="Times New Roman" w:hAnsi="Times New Roman"/>
          <w:b/>
          <w:bCs/>
          <w:i/>
          <w:iCs/>
          <w:sz w:val="22"/>
        </w:rPr>
        <w:t>The Reformation: Basic Interpretations</w:t>
      </w:r>
      <w:r>
        <w:rPr>
          <w:rFonts w:ascii="Times New Roman" w:hAnsi="Times New Roman"/>
          <w:b/>
          <w:bCs/>
          <w:sz w:val="22"/>
        </w:rPr>
        <w:t xml:space="preserve"> – Ernst Troeltsch</w:t>
      </w:r>
    </w:p>
    <w:p w:rsidR="00665C92" w:rsidRPr="00665C92" w:rsidRDefault="00665C92" w:rsidP="00665C92">
      <w:pPr>
        <w:jc w:val="both"/>
        <w:rPr>
          <w:b/>
          <w:bCs/>
        </w:rPr>
      </w:pPr>
      <w:r w:rsidRPr="00665C92">
        <w:rPr>
          <w:rFonts w:ascii="Times New Roman" w:hAnsi="Times New Roman"/>
          <w:b/>
          <w:bCs/>
          <w:sz w:val="22"/>
        </w:rPr>
        <w:t>Troeltsch's Perspective on the Renaissance and Reformation</w:t>
      </w:r>
      <w:r>
        <w:rPr>
          <w:rFonts w:ascii="Times New Roman" w:hAnsi="Times New Roman"/>
          <w:b/>
          <w:bCs/>
          <w:sz w:val="22"/>
        </w:rPr>
        <w:t xml:space="preserve">. </w:t>
      </w:r>
      <w:r>
        <w:rPr>
          <w:rFonts w:ascii="Times New Roman" w:hAnsi="Times New Roman"/>
          <w:sz w:val="22"/>
        </w:rPr>
        <w:t>Ernst Troeltsch, a theologian and sociologist influenced by Marx, applied sociological-historical methods to examine the Renaissance and Reformation. He saw both as contemporaneous movements marking the end of the Middle Ages, yet different and related. They were part of a common movement characterized by the discovery of the individual, the destruction of old bonds, turning toward the world, and the beginning of the modern spirit.</w:t>
      </w:r>
      <w:r>
        <w:rPr>
          <w:rFonts w:ascii="Times New Roman" w:hAnsi="Times New Roman"/>
          <w:sz w:val="22"/>
        </w:rPr>
        <w:t xml:space="preserve"> </w:t>
      </w:r>
      <w:r w:rsidRPr="00665C92">
        <w:rPr>
          <w:rFonts w:ascii="Times New Roman" w:hAnsi="Times New Roman"/>
          <w:b/>
          <w:bCs/>
          <w:sz w:val="22"/>
        </w:rPr>
        <w:t>Renaissance and Reformation as Related Movements</w:t>
      </w:r>
      <w:r>
        <w:rPr>
          <w:rFonts w:ascii="Times New Roman" w:hAnsi="Times New Roman"/>
          <w:b/>
          <w:bCs/>
          <w:sz w:val="22"/>
        </w:rPr>
        <w:t xml:space="preserve">. </w:t>
      </w:r>
      <w:r>
        <w:rPr>
          <w:rFonts w:ascii="Times New Roman" w:hAnsi="Times New Roman"/>
          <w:sz w:val="22"/>
        </w:rPr>
        <w:t xml:space="preserve">Troeltsch questioned whether </w:t>
      </w:r>
      <w:r>
        <w:rPr>
          <w:rFonts w:ascii="Times New Roman" w:hAnsi="Times New Roman"/>
          <w:sz w:val="22"/>
        </w:rPr>
        <w:t>the Renaissance</w:t>
      </w:r>
      <w:r>
        <w:rPr>
          <w:rFonts w:ascii="Times New Roman" w:hAnsi="Times New Roman"/>
          <w:sz w:val="22"/>
        </w:rPr>
        <w:t xml:space="preserve"> and </w:t>
      </w:r>
      <w:r>
        <w:rPr>
          <w:rFonts w:ascii="Times New Roman" w:hAnsi="Times New Roman"/>
          <w:sz w:val="22"/>
        </w:rPr>
        <w:t>Reformation</w:t>
      </w:r>
      <w:r>
        <w:rPr>
          <w:rFonts w:ascii="Times New Roman" w:hAnsi="Times New Roman"/>
          <w:sz w:val="22"/>
        </w:rPr>
        <w:t xml:space="preserve"> truly transformed the Middle Ages into modernity. He acknowledged the disruption of the medieval world and reform efforts in the 14th and 15th centuries that focused on the individual. However, while the Renaissance centered on worldly life, Troeltsch examined how this applied to the Reformation as well.</w:t>
      </w:r>
      <w:r>
        <w:rPr>
          <w:rFonts w:ascii="Times New Roman" w:hAnsi="Times New Roman"/>
          <w:sz w:val="22"/>
        </w:rPr>
        <w:t xml:space="preserve"> </w:t>
      </w:r>
      <w:r w:rsidRPr="00665C92">
        <w:rPr>
          <w:rFonts w:ascii="Times New Roman" w:hAnsi="Times New Roman"/>
          <w:b/>
          <w:bCs/>
          <w:sz w:val="22"/>
        </w:rPr>
        <w:t>Influence and Interpenetration</w:t>
      </w:r>
      <w:r>
        <w:rPr>
          <w:rFonts w:ascii="Times New Roman" w:hAnsi="Times New Roman"/>
          <w:b/>
          <w:bCs/>
          <w:sz w:val="22"/>
        </w:rPr>
        <w:t xml:space="preserve">. </w:t>
      </w:r>
      <w:r>
        <w:rPr>
          <w:rFonts w:ascii="Times New Roman" w:hAnsi="Times New Roman"/>
          <w:sz w:val="22"/>
        </w:rPr>
        <w:t>The movements not only related in content and form but also interpenetrated and influenced each other. Italian Renaissance ideas traveled to Northern Europe and influenced the Reformation, while Northern humanism’s impact on the Reformation through figures like Erasmus and Melanchthon is evident.</w:t>
      </w:r>
      <w:r>
        <w:rPr>
          <w:rFonts w:ascii="Times New Roman" w:hAnsi="Times New Roman"/>
          <w:sz w:val="22"/>
        </w:rPr>
        <w:t xml:space="preserve"> </w:t>
      </w:r>
      <w:r w:rsidRPr="00665C92">
        <w:rPr>
          <w:rFonts w:ascii="Times New Roman" w:hAnsi="Times New Roman"/>
          <w:b/>
          <w:bCs/>
          <w:sz w:val="22"/>
        </w:rPr>
        <w:t>Criticisms of Simplistic Narratives</w:t>
      </w:r>
      <w:r>
        <w:rPr>
          <w:rFonts w:ascii="Times New Roman" w:hAnsi="Times New Roman"/>
          <w:b/>
          <w:bCs/>
          <w:sz w:val="22"/>
        </w:rPr>
        <w:t xml:space="preserve">. </w:t>
      </w:r>
      <w:r>
        <w:rPr>
          <w:rFonts w:ascii="Times New Roman" w:hAnsi="Times New Roman"/>
          <w:sz w:val="22"/>
        </w:rPr>
        <w:t xml:space="preserve">Troeltsch disagreed with Dilthey’s view that </w:t>
      </w:r>
      <w:r>
        <w:rPr>
          <w:rFonts w:ascii="Times New Roman" w:hAnsi="Times New Roman"/>
          <w:sz w:val="22"/>
        </w:rPr>
        <w:t>Renaissance</w:t>
      </w:r>
      <w:r>
        <w:rPr>
          <w:rFonts w:ascii="Times New Roman" w:hAnsi="Times New Roman"/>
          <w:sz w:val="22"/>
        </w:rPr>
        <w:t xml:space="preserve"> and </w:t>
      </w:r>
      <w:r>
        <w:rPr>
          <w:rFonts w:ascii="Times New Roman" w:hAnsi="Times New Roman"/>
          <w:sz w:val="22"/>
        </w:rPr>
        <w:t>Reformation</w:t>
      </w:r>
      <w:r>
        <w:rPr>
          <w:rFonts w:ascii="Times New Roman" w:hAnsi="Times New Roman"/>
          <w:sz w:val="22"/>
        </w:rPr>
        <w:t xml:space="preserve"> dissolved metaphysical transcendence, paving the way for Enlightenment rationalism. He argued for allowing both movements to express their complexities rather than simplifying them as the discovery of modern individualism. He emphasized that this individualism was present in late antiquity and Christianity’s mystical movements but was not identical to Renaissance individualism.</w:t>
      </w:r>
      <w:r>
        <w:rPr>
          <w:rFonts w:ascii="Times New Roman" w:hAnsi="Times New Roman"/>
          <w:sz w:val="22"/>
        </w:rPr>
        <w:t xml:space="preserve"> </w:t>
      </w:r>
      <w:r w:rsidRPr="00665C92">
        <w:rPr>
          <w:rFonts w:ascii="Times New Roman" w:hAnsi="Times New Roman"/>
          <w:b/>
          <w:bCs/>
          <w:sz w:val="22"/>
        </w:rPr>
        <w:t>Outcomes of the Renaissance</w:t>
      </w:r>
      <w:r>
        <w:rPr>
          <w:rFonts w:ascii="Times New Roman" w:hAnsi="Times New Roman"/>
          <w:b/>
          <w:bCs/>
          <w:sz w:val="22"/>
        </w:rPr>
        <w:t xml:space="preserve">. </w:t>
      </w:r>
      <w:r>
        <w:rPr>
          <w:rFonts w:ascii="Times New Roman" w:hAnsi="Times New Roman"/>
          <w:sz w:val="22"/>
        </w:rPr>
        <w:t xml:space="preserve">The Renaissance led to </w:t>
      </w:r>
      <w:r>
        <w:rPr>
          <w:rFonts w:ascii="Times New Roman" w:hAnsi="Times New Roman"/>
          <w:sz w:val="22"/>
        </w:rPr>
        <w:t xml:space="preserve">a) </w:t>
      </w:r>
      <w:r>
        <w:rPr>
          <w:rFonts w:ascii="Times New Roman" w:hAnsi="Times New Roman"/>
          <w:sz w:val="22"/>
        </w:rPr>
        <w:t xml:space="preserve">doubt about absolutes, </w:t>
      </w:r>
      <w:r>
        <w:rPr>
          <w:rFonts w:ascii="Times New Roman" w:hAnsi="Times New Roman"/>
          <w:sz w:val="22"/>
        </w:rPr>
        <w:t xml:space="preserve">b) </w:t>
      </w:r>
      <w:r>
        <w:rPr>
          <w:rFonts w:ascii="Times New Roman" w:hAnsi="Times New Roman"/>
          <w:sz w:val="22"/>
        </w:rPr>
        <w:t xml:space="preserve">the dissolution of anthropocentrism, </w:t>
      </w:r>
      <w:r>
        <w:rPr>
          <w:rFonts w:ascii="Times New Roman" w:hAnsi="Times New Roman"/>
          <w:sz w:val="22"/>
        </w:rPr>
        <w:t xml:space="preserve">c) </w:t>
      </w:r>
      <w:r>
        <w:rPr>
          <w:rFonts w:ascii="Times New Roman" w:hAnsi="Times New Roman"/>
          <w:sz w:val="22"/>
        </w:rPr>
        <w:t xml:space="preserve">progressive ideas, and </w:t>
      </w:r>
      <w:r>
        <w:rPr>
          <w:rFonts w:ascii="Times New Roman" w:hAnsi="Times New Roman"/>
          <w:sz w:val="22"/>
        </w:rPr>
        <w:t xml:space="preserve">d) </w:t>
      </w:r>
      <w:r>
        <w:rPr>
          <w:rFonts w:ascii="Times New Roman" w:hAnsi="Times New Roman"/>
          <w:sz w:val="22"/>
        </w:rPr>
        <w:t>a relative perspective on absolutes. It cultivated a realism free from illusions but bore moral weaknesses, which the Reformers also criticized.</w:t>
      </w:r>
      <w:r>
        <w:rPr>
          <w:rFonts w:ascii="Times New Roman" w:hAnsi="Times New Roman"/>
          <w:sz w:val="22"/>
        </w:rPr>
        <w:t xml:space="preserve"> </w:t>
      </w:r>
      <w:r w:rsidRPr="00665C92">
        <w:rPr>
          <w:rFonts w:ascii="Times New Roman" w:hAnsi="Times New Roman"/>
          <w:b/>
          <w:bCs/>
          <w:sz w:val="22"/>
        </w:rPr>
        <w:t>Spirit of the Reformation</w:t>
      </w:r>
      <w:r>
        <w:rPr>
          <w:rFonts w:ascii="Times New Roman" w:hAnsi="Times New Roman"/>
          <w:b/>
          <w:bCs/>
          <w:sz w:val="22"/>
        </w:rPr>
        <w:t xml:space="preserve">. </w:t>
      </w:r>
      <w:r>
        <w:rPr>
          <w:rFonts w:ascii="Times New Roman" w:hAnsi="Times New Roman"/>
          <w:sz w:val="22"/>
        </w:rPr>
        <w:t xml:space="preserve">The Reformation was not merely about dogmatic formulas like </w:t>
      </w:r>
      <w:r w:rsidRPr="00665C92">
        <w:rPr>
          <w:rFonts w:ascii="Times New Roman" w:hAnsi="Times New Roman"/>
          <w:i/>
          <w:iCs/>
          <w:sz w:val="22"/>
        </w:rPr>
        <w:t>sola Scriptura</w:t>
      </w:r>
      <w:r>
        <w:rPr>
          <w:rFonts w:ascii="Times New Roman" w:hAnsi="Times New Roman"/>
          <w:sz w:val="22"/>
        </w:rPr>
        <w:t xml:space="preserve"> or religious individualism, which was only significant compared to Roman Catholic authority. While the Renaissance championed intellectual freedom and autonomy, the Reformation contributed to religious cohesion by creating territorial churches.</w:t>
      </w:r>
      <w:r>
        <w:rPr>
          <w:rFonts w:ascii="Times New Roman" w:hAnsi="Times New Roman"/>
          <w:sz w:val="22"/>
        </w:rPr>
        <w:t xml:space="preserve"> </w:t>
      </w:r>
      <w:r w:rsidRPr="00665C92">
        <w:rPr>
          <w:rFonts w:ascii="Times New Roman" w:hAnsi="Times New Roman"/>
          <w:b/>
          <w:bCs/>
          <w:sz w:val="22"/>
        </w:rPr>
        <w:t>Affirmation of the World: Reformation vs. Renaissance</w:t>
      </w:r>
      <w:r>
        <w:rPr>
          <w:rFonts w:ascii="Times New Roman" w:hAnsi="Times New Roman"/>
          <w:b/>
          <w:bCs/>
          <w:sz w:val="22"/>
        </w:rPr>
        <w:t xml:space="preserve">. </w:t>
      </w:r>
      <w:r w:rsidRPr="00665C92">
        <w:rPr>
          <w:rFonts w:ascii="Times New Roman" w:hAnsi="Times New Roman"/>
          <w:b/>
          <w:bCs/>
          <w:sz w:val="22"/>
        </w:rPr>
        <w:t>Reformation’s Affirmation</w:t>
      </w:r>
      <w:r>
        <w:rPr>
          <w:rFonts w:ascii="Times New Roman" w:hAnsi="Times New Roman"/>
          <w:b/>
          <w:bCs/>
          <w:sz w:val="22"/>
        </w:rPr>
        <w:t xml:space="preserve"> of the World:</w:t>
      </w:r>
    </w:p>
    <w:p w:rsidR="00665C92" w:rsidRDefault="00665C92" w:rsidP="00665C92">
      <w:pPr>
        <w:pStyle w:val="ListParagraph"/>
        <w:numPr>
          <w:ilvl w:val="0"/>
          <w:numId w:val="2"/>
        </w:numPr>
        <w:jc w:val="both"/>
      </w:pPr>
      <w:r>
        <w:rPr>
          <w:rFonts w:ascii="Times New Roman" w:hAnsi="Times New Roman"/>
          <w:sz w:val="22"/>
        </w:rPr>
        <w:t>Putting aside monastic life</w:t>
      </w:r>
      <w:r w:rsidR="00D56174">
        <w:rPr>
          <w:rFonts w:ascii="Times New Roman" w:hAnsi="Times New Roman"/>
          <w:sz w:val="22"/>
        </w:rPr>
        <w:t>.</w:t>
      </w:r>
    </w:p>
    <w:p w:rsidR="00665C92" w:rsidRDefault="00665C92" w:rsidP="00665C92">
      <w:pPr>
        <w:pStyle w:val="ListParagraph"/>
        <w:numPr>
          <w:ilvl w:val="0"/>
          <w:numId w:val="2"/>
        </w:numPr>
        <w:jc w:val="both"/>
      </w:pPr>
      <w:r>
        <w:rPr>
          <w:rFonts w:ascii="Times New Roman" w:hAnsi="Times New Roman"/>
          <w:sz w:val="22"/>
        </w:rPr>
        <w:t>Fostering a pious yet industrious lifestyle</w:t>
      </w:r>
      <w:r w:rsidR="00D56174">
        <w:rPr>
          <w:rFonts w:ascii="Times New Roman" w:hAnsi="Times New Roman"/>
          <w:sz w:val="22"/>
        </w:rPr>
        <w:t>.</w:t>
      </w:r>
    </w:p>
    <w:p w:rsidR="00665C92" w:rsidRDefault="00665C92" w:rsidP="00665C92">
      <w:pPr>
        <w:pStyle w:val="ListParagraph"/>
        <w:numPr>
          <w:ilvl w:val="0"/>
          <w:numId w:val="2"/>
        </w:numPr>
        <w:jc w:val="both"/>
      </w:pPr>
      <w:r>
        <w:rPr>
          <w:rFonts w:ascii="Times New Roman" w:hAnsi="Times New Roman"/>
          <w:sz w:val="22"/>
        </w:rPr>
        <w:t>Promoting secular vocations</w:t>
      </w:r>
      <w:r w:rsidR="00D56174">
        <w:rPr>
          <w:rFonts w:ascii="Times New Roman" w:hAnsi="Times New Roman"/>
          <w:sz w:val="22"/>
        </w:rPr>
        <w:t>.</w:t>
      </w:r>
    </w:p>
    <w:p w:rsidR="00D56174" w:rsidRDefault="00D56174" w:rsidP="00665C92">
      <w:pPr>
        <w:pStyle w:val="ListParagraph"/>
        <w:numPr>
          <w:ilvl w:val="0"/>
          <w:numId w:val="2"/>
        </w:numPr>
        <w:jc w:val="both"/>
      </w:pPr>
      <w:r>
        <w:rPr>
          <w:rFonts w:ascii="Times New Roman" w:hAnsi="Times New Roman"/>
          <w:sz w:val="22"/>
        </w:rPr>
        <w:t>Affirmed the present God-given orders of life.</w:t>
      </w:r>
    </w:p>
    <w:p w:rsidR="00665C92" w:rsidRPr="00665C92" w:rsidRDefault="00665C92" w:rsidP="00665C92">
      <w:pPr>
        <w:jc w:val="both"/>
        <w:rPr>
          <w:b/>
          <w:bCs/>
        </w:rPr>
      </w:pPr>
      <w:r w:rsidRPr="00665C92">
        <w:rPr>
          <w:rFonts w:ascii="Times New Roman" w:hAnsi="Times New Roman"/>
          <w:b/>
          <w:bCs/>
          <w:sz w:val="22"/>
        </w:rPr>
        <w:t>Renaissance’s Affirmation</w:t>
      </w:r>
      <w:r w:rsidRPr="00665C92">
        <w:rPr>
          <w:rFonts w:ascii="Times New Roman" w:hAnsi="Times New Roman"/>
          <w:b/>
          <w:bCs/>
          <w:sz w:val="22"/>
        </w:rPr>
        <w:t xml:space="preserve"> of the World:</w:t>
      </w:r>
    </w:p>
    <w:p w:rsidR="00665C92" w:rsidRDefault="00665C92" w:rsidP="00665C92">
      <w:pPr>
        <w:pStyle w:val="ListParagraph"/>
        <w:numPr>
          <w:ilvl w:val="0"/>
          <w:numId w:val="2"/>
        </w:numPr>
        <w:jc w:val="both"/>
      </w:pPr>
      <w:r>
        <w:rPr>
          <w:rFonts w:ascii="Times New Roman" w:hAnsi="Times New Roman"/>
          <w:sz w:val="22"/>
        </w:rPr>
        <w:t>Encouraging self-development</w:t>
      </w:r>
      <w:r w:rsidR="00D56174">
        <w:rPr>
          <w:rFonts w:ascii="Times New Roman" w:hAnsi="Times New Roman"/>
          <w:sz w:val="22"/>
        </w:rPr>
        <w:t>.</w:t>
      </w:r>
    </w:p>
    <w:p w:rsidR="00665C92" w:rsidRDefault="00665C92" w:rsidP="00665C92">
      <w:pPr>
        <w:pStyle w:val="ListParagraph"/>
        <w:numPr>
          <w:ilvl w:val="0"/>
          <w:numId w:val="2"/>
        </w:numPr>
        <w:jc w:val="both"/>
      </w:pPr>
      <w:r>
        <w:rPr>
          <w:rFonts w:ascii="Times New Roman" w:hAnsi="Times New Roman"/>
          <w:sz w:val="22"/>
        </w:rPr>
        <w:t>Embracing artistic freedom</w:t>
      </w:r>
      <w:r w:rsidR="00D56174">
        <w:rPr>
          <w:rFonts w:ascii="Times New Roman" w:hAnsi="Times New Roman"/>
          <w:sz w:val="22"/>
        </w:rPr>
        <w:t>.</w:t>
      </w:r>
    </w:p>
    <w:p w:rsidR="00665C92" w:rsidRDefault="00665C92" w:rsidP="00665C92">
      <w:pPr>
        <w:pStyle w:val="ListParagraph"/>
        <w:numPr>
          <w:ilvl w:val="0"/>
          <w:numId w:val="2"/>
        </w:numPr>
        <w:jc w:val="both"/>
      </w:pPr>
      <w:r>
        <w:rPr>
          <w:rFonts w:ascii="Times New Roman" w:hAnsi="Times New Roman"/>
          <w:sz w:val="22"/>
        </w:rPr>
        <w:t>Pursuing cultural advancement and individual expression</w:t>
      </w:r>
      <w:r w:rsidR="00D56174">
        <w:rPr>
          <w:rFonts w:ascii="Times New Roman" w:hAnsi="Times New Roman"/>
          <w:sz w:val="22"/>
        </w:rPr>
        <w:t>.</w:t>
      </w:r>
    </w:p>
    <w:p w:rsidR="00D56174" w:rsidRDefault="00D56174" w:rsidP="00665C92">
      <w:pPr>
        <w:pStyle w:val="ListParagraph"/>
        <w:numPr>
          <w:ilvl w:val="0"/>
          <w:numId w:val="2"/>
        </w:numPr>
        <w:jc w:val="both"/>
      </w:pPr>
      <w:r>
        <w:rPr>
          <w:rFonts w:ascii="Times New Roman" w:hAnsi="Times New Roman"/>
          <w:sz w:val="22"/>
        </w:rPr>
        <w:t>Explored the microcosm within the divine macrocosm.</w:t>
      </w:r>
    </w:p>
    <w:p w:rsidR="00AA008D" w:rsidRDefault="00665C92" w:rsidP="00665C92">
      <w:pPr>
        <w:jc w:val="both"/>
      </w:pPr>
      <w:r w:rsidRPr="00D56174">
        <w:rPr>
          <w:rFonts w:ascii="Times New Roman" w:hAnsi="Times New Roman"/>
          <w:b/>
          <w:bCs/>
          <w:sz w:val="22"/>
        </w:rPr>
        <w:t>Reformation and Bourgeois Developments</w:t>
      </w:r>
      <w:r w:rsidR="00D56174">
        <w:rPr>
          <w:rFonts w:ascii="Times New Roman" w:hAnsi="Times New Roman"/>
          <w:b/>
          <w:bCs/>
          <w:sz w:val="22"/>
        </w:rPr>
        <w:t xml:space="preserve">. </w:t>
      </w:r>
      <w:r>
        <w:rPr>
          <w:rFonts w:ascii="Times New Roman" w:hAnsi="Times New Roman"/>
          <w:sz w:val="22"/>
        </w:rPr>
        <w:t>The Reformation in Northern Germany aligned with the medieval bourgeois revolution and the state of the empire, while the Italian Renaissance was tied to the republics and financial aristocracies.</w:t>
      </w:r>
      <w:r w:rsidR="00D56174">
        <w:rPr>
          <w:rFonts w:ascii="Times New Roman" w:hAnsi="Times New Roman"/>
          <w:sz w:val="22"/>
        </w:rPr>
        <w:t xml:space="preserve"> </w:t>
      </w:r>
      <w:r w:rsidRPr="00D56174">
        <w:rPr>
          <w:rFonts w:ascii="Times New Roman" w:hAnsi="Times New Roman"/>
          <w:b/>
          <w:bCs/>
          <w:sz w:val="22"/>
        </w:rPr>
        <w:t>Conclusion on the Influence of Renaissance and Reformation</w:t>
      </w:r>
      <w:r w:rsidR="00D56174">
        <w:rPr>
          <w:rFonts w:ascii="Times New Roman" w:hAnsi="Times New Roman"/>
          <w:b/>
          <w:bCs/>
          <w:sz w:val="22"/>
        </w:rPr>
        <w:t xml:space="preserve">. </w:t>
      </w:r>
      <w:r>
        <w:rPr>
          <w:rFonts w:ascii="Times New Roman" w:hAnsi="Times New Roman"/>
          <w:sz w:val="22"/>
        </w:rPr>
        <w:t xml:space="preserve">Troeltsch argued that the </w:t>
      </w:r>
      <w:r w:rsidRPr="00D56174">
        <w:rPr>
          <w:rFonts w:ascii="Times New Roman" w:hAnsi="Times New Roman"/>
          <w:i/>
          <w:iCs/>
          <w:sz w:val="22"/>
        </w:rPr>
        <w:t>Reformation’s religious renewal had a broader sociocultural impact compared to the narrower scope of the Renaissance</w:t>
      </w:r>
      <w:r>
        <w:rPr>
          <w:rFonts w:ascii="Times New Roman" w:hAnsi="Times New Roman"/>
          <w:sz w:val="22"/>
        </w:rPr>
        <w:t>. Over two centuries, the Renaissance gained influence as Protestantism weakened centralized Church power, differing in region and response. The Enlightenment emerged not merely as a continuation of the Renaissance but highlighted contrasts such as asceticism versus aesthetic engagement with the world.</w:t>
      </w:r>
    </w:p>
    <w:sectPr w:rsidR="00AA008D">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TroE</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Renaissance and Reformation</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B2236E"/>
    <w:multiLevelType w:val="hybridMultilevel"/>
    <w:tmpl w:val="F79E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C52435"/>
    <w:multiLevelType w:val="hybridMultilevel"/>
    <w:tmpl w:val="C9DC8652"/>
    <w:lvl w:ilvl="0" w:tplc="285E1C1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862952"/>
    <w:multiLevelType w:val="hybridMultilevel"/>
    <w:tmpl w:val="B4165E8E"/>
    <w:lvl w:ilvl="0" w:tplc="285E1C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176669">
    <w:abstractNumId w:val="0"/>
  </w:num>
  <w:num w:numId="2" w16cid:durableId="668942005">
    <w:abstractNumId w:val="1"/>
  </w:num>
  <w:num w:numId="3" w16cid:durableId="1474368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92"/>
    <w:rsid w:val="00282F99"/>
    <w:rsid w:val="00665C92"/>
    <w:rsid w:val="00A57F40"/>
    <w:rsid w:val="00AA008D"/>
    <w:rsid w:val="00D56174"/>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BDC804"/>
  <w15:chartTrackingRefBased/>
  <w15:docId w15:val="{3D1B50DC-92AA-924F-AD9E-A6AE75C3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2024-11-20T18:57:00Z</dcterms:created>
  <dcterms:modified xsi:type="dcterms:W3CDTF">2024-11-20T19:12:00Z</dcterms:modified>
</cp:coreProperties>
</file>