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25ED9" w:rsidRPr="003053D6" w:rsidRDefault="00F25ED9" w:rsidP="00F25ED9">
      <w:pPr>
        <w:jc w:val="both"/>
        <w:rPr>
          <w:b/>
          <w:bCs/>
          <w:sz w:val="24"/>
        </w:rPr>
      </w:pPr>
      <w:r w:rsidRPr="003053D6">
        <w:rPr>
          <w:rFonts w:ascii="Times New Roman" w:hAnsi="Times New Roman"/>
          <w:b/>
          <w:bCs/>
          <w:sz w:val="22"/>
        </w:rPr>
        <w:t>Inerrancy and Hermeneutic: A Tradition, a Challenge, a Debate - Harvie Conn et al.</w:t>
      </w:r>
    </w:p>
    <w:p w:rsidR="00F25ED9" w:rsidRPr="003053D6" w:rsidRDefault="00F25ED9" w:rsidP="00F25ED9">
      <w:pPr>
        <w:jc w:val="both"/>
        <w:rPr>
          <w:sz w:val="24"/>
        </w:rPr>
      </w:pPr>
      <w:r w:rsidRPr="003053D6">
        <w:rPr>
          <w:rFonts w:ascii="Times New Roman" w:hAnsi="Times New Roman"/>
          <w:b/>
          <w:bCs/>
          <w:sz w:val="22"/>
        </w:rPr>
        <w:t>WTS Symposium: Scripture and Hermeneutics</w:t>
      </w:r>
      <w:r w:rsidRPr="003053D6">
        <w:rPr>
          <w:rFonts w:ascii="Times New Roman" w:hAnsi="Times New Roman"/>
          <w:sz w:val="22"/>
        </w:rPr>
        <w:t>. The symposium aimed at providing pastors with continuing education, offering a defensive yet affirming stance against superficial or reactionary responses and unguarded academic speculation.</w:t>
      </w:r>
    </w:p>
    <w:p w:rsidR="00F25ED9" w:rsidRPr="003053D6" w:rsidRDefault="00F25ED9" w:rsidP="00F25ED9">
      <w:pPr>
        <w:jc w:val="both"/>
        <w:rPr>
          <w:b/>
          <w:bCs/>
          <w:sz w:val="24"/>
        </w:rPr>
      </w:pPr>
    </w:p>
    <w:p w:rsidR="00F25ED9" w:rsidRPr="003053D6" w:rsidRDefault="00F25ED9" w:rsidP="00F25ED9">
      <w:pPr>
        <w:jc w:val="both"/>
        <w:rPr>
          <w:sz w:val="24"/>
        </w:rPr>
      </w:pPr>
      <w:r w:rsidRPr="003053D6">
        <w:rPr>
          <w:rFonts w:ascii="Times New Roman" w:hAnsi="Times New Roman"/>
          <w:b/>
          <w:bCs/>
          <w:sz w:val="22"/>
        </w:rPr>
        <w:t>1. A Historical Prologue: Inerrancy, Hermeneutic, and Westminster - Harvie Conn</w:t>
      </w:r>
      <w:r w:rsidRPr="003053D6">
        <w:rPr>
          <w:rFonts w:ascii="Times New Roman" w:hAnsi="Times New Roman"/>
          <w:sz w:val="22"/>
        </w:rPr>
        <w:t xml:space="preserve">. </w:t>
      </w:r>
    </w:p>
    <w:p w:rsidR="00AA008D" w:rsidRPr="003053D6" w:rsidRDefault="00F25ED9" w:rsidP="00F25ED9">
      <w:pPr>
        <w:jc w:val="both"/>
        <w:rPr>
          <w:sz w:val="24"/>
        </w:rPr>
      </w:pPr>
      <w:r w:rsidRPr="003053D6">
        <w:rPr>
          <w:rFonts w:ascii="Times New Roman" w:hAnsi="Times New Roman"/>
          <w:sz w:val="22"/>
        </w:rPr>
        <w:t>Westminster</w:t>
      </w:r>
      <w:r w:rsidR="001D6B90" w:rsidRPr="003053D6">
        <w:rPr>
          <w:rFonts w:ascii="Times New Roman" w:hAnsi="Times New Roman"/>
          <w:sz w:val="22"/>
        </w:rPr>
        <w:t>’</w:t>
      </w:r>
      <w:r w:rsidRPr="003053D6">
        <w:rPr>
          <w:rFonts w:ascii="Times New Roman" w:hAnsi="Times New Roman"/>
          <w:sz w:val="22"/>
        </w:rPr>
        <w:t>s Focus. Westminster Theological Seminary (WTS) and old Princeton uniquely focused on affirming conservative hermeneutics, later joined by the Evangelical Theological Society (ETS). They placed a strong emphasis on infallibility, exemplified by Edward J. Young</w:t>
      </w:r>
      <w:r w:rsidR="001D6B90" w:rsidRPr="003053D6">
        <w:rPr>
          <w:rFonts w:ascii="Times New Roman" w:hAnsi="Times New Roman"/>
          <w:sz w:val="22"/>
        </w:rPr>
        <w:t>’</w:t>
      </w:r>
      <w:r w:rsidRPr="003053D6">
        <w:rPr>
          <w:rFonts w:ascii="Times New Roman" w:hAnsi="Times New Roman"/>
          <w:sz w:val="22"/>
        </w:rPr>
        <w:t>s 1957 comprehensive work on inspiration and Cornelius Van Til</w:t>
      </w:r>
      <w:r w:rsidR="001D6B90" w:rsidRPr="003053D6">
        <w:rPr>
          <w:rFonts w:ascii="Times New Roman" w:hAnsi="Times New Roman"/>
          <w:sz w:val="22"/>
        </w:rPr>
        <w:t>’</w:t>
      </w:r>
      <w:r w:rsidRPr="003053D6">
        <w:rPr>
          <w:rFonts w:ascii="Times New Roman" w:hAnsi="Times New Roman"/>
          <w:sz w:val="22"/>
        </w:rPr>
        <w:t xml:space="preserve">s 1967 book, </w:t>
      </w:r>
      <w:r w:rsidRPr="003053D6">
        <w:rPr>
          <w:rFonts w:ascii="Times New Roman" w:hAnsi="Times New Roman"/>
          <w:i/>
          <w:iCs/>
          <w:sz w:val="22"/>
        </w:rPr>
        <w:t>The Protestant Doctrine of Scripture</w:t>
      </w:r>
      <w:r w:rsidRPr="003053D6">
        <w:rPr>
          <w:rFonts w:ascii="Times New Roman" w:hAnsi="Times New Roman"/>
          <w:sz w:val="22"/>
        </w:rPr>
        <w:t xml:space="preserve">. Notable symposia included the 1973 </w:t>
      </w:r>
      <w:r w:rsidRPr="003053D6">
        <w:rPr>
          <w:rFonts w:ascii="Times New Roman" w:hAnsi="Times New Roman"/>
          <w:i/>
          <w:iCs/>
          <w:sz w:val="22"/>
        </w:rPr>
        <w:t>Scripture and Confession</w:t>
      </w:r>
      <w:r w:rsidRPr="003053D6">
        <w:rPr>
          <w:rFonts w:ascii="Times New Roman" w:hAnsi="Times New Roman"/>
          <w:sz w:val="22"/>
        </w:rPr>
        <w:t xml:space="preserve"> and CVT</w:t>
      </w:r>
      <w:r w:rsidR="001D6B90" w:rsidRPr="003053D6">
        <w:rPr>
          <w:rFonts w:ascii="Times New Roman" w:hAnsi="Times New Roman"/>
          <w:sz w:val="22"/>
        </w:rPr>
        <w:t>’</w:t>
      </w:r>
      <w:r w:rsidRPr="003053D6">
        <w:rPr>
          <w:rFonts w:ascii="Times New Roman" w:hAnsi="Times New Roman"/>
          <w:sz w:val="22"/>
        </w:rPr>
        <w:t xml:space="preserve">s 1974 </w:t>
      </w:r>
      <w:r w:rsidRPr="003053D6">
        <w:rPr>
          <w:rFonts w:ascii="Times New Roman" w:hAnsi="Times New Roman"/>
          <w:i/>
          <w:iCs/>
          <w:sz w:val="22"/>
        </w:rPr>
        <w:t>The New Hermeneutic</w:t>
      </w:r>
      <w:r w:rsidRPr="003053D6">
        <w:rPr>
          <w:rFonts w:ascii="Times New Roman" w:hAnsi="Times New Roman"/>
          <w:sz w:val="22"/>
        </w:rPr>
        <w:t xml:space="preserve">. </w:t>
      </w:r>
      <w:r w:rsidRPr="003053D6">
        <w:rPr>
          <w:rFonts w:ascii="Times New Roman" w:hAnsi="Times New Roman"/>
          <w:b/>
          <w:bCs/>
          <w:sz w:val="22"/>
        </w:rPr>
        <w:t>Westminster and Infallibility in the 1970s</w:t>
      </w:r>
      <w:r w:rsidRPr="003053D6">
        <w:rPr>
          <w:rFonts w:ascii="Times New Roman" w:hAnsi="Times New Roman"/>
          <w:sz w:val="22"/>
        </w:rPr>
        <w:t>. John Frame emphasized God</w:t>
      </w:r>
      <w:r w:rsidR="001D6B90" w:rsidRPr="003053D6">
        <w:rPr>
          <w:rFonts w:ascii="Times New Roman" w:hAnsi="Times New Roman"/>
          <w:sz w:val="22"/>
        </w:rPr>
        <w:t>’</w:t>
      </w:r>
      <w:r w:rsidRPr="003053D6">
        <w:rPr>
          <w:rFonts w:ascii="Times New Roman" w:hAnsi="Times New Roman"/>
          <w:sz w:val="22"/>
        </w:rPr>
        <w:t>s lordship over human language, thus upholding the Bible</w:t>
      </w:r>
      <w:r w:rsidR="001D6B90" w:rsidRPr="003053D6">
        <w:rPr>
          <w:rFonts w:ascii="Times New Roman" w:hAnsi="Times New Roman"/>
          <w:sz w:val="22"/>
        </w:rPr>
        <w:t>’</w:t>
      </w:r>
      <w:r w:rsidRPr="003053D6">
        <w:rPr>
          <w:rFonts w:ascii="Times New Roman" w:hAnsi="Times New Roman"/>
          <w:sz w:val="22"/>
        </w:rPr>
        <w:t>s infallibility against Wittgenstein</w:t>
      </w:r>
      <w:r w:rsidR="001D6B90" w:rsidRPr="003053D6">
        <w:rPr>
          <w:rFonts w:ascii="Times New Roman" w:hAnsi="Times New Roman"/>
          <w:sz w:val="22"/>
        </w:rPr>
        <w:t>’</w:t>
      </w:r>
      <w:r w:rsidRPr="003053D6">
        <w:rPr>
          <w:rFonts w:ascii="Times New Roman" w:hAnsi="Times New Roman"/>
          <w:sz w:val="22"/>
        </w:rPr>
        <w:t xml:space="preserve">s philosophy. Richard Gaffin provided historical evaluations of Kuyper and Bavinck. Additionally, Davis suggested rethinking hermeneutics, implying that the doctrine of inerrancy might be unnecessary. </w:t>
      </w:r>
      <w:r w:rsidRPr="003053D6">
        <w:rPr>
          <w:rFonts w:ascii="Times New Roman" w:hAnsi="Times New Roman"/>
          <w:b/>
          <w:bCs/>
          <w:sz w:val="22"/>
        </w:rPr>
        <w:t xml:space="preserve">Westminster and Emerging Hermeneutic Debate. </w:t>
      </w:r>
      <w:r w:rsidRPr="003053D6">
        <w:rPr>
          <w:rFonts w:ascii="Times New Roman" w:hAnsi="Times New Roman"/>
          <w:sz w:val="22"/>
        </w:rPr>
        <w:t>In response to the New Hermeneutic, Gaffin highlighted three points: continuation of opposition to Enlightenment presuppositions, affirmation of the unity of Scripture and God</w:t>
      </w:r>
      <w:r w:rsidR="001D6B90" w:rsidRPr="003053D6">
        <w:rPr>
          <w:rFonts w:ascii="Times New Roman" w:hAnsi="Times New Roman"/>
          <w:sz w:val="22"/>
        </w:rPr>
        <w:t>’</w:t>
      </w:r>
      <w:r w:rsidRPr="003053D6">
        <w:rPr>
          <w:rFonts w:ascii="Times New Roman" w:hAnsi="Times New Roman"/>
          <w:sz w:val="22"/>
        </w:rPr>
        <w:t xml:space="preserve">s interpretation as foundational, and continuity between human interpretation and divine revelation. The New Hermeneutic shifted the focus from </w:t>
      </w:r>
      <w:r w:rsidR="001D6B90" w:rsidRPr="003053D6">
        <w:rPr>
          <w:rFonts w:ascii="Times New Roman" w:hAnsi="Times New Roman"/>
          <w:sz w:val="22"/>
        </w:rPr>
        <w:t>“</w:t>
      </w:r>
      <w:r w:rsidRPr="003053D6">
        <w:rPr>
          <w:rFonts w:ascii="Times New Roman" w:hAnsi="Times New Roman"/>
          <w:sz w:val="22"/>
        </w:rPr>
        <w:t xml:space="preserve">What does the </w:t>
      </w:r>
      <w:r w:rsidRPr="003053D6">
        <w:rPr>
          <w:rFonts w:ascii="Times New Roman" w:hAnsi="Times New Roman"/>
          <w:i/>
          <w:iCs/>
          <w:sz w:val="22"/>
        </w:rPr>
        <w:t>text</w:t>
      </w:r>
      <w:r w:rsidRPr="003053D6">
        <w:rPr>
          <w:rFonts w:ascii="Times New Roman" w:hAnsi="Times New Roman"/>
          <w:sz w:val="22"/>
        </w:rPr>
        <w:t xml:space="preserve"> mean?</w:t>
      </w:r>
      <w:r w:rsidR="001D6B90" w:rsidRPr="003053D6">
        <w:rPr>
          <w:rFonts w:ascii="Times New Roman" w:hAnsi="Times New Roman"/>
          <w:sz w:val="22"/>
        </w:rPr>
        <w:t>”</w:t>
      </w:r>
      <w:r w:rsidRPr="003053D6">
        <w:rPr>
          <w:rFonts w:ascii="Times New Roman" w:hAnsi="Times New Roman"/>
          <w:sz w:val="22"/>
        </w:rPr>
        <w:t xml:space="preserve"> to </w:t>
      </w:r>
      <w:r w:rsidR="001D6B90" w:rsidRPr="003053D6">
        <w:rPr>
          <w:rFonts w:ascii="Times New Roman" w:hAnsi="Times New Roman"/>
          <w:sz w:val="22"/>
        </w:rPr>
        <w:t>“</w:t>
      </w:r>
      <w:r w:rsidRPr="003053D6">
        <w:rPr>
          <w:rFonts w:ascii="Times New Roman" w:hAnsi="Times New Roman"/>
          <w:sz w:val="22"/>
        </w:rPr>
        <w:t xml:space="preserve">What do </w:t>
      </w:r>
      <w:r w:rsidRPr="003053D6">
        <w:rPr>
          <w:rFonts w:ascii="Times New Roman" w:hAnsi="Times New Roman"/>
          <w:i/>
          <w:iCs/>
          <w:sz w:val="22"/>
        </w:rPr>
        <w:t>we</w:t>
      </w:r>
      <w:r w:rsidRPr="003053D6">
        <w:rPr>
          <w:rFonts w:ascii="Times New Roman" w:hAnsi="Times New Roman"/>
          <w:sz w:val="22"/>
        </w:rPr>
        <w:t xml:space="preserve"> mean by meaning?</w:t>
      </w:r>
      <w:r w:rsidR="001D6B90" w:rsidRPr="003053D6">
        <w:rPr>
          <w:rFonts w:ascii="Times New Roman" w:hAnsi="Times New Roman"/>
          <w:sz w:val="22"/>
        </w:rPr>
        <w:t>”</w:t>
      </w:r>
      <w:r w:rsidRPr="003053D6">
        <w:rPr>
          <w:rFonts w:ascii="Times New Roman" w:hAnsi="Times New Roman"/>
          <w:b/>
          <w:bCs/>
          <w:sz w:val="22"/>
        </w:rPr>
        <w:t xml:space="preserve"> Hermeneutics and New Tools</w:t>
      </w:r>
      <w:r w:rsidRPr="003053D6">
        <w:rPr>
          <w:rFonts w:ascii="Times New Roman" w:hAnsi="Times New Roman"/>
          <w:sz w:val="22"/>
        </w:rPr>
        <w:t xml:space="preserve">. Mark Noll identified two tasks for seminary curricula: introducing significant 20th-century hermeneutics and reexamining hermeneutical principles within Christian convictions. Vern Poythress advocated for a holistic approach, viewing structuralism as just one perspective, noting that both historical-critical methods and structuralism emerged from post-Kantian naturalism. Form and redaction criticism were also discussed, with contributions from scholars like Stonehouse and Kline. </w:t>
      </w:r>
      <w:r w:rsidRPr="003053D6">
        <w:rPr>
          <w:rFonts w:ascii="Times New Roman" w:hAnsi="Times New Roman"/>
          <w:b/>
          <w:bCs/>
          <w:sz w:val="22"/>
        </w:rPr>
        <w:t>Tremper Longman III on Genre</w:t>
      </w:r>
      <w:r w:rsidRPr="003053D6">
        <w:rPr>
          <w:rFonts w:ascii="Times New Roman" w:hAnsi="Times New Roman"/>
          <w:sz w:val="22"/>
        </w:rPr>
        <w:t>. Longman questioned Gunkel</w:t>
      </w:r>
      <w:r w:rsidR="001D6B90" w:rsidRPr="003053D6">
        <w:rPr>
          <w:rFonts w:ascii="Times New Roman" w:hAnsi="Times New Roman"/>
          <w:sz w:val="22"/>
        </w:rPr>
        <w:t>’</w:t>
      </w:r>
      <w:r w:rsidRPr="003053D6">
        <w:rPr>
          <w:rFonts w:ascii="Times New Roman" w:hAnsi="Times New Roman"/>
          <w:sz w:val="22"/>
        </w:rPr>
        <w:t>s work, arguing that genres are neither pure nor static. He identified four benefits of proper genre analysis: correct understanding, uncovering the text</w:t>
      </w:r>
      <w:r w:rsidR="001D6B90" w:rsidRPr="003053D6">
        <w:rPr>
          <w:rFonts w:ascii="Times New Roman" w:hAnsi="Times New Roman"/>
          <w:sz w:val="22"/>
        </w:rPr>
        <w:t>’</w:t>
      </w:r>
      <w:r w:rsidRPr="003053D6">
        <w:rPr>
          <w:rFonts w:ascii="Times New Roman" w:hAnsi="Times New Roman"/>
          <w:sz w:val="22"/>
        </w:rPr>
        <w:t>s original context, focusing on clarification rather than classification, and gaining insights from comparative studies (e.g., Kline</w:t>
      </w:r>
      <w:r w:rsidR="001D6B90" w:rsidRPr="003053D6">
        <w:rPr>
          <w:rFonts w:ascii="Times New Roman" w:hAnsi="Times New Roman"/>
          <w:sz w:val="22"/>
        </w:rPr>
        <w:t>’</w:t>
      </w:r>
      <w:r w:rsidRPr="003053D6">
        <w:rPr>
          <w:rFonts w:ascii="Times New Roman" w:hAnsi="Times New Roman"/>
          <w:sz w:val="22"/>
        </w:rPr>
        <w:t xml:space="preserve">s work on Hittite treaties). </w:t>
      </w:r>
      <w:r w:rsidRPr="003053D6">
        <w:rPr>
          <w:rFonts w:ascii="Times New Roman" w:hAnsi="Times New Roman"/>
          <w:b/>
          <w:bCs/>
          <w:sz w:val="22"/>
        </w:rPr>
        <w:t>Raymond Dillard on Chronicles</w:t>
      </w:r>
      <w:r w:rsidRPr="003053D6">
        <w:rPr>
          <w:rFonts w:ascii="Times New Roman" w:hAnsi="Times New Roman"/>
          <w:sz w:val="22"/>
        </w:rPr>
        <w:t xml:space="preserve">. Dillard considered Chronicles a theological essay that requires familiarity with Samuel-Kings, emphasizing that biblical history is more than just factual reporting. </w:t>
      </w:r>
      <w:r w:rsidRPr="003053D6">
        <w:rPr>
          <w:rFonts w:ascii="Times New Roman" w:hAnsi="Times New Roman"/>
          <w:b/>
          <w:bCs/>
          <w:sz w:val="22"/>
        </w:rPr>
        <w:t xml:space="preserve">Emerging Evangelical Agenda at WTS. </w:t>
      </w:r>
      <w:r w:rsidRPr="003053D6">
        <w:rPr>
          <w:rFonts w:ascii="Times New Roman" w:hAnsi="Times New Roman"/>
          <w:sz w:val="22"/>
        </w:rPr>
        <w:t>Westminster sustained a commitment to inerrancy while creatively addressing new theological and hermeneutical questions. Key contributions included Sinclair Ferguson</w:t>
      </w:r>
      <w:r w:rsidR="001D6B90" w:rsidRPr="003053D6">
        <w:rPr>
          <w:rFonts w:ascii="Times New Roman" w:hAnsi="Times New Roman"/>
          <w:sz w:val="22"/>
        </w:rPr>
        <w:t>’</w:t>
      </w:r>
      <w:r w:rsidRPr="003053D6">
        <w:rPr>
          <w:rFonts w:ascii="Times New Roman" w:hAnsi="Times New Roman"/>
          <w:sz w:val="22"/>
        </w:rPr>
        <w:t>s emphasis on self-testimony, Moisés Silva</w:t>
      </w:r>
      <w:r w:rsidR="001D6B90" w:rsidRPr="003053D6">
        <w:rPr>
          <w:rFonts w:ascii="Times New Roman" w:hAnsi="Times New Roman"/>
          <w:sz w:val="22"/>
        </w:rPr>
        <w:t>’</w:t>
      </w:r>
      <w:r w:rsidRPr="003053D6">
        <w:rPr>
          <w:rFonts w:ascii="Times New Roman" w:hAnsi="Times New Roman"/>
          <w:sz w:val="22"/>
        </w:rPr>
        <w:t>s advocacy for hermeneutical flexibility, Poythress</w:t>
      </w:r>
      <w:r w:rsidR="001D6B90" w:rsidRPr="003053D6">
        <w:rPr>
          <w:rFonts w:ascii="Times New Roman" w:hAnsi="Times New Roman"/>
          <w:sz w:val="22"/>
        </w:rPr>
        <w:t>’</w:t>
      </w:r>
      <w:r w:rsidRPr="003053D6">
        <w:rPr>
          <w:rFonts w:ascii="Times New Roman" w:hAnsi="Times New Roman"/>
          <w:sz w:val="22"/>
        </w:rPr>
        <w:t>s focus on dual authorship, Bruce Waltke</w:t>
      </w:r>
      <w:r w:rsidR="001D6B90" w:rsidRPr="003053D6">
        <w:rPr>
          <w:rFonts w:ascii="Times New Roman" w:hAnsi="Times New Roman"/>
          <w:sz w:val="22"/>
        </w:rPr>
        <w:t>’</w:t>
      </w:r>
      <w:r w:rsidRPr="003053D6">
        <w:rPr>
          <w:rFonts w:ascii="Times New Roman" w:hAnsi="Times New Roman"/>
          <w:sz w:val="22"/>
        </w:rPr>
        <w:t>s discussion on redaction history and oral tradition, Tremper Longman</w:t>
      </w:r>
      <w:r w:rsidR="001D6B90" w:rsidRPr="003053D6">
        <w:rPr>
          <w:rFonts w:ascii="Times New Roman" w:hAnsi="Times New Roman"/>
          <w:sz w:val="22"/>
        </w:rPr>
        <w:t>’</w:t>
      </w:r>
      <w:r w:rsidRPr="003053D6">
        <w:rPr>
          <w:rFonts w:ascii="Times New Roman" w:hAnsi="Times New Roman"/>
          <w:sz w:val="22"/>
        </w:rPr>
        <w:t>s exploration of the distinction between fiction and nonfiction in the Bible, Raymond Dillard</w:t>
      </w:r>
      <w:r w:rsidR="001D6B90" w:rsidRPr="003053D6">
        <w:rPr>
          <w:rFonts w:ascii="Times New Roman" w:hAnsi="Times New Roman"/>
          <w:sz w:val="22"/>
        </w:rPr>
        <w:t>’</w:t>
      </w:r>
      <w:r w:rsidRPr="003053D6">
        <w:rPr>
          <w:rFonts w:ascii="Times New Roman" w:hAnsi="Times New Roman"/>
          <w:sz w:val="22"/>
        </w:rPr>
        <w:t>s focus on harmonization methods, Richard Gaffin</w:t>
      </w:r>
      <w:r w:rsidR="001D6B90" w:rsidRPr="003053D6">
        <w:rPr>
          <w:rFonts w:ascii="Times New Roman" w:hAnsi="Times New Roman"/>
          <w:sz w:val="22"/>
        </w:rPr>
        <w:t>’</w:t>
      </w:r>
      <w:r w:rsidRPr="003053D6">
        <w:rPr>
          <w:rFonts w:ascii="Times New Roman" w:hAnsi="Times New Roman"/>
          <w:sz w:val="22"/>
        </w:rPr>
        <w:t>s address on the canonical versus non-canonical texts, Harvie Conn</w:t>
      </w:r>
      <w:r w:rsidR="001D6B90" w:rsidRPr="003053D6">
        <w:rPr>
          <w:rFonts w:ascii="Times New Roman" w:hAnsi="Times New Roman"/>
          <w:sz w:val="22"/>
        </w:rPr>
        <w:t>’</w:t>
      </w:r>
      <w:r w:rsidRPr="003053D6">
        <w:rPr>
          <w:rFonts w:ascii="Times New Roman" w:hAnsi="Times New Roman"/>
          <w:sz w:val="22"/>
        </w:rPr>
        <w:t>s discussion on the Bible</w:t>
      </w:r>
      <w:r w:rsidR="001D6B90" w:rsidRPr="003053D6">
        <w:rPr>
          <w:rFonts w:ascii="Times New Roman" w:hAnsi="Times New Roman"/>
          <w:sz w:val="22"/>
        </w:rPr>
        <w:t>’</w:t>
      </w:r>
      <w:r w:rsidRPr="003053D6">
        <w:rPr>
          <w:rFonts w:ascii="Times New Roman" w:hAnsi="Times New Roman"/>
          <w:sz w:val="22"/>
        </w:rPr>
        <w:t>s cultural universality versus human subjectivity, and David Clowney</w:t>
      </w:r>
      <w:r w:rsidR="001D6B90" w:rsidRPr="003053D6">
        <w:rPr>
          <w:rFonts w:ascii="Times New Roman" w:hAnsi="Times New Roman"/>
          <w:sz w:val="22"/>
        </w:rPr>
        <w:t>’</w:t>
      </w:r>
      <w:r w:rsidRPr="003053D6">
        <w:rPr>
          <w:rFonts w:ascii="Times New Roman" w:hAnsi="Times New Roman"/>
          <w:sz w:val="22"/>
        </w:rPr>
        <w:t>s questioning of the relevance of Scripture as law or norm in contemporary times.</w:t>
      </w:r>
    </w:p>
    <w:p w:rsidR="00F25ED9" w:rsidRPr="003053D6" w:rsidRDefault="00F25ED9" w:rsidP="00F25ED9">
      <w:pPr>
        <w:jc w:val="both"/>
        <w:rPr>
          <w:b/>
          <w:bCs/>
          <w:sz w:val="24"/>
        </w:rPr>
      </w:pPr>
    </w:p>
    <w:p w:rsidR="00F25ED9" w:rsidRPr="003053D6" w:rsidRDefault="00F25ED9" w:rsidP="00F25ED9">
      <w:pPr>
        <w:jc w:val="both"/>
        <w:rPr>
          <w:sz w:val="24"/>
        </w:rPr>
      </w:pPr>
      <w:r w:rsidRPr="003053D6">
        <w:rPr>
          <w:rFonts w:ascii="Times New Roman" w:hAnsi="Times New Roman"/>
          <w:b/>
          <w:bCs/>
          <w:sz w:val="22"/>
        </w:rPr>
        <w:t>2. Inerrancy and Westminster Calvinism - D. Clair Davis</w:t>
      </w:r>
      <w:r w:rsidRPr="003053D6">
        <w:rPr>
          <w:rFonts w:ascii="Times New Roman" w:hAnsi="Times New Roman"/>
          <w:sz w:val="22"/>
        </w:rPr>
        <w:t>.</w:t>
      </w:r>
    </w:p>
    <w:p w:rsidR="00F25ED9" w:rsidRPr="003053D6" w:rsidRDefault="00F25ED9" w:rsidP="00F25ED9">
      <w:pPr>
        <w:jc w:val="both"/>
        <w:rPr>
          <w:sz w:val="24"/>
        </w:rPr>
      </w:pPr>
      <w:r w:rsidRPr="003053D6">
        <w:rPr>
          <w:rFonts w:ascii="Times New Roman" w:hAnsi="Times New Roman"/>
          <w:b/>
          <w:bCs/>
          <w:sz w:val="22"/>
        </w:rPr>
        <w:t>Calvinism and Evangelicalism on Scripture</w:t>
      </w:r>
      <w:r w:rsidRPr="003053D6">
        <w:rPr>
          <w:rFonts w:ascii="Times New Roman" w:hAnsi="Times New Roman"/>
          <w:sz w:val="22"/>
        </w:rPr>
        <w:t xml:space="preserve">. Inerrancy became an ecumenical doctrine across evangelical theology, though various traditions had differing views. Calvinism opposed Lutheran and Anabaptist views: where Lutherans saw salvation as forgiveness and Anabaptists as obedience, Calvinists saw it as both. Warfield emphasized that human authors were shaped by God to </w:t>
      </w:r>
      <w:r w:rsidRPr="003053D6">
        <w:rPr>
          <w:rFonts w:ascii="Times New Roman" w:hAnsi="Times New Roman"/>
          <w:sz w:val="22"/>
        </w:rPr>
        <w:lastRenderedPageBreak/>
        <w:t xml:space="preserve">communicate His word, indicating human factors and divine power are not contradictory, supported by the doctrine of providence. However, T. F. Torrance proposed that the doctrine of Scripture should analogically reflect the incarnational events of Christ, suggesting a </w:t>
      </w:r>
      <w:r w:rsidR="001D6B90" w:rsidRPr="003053D6">
        <w:rPr>
          <w:rFonts w:ascii="Times New Roman" w:hAnsi="Times New Roman"/>
          <w:sz w:val="22"/>
        </w:rPr>
        <w:t>“</w:t>
      </w:r>
      <w:r w:rsidRPr="003053D6">
        <w:rPr>
          <w:rFonts w:ascii="Times New Roman" w:hAnsi="Times New Roman"/>
          <w:sz w:val="22"/>
        </w:rPr>
        <w:t>hypostatic union</w:t>
      </w:r>
      <w:r w:rsidR="001D6B90" w:rsidRPr="003053D6">
        <w:rPr>
          <w:rFonts w:ascii="Times New Roman" w:hAnsi="Times New Roman"/>
          <w:sz w:val="22"/>
        </w:rPr>
        <w:t>”</w:t>
      </w:r>
      <w:r w:rsidRPr="003053D6">
        <w:rPr>
          <w:rFonts w:ascii="Times New Roman" w:hAnsi="Times New Roman"/>
          <w:sz w:val="22"/>
        </w:rPr>
        <w:t xml:space="preserve"> between God and Scripture. </w:t>
      </w:r>
      <w:r w:rsidRPr="003053D6">
        <w:rPr>
          <w:rFonts w:ascii="Times New Roman" w:hAnsi="Times New Roman"/>
          <w:b/>
          <w:bCs/>
          <w:sz w:val="22"/>
        </w:rPr>
        <w:t>Calvinism and Westminster on Scripture</w:t>
      </w:r>
      <w:r w:rsidRPr="003053D6">
        <w:rPr>
          <w:rFonts w:ascii="Times New Roman" w:hAnsi="Times New Roman"/>
          <w:sz w:val="22"/>
        </w:rPr>
        <w:t>. Old Princeton engaged with New England, Southern, and German theology, while Westminster drew from the Reformed heritage of the Netherlands. The Reformation emphasized Christ</w:t>
      </w:r>
      <w:r w:rsidR="001D6B90" w:rsidRPr="003053D6">
        <w:rPr>
          <w:rFonts w:ascii="Times New Roman" w:hAnsi="Times New Roman"/>
          <w:sz w:val="22"/>
        </w:rPr>
        <w:t>’</w:t>
      </w:r>
      <w:r w:rsidRPr="003053D6">
        <w:rPr>
          <w:rFonts w:ascii="Times New Roman" w:hAnsi="Times New Roman"/>
          <w:sz w:val="22"/>
        </w:rPr>
        <w:t>s authority, with the 17th century responding to rationalistic philosophies. Gaffin noted differences between Old Amsterdam and Old Princeton but highlighted their organic perspectives (Bavinck, Vos, Gaffin). WTS</w:t>
      </w:r>
      <w:r w:rsidR="001D6B90" w:rsidRPr="003053D6">
        <w:rPr>
          <w:rFonts w:ascii="Times New Roman" w:hAnsi="Times New Roman"/>
          <w:sz w:val="22"/>
        </w:rPr>
        <w:t>’</w:t>
      </w:r>
      <w:r w:rsidRPr="003053D6">
        <w:rPr>
          <w:rFonts w:ascii="Times New Roman" w:hAnsi="Times New Roman"/>
          <w:sz w:val="22"/>
        </w:rPr>
        <w:t>s biblical-theological approach viewed inspiration and authority through the providential relationship between God and fallen creation. Questions of Christianity</w:t>
      </w:r>
      <w:r w:rsidR="001D6B90" w:rsidRPr="003053D6">
        <w:rPr>
          <w:rFonts w:ascii="Times New Roman" w:hAnsi="Times New Roman"/>
          <w:sz w:val="22"/>
        </w:rPr>
        <w:t>’</w:t>
      </w:r>
      <w:r w:rsidRPr="003053D6">
        <w:rPr>
          <w:rFonts w:ascii="Times New Roman" w:hAnsi="Times New Roman"/>
          <w:sz w:val="22"/>
        </w:rPr>
        <w:t xml:space="preserve">s interaction with culture, apologetics, and missions are central to understanding scriptural authority. </w:t>
      </w:r>
      <w:r w:rsidRPr="003053D6">
        <w:rPr>
          <w:rFonts w:ascii="Times New Roman" w:hAnsi="Times New Roman"/>
          <w:b/>
          <w:bCs/>
          <w:sz w:val="22"/>
        </w:rPr>
        <w:t xml:space="preserve">Apologetics: Cornelius Van Til versus Old Princeton. </w:t>
      </w:r>
      <w:r w:rsidRPr="003053D6">
        <w:rPr>
          <w:rFonts w:ascii="Times New Roman" w:hAnsi="Times New Roman"/>
          <w:sz w:val="22"/>
        </w:rPr>
        <w:t>Cornelius Van Til incorporated elements from both Old Princeton and Old Amsterdam. Old Princeton accepted Scottish common-sense realism, exemplified by Thomas Reid, who argued fundamental principles of common sense are instinctively believed and anything contrary is absurd. Charles Hodge of Old Princeton used systematic theology to tie biblical proof to human experience and focused on detailed refutations of error. In contrast, Westminster aimed – positively – to uncover the profound riches of God</w:t>
      </w:r>
      <w:r w:rsidR="001D6B90" w:rsidRPr="003053D6">
        <w:rPr>
          <w:rFonts w:ascii="Times New Roman" w:hAnsi="Times New Roman"/>
          <w:sz w:val="22"/>
        </w:rPr>
        <w:t>’</w:t>
      </w:r>
      <w:r w:rsidRPr="003053D6">
        <w:rPr>
          <w:rFonts w:ascii="Times New Roman" w:hAnsi="Times New Roman"/>
          <w:sz w:val="22"/>
        </w:rPr>
        <w:t>s Word, adding a dynamic and organic approach to the doctrine of Scripture, emphasizing revelation history and providence.</w:t>
      </w:r>
    </w:p>
    <w:p w:rsidR="00F25ED9" w:rsidRPr="003053D6" w:rsidRDefault="00F25ED9" w:rsidP="00F25ED9">
      <w:pPr>
        <w:jc w:val="both"/>
        <w:rPr>
          <w:b/>
          <w:bCs/>
          <w:sz w:val="24"/>
        </w:rPr>
      </w:pPr>
    </w:p>
    <w:p w:rsidR="00F25ED9" w:rsidRPr="003053D6" w:rsidRDefault="00F25ED9" w:rsidP="00F25ED9">
      <w:pPr>
        <w:jc w:val="both"/>
        <w:rPr>
          <w:b/>
          <w:bCs/>
          <w:sz w:val="24"/>
        </w:rPr>
      </w:pPr>
      <w:r w:rsidRPr="003053D6">
        <w:rPr>
          <w:rFonts w:ascii="Times New Roman" w:hAnsi="Times New Roman"/>
          <w:b/>
          <w:bCs/>
          <w:sz w:val="22"/>
        </w:rPr>
        <w:t>3. How Does the Bible Look at Itself? - Sinclair B. Ferguson</w:t>
      </w:r>
    </w:p>
    <w:p w:rsidR="00F25ED9" w:rsidRPr="003053D6" w:rsidRDefault="00F25ED9" w:rsidP="00F25ED9">
      <w:pPr>
        <w:jc w:val="both"/>
        <w:rPr>
          <w:sz w:val="24"/>
        </w:rPr>
      </w:pPr>
      <w:r w:rsidRPr="003053D6">
        <w:rPr>
          <w:rFonts w:ascii="Times New Roman" w:hAnsi="Times New Roman"/>
          <w:sz w:val="22"/>
        </w:rPr>
        <w:t xml:space="preserve">John Calvin and his successors argued that Scripture (1) bears witness to its divine character, (2) is the written Word of God, and (3), while marked by its human authors, remains uncompromisably reliable due to its divine origin. James Barr challenged this, asserting that the Bible does not claim to be divinely inspired and lacks a self-view. </w:t>
      </w:r>
      <w:r w:rsidRPr="003053D6">
        <w:rPr>
          <w:rFonts w:ascii="Times New Roman" w:hAnsi="Times New Roman"/>
          <w:b/>
          <w:bCs/>
          <w:sz w:val="22"/>
        </w:rPr>
        <w:t xml:space="preserve">Does the Bible have </w:t>
      </w:r>
      <w:r w:rsidR="001D6B90" w:rsidRPr="003053D6">
        <w:rPr>
          <w:rFonts w:ascii="Times New Roman" w:hAnsi="Times New Roman"/>
          <w:b/>
          <w:bCs/>
          <w:sz w:val="22"/>
        </w:rPr>
        <w:t>“</w:t>
      </w:r>
      <w:r w:rsidRPr="003053D6">
        <w:rPr>
          <w:rFonts w:ascii="Times New Roman" w:hAnsi="Times New Roman"/>
          <w:b/>
          <w:bCs/>
          <w:sz w:val="22"/>
        </w:rPr>
        <w:t>A View of Itself</w:t>
      </w:r>
      <w:r w:rsidR="001D6B90" w:rsidRPr="003053D6">
        <w:rPr>
          <w:rFonts w:ascii="Times New Roman" w:hAnsi="Times New Roman"/>
          <w:b/>
          <w:bCs/>
          <w:sz w:val="22"/>
        </w:rPr>
        <w:t>”</w:t>
      </w:r>
      <w:r w:rsidRPr="003053D6">
        <w:rPr>
          <w:rFonts w:ascii="Times New Roman" w:hAnsi="Times New Roman"/>
          <w:b/>
          <w:bCs/>
          <w:sz w:val="22"/>
        </w:rPr>
        <w:t xml:space="preserve">? </w:t>
      </w:r>
      <w:r w:rsidRPr="003053D6">
        <w:rPr>
          <w:rFonts w:ascii="Times New Roman" w:hAnsi="Times New Roman"/>
          <w:sz w:val="22"/>
        </w:rPr>
        <w:t xml:space="preserve">Ferguson examines whether the Bible has </w:t>
      </w:r>
      <w:r w:rsidR="001D6B90" w:rsidRPr="003053D6">
        <w:rPr>
          <w:rFonts w:ascii="Times New Roman" w:hAnsi="Times New Roman"/>
          <w:sz w:val="22"/>
        </w:rPr>
        <w:t>“</w:t>
      </w:r>
      <w:r w:rsidRPr="003053D6">
        <w:rPr>
          <w:rFonts w:ascii="Times New Roman" w:hAnsi="Times New Roman"/>
          <w:sz w:val="22"/>
        </w:rPr>
        <w:t>a view of itself</w:t>
      </w:r>
      <w:r w:rsidR="001D6B90" w:rsidRPr="003053D6">
        <w:rPr>
          <w:rFonts w:ascii="Times New Roman" w:hAnsi="Times New Roman"/>
          <w:sz w:val="22"/>
        </w:rPr>
        <w:t>”</w:t>
      </w:r>
      <w:r w:rsidRPr="003053D6">
        <w:rPr>
          <w:rFonts w:ascii="Times New Roman" w:hAnsi="Times New Roman"/>
          <w:sz w:val="22"/>
        </w:rPr>
        <w:t xml:space="preserve"> by discussing 2 Timothy 3:16, questioning whether it refers solely to the Old Testament, the entire Christian canon, or includes the rest of the New Testament. Despite debates over canonical consciousness in the Old Testament, he asserts that: (1) The Old Testament had no canonical consciousness; whatever God provided was Scripture; (2) The New Testament clearly accepts the Old Testament as Scripture; (3) New Testament writers were aware of their writings</w:t>
      </w:r>
      <w:r w:rsidR="001D6B90" w:rsidRPr="003053D6">
        <w:rPr>
          <w:rFonts w:ascii="Times New Roman" w:hAnsi="Times New Roman"/>
          <w:sz w:val="22"/>
        </w:rPr>
        <w:t>’</w:t>
      </w:r>
      <w:r w:rsidRPr="003053D6">
        <w:rPr>
          <w:rFonts w:ascii="Times New Roman" w:hAnsi="Times New Roman"/>
          <w:sz w:val="22"/>
        </w:rPr>
        <w:t xml:space="preserve"> authority, similar to Old Testament writers, as seen in Hebrews 2:2-3 and their instructions to the whole church; and (4), Some New Testament writings recognize the canonical authority of other New Testament writings, for example, references to the Gospels and Paul. Thus, there is a consciousness of canonical status within biblical texts. The New Testament affirms the Old Testament</w:t>
      </w:r>
      <w:r w:rsidR="001D6B90" w:rsidRPr="003053D6">
        <w:rPr>
          <w:rFonts w:ascii="Times New Roman" w:hAnsi="Times New Roman"/>
          <w:sz w:val="22"/>
        </w:rPr>
        <w:t>’</w:t>
      </w:r>
      <w:r w:rsidRPr="003053D6">
        <w:rPr>
          <w:rFonts w:ascii="Times New Roman" w:hAnsi="Times New Roman"/>
          <w:sz w:val="22"/>
        </w:rPr>
        <w:t xml:space="preserve">s canonicity and places itself in the same category, indicating an inherent self-awareness in both Testaments of belonging to a divinely given canon. </w:t>
      </w:r>
      <w:r w:rsidRPr="003053D6">
        <w:rPr>
          <w:rFonts w:ascii="Times New Roman" w:hAnsi="Times New Roman"/>
          <w:b/>
          <w:bCs/>
          <w:sz w:val="22"/>
        </w:rPr>
        <w:t>The Bible</w:t>
      </w:r>
      <w:r w:rsidR="001D6B90" w:rsidRPr="003053D6">
        <w:rPr>
          <w:rFonts w:ascii="Times New Roman" w:hAnsi="Times New Roman"/>
          <w:b/>
          <w:bCs/>
          <w:sz w:val="22"/>
        </w:rPr>
        <w:t>’</w:t>
      </w:r>
      <w:r w:rsidRPr="003053D6">
        <w:rPr>
          <w:rFonts w:ascii="Times New Roman" w:hAnsi="Times New Roman"/>
          <w:b/>
          <w:bCs/>
          <w:sz w:val="22"/>
        </w:rPr>
        <w:t xml:space="preserve">s View of Itself. </w:t>
      </w:r>
      <w:r w:rsidRPr="003053D6">
        <w:rPr>
          <w:rFonts w:ascii="Times New Roman" w:hAnsi="Times New Roman"/>
          <w:sz w:val="22"/>
        </w:rPr>
        <w:t xml:space="preserve">Regarding </w:t>
      </w:r>
      <w:r w:rsidRPr="003053D6">
        <w:rPr>
          <w:rFonts w:ascii="Times New Roman" w:hAnsi="Times New Roman"/>
          <w:b/>
          <w:bCs/>
          <w:sz w:val="22"/>
        </w:rPr>
        <w:t>inspiration</w:t>
      </w:r>
      <w:r w:rsidRPr="003053D6">
        <w:rPr>
          <w:rFonts w:ascii="Times New Roman" w:hAnsi="Times New Roman"/>
          <w:sz w:val="22"/>
        </w:rPr>
        <w:t xml:space="preserve">, it is the inadequate translation of the term </w:t>
      </w:r>
      <w:r w:rsidR="001D6B90" w:rsidRPr="003053D6">
        <w:rPr>
          <w:rFonts w:ascii="Times New Roman" w:hAnsi="Times New Roman"/>
          <w:sz w:val="22"/>
        </w:rPr>
        <w:t>“</w:t>
      </w:r>
      <w:r w:rsidRPr="003053D6">
        <w:rPr>
          <w:rFonts w:ascii="Times New Roman" w:hAnsi="Times New Roman"/>
          <w:sz w:val="22"/>
        </w:rPr>
        <w:t>theopneustos</w:t>
      </w:r>
      <w:r w:rsidR="001D6B90" w:rsidRPr="003053D6">
        <w:rPr>
          <w:rFonts w:ascii="Times New Roman" w:hAnsi="Times New Roman"/>
          <w:sz w:val="22"/>
        </w:rPr>
        <w:t>”</w:t>
      </w:r>
      <w:r w:rsidRPr="003053D6">
        <w:rPr>
          <w:rFonts w:ascii="Times New Roman" w:hAnsi="Times New Roman"/>
          <w:sz w:val="22"/>
        </w:rPr>
        <w:t xml:space="preserve"> which is better understood as </w:t>
      </w:r>
      <w:r w:rsidR="001D6B90" w:rsidRPr="003053D6">
        <w:rPr>
          <w:rFonts w:ascii="Times New Roman" w:hAnsi="Times New Roman"/>
          <w:sz w:val="22"/>
        </w:rPr>
        <w:t>“</w:t>
      </w:r>
      <w:r w:rsidRPr="003053D6">
        <w:rPr>
          <w:rFonts w:ascii="Times New Roman" w:hAnsi="Times New Roman"/>
          <w:sz w:val="22"/>
        </w:rPr>
        <w:t>God-breathed.</w:t>
      </w:r>
      <w:r w:rsidR="001D6B90" w:rsidRPr="003053D6">
        <w:rPr>
          <w:rFonts w:ascii="Times New Roman" w:hAnsi="Times New Roman"/>
          <w:sz w:val="22"/>
        </w:rPr>
        <w:t>”</w:t>
      </w:r>
      <w:r w:rsidRPr="003053D6">
        <w:rPr>
          <w:rFonts w:ascii="Times New Roman" w:hAnsi="Times New Roman"/>
          <w:sz w:val="22"/>
        </w:rPr>
        <w:t xml:space="preserve"> Issues include whether </w:t>
      </w:r>
      <w:r w:rsidR="001D6B90" w:rsidRPr="003053D6">
        <w:rPr>
          <w:rFonts w:ascii="Times New Roman" w:hAnsi="Times New Roman"/>
          <w:sz w:val="22"/>
        </w:rPr>
        <w:t>“</w:t>
      </w:r>
      <w:r w:rsidRPr="003053D6">
        <w:rPr>
          <w:rFonts w:ascii="Times New Roman" w:hAnsi="Times New Roman"/>
          <w:sz w:val="22"/>
        </w:rPr>
        <w:t>all Scripture</w:t>
      </w:r>
      <w:r w:rsidR="001D6B90" w:rsidRPr="003053D6">
        <w:rPr>
          <w:rFonts w:ascii="Times New Roman" w:hAnsi="Times New Roman"/>
          <w:sz w:val="22"/>
        </w:rPr>
        <w:t>”</w:t>
      </w:r>
      <w:r w:rsidRPr="003053D6">
        <w:rPr>
          <w:rFonts w:ascii="Times New Roman" w:hAnsi="Times New Roman"/>
          <w:sz w:val="22"/>
        </w:rPr>
        <w:t xml:space="preserve"> encompasses every part, the inclusion of non-God-breathed Scripture, and whether the term is active or passive. Despite no final explanation, inspiration characterizes all Scripture and does not negate the need for interpretation. The</w:t>
      </w:r>
      <w:r w:rsidRPr="003053D6">
        <w:rPr>
          <w:rFonts w:ascii="Times New Roman" w:hAnsi="Times New Roman"/>
          <w:b/>
          <w:bCs/>
          <w:sz w:val="22"/>
        </w:rPr>
        <w:t xml:space="preserve"> authority</w:t>
      </w:r>
      <w:r w:rsidRPr="003053D6">
        <w:rPr>
          <w:rFonts w:ascii="Times New Roman" w:hAnsi="Times New Roman"/>
          <w:sz w:val="22"/>
        </w:rPr>
        <w:t xml:space="preserve"> of Scripture stems from the phrase </w:t>
      </w:r>
      <w:r w:rsidR="001D6B90" w:rsidRPr="003053D6">
        <w:rPr>
          <w:rFonts w:ascii="Times New Roman" w:hAnsi="Times New Roman"/>
          <w:sz w:val="22"/>
        </w:rPr>
        <w:t>“</w:t>
      </w:r>
      <w:r w:rsidRPr="003053D6">
        <w:rPr>
          <w:rFonts w:ascii="Times New Roman" w:hAnsi="Times New Roman"/>
          <w:sz w:val="22"/>
        </w:rPr>
        <w:t>it is written</w:t>
      </w:r>
      <w:r w:rsidR="001D6B90" w:rsidRPr="003053D6">
        <w:rPr>
          <w:rFonts w:ascii="Times New Roman" w:hAnsi="Times New Roman"/>
          <w:sz w:val="22"/>
        </w:rPr>
        <w:t>”</w:t>
      </w:r>
      <w:r w:rsidRPr="003053D6">
        <w:rPr>
          <w:rFonts w:ascii="Times New Roman" w:hAnsi="Times New Roman"/>
          <w:sz w:val="22"/>
        </w:rPr>
        <w:t xml:space="preserve"> and Jesus giving the apostles authority to teach. Scriptural authority is contextually tied to redemptive history and is authoritative on all subjects it addresses, leading to the principle of sufficiency (</w:t>
      </w:r>
      <w:r w:rsidRPr="003053D6">
        <w:rPr>
          <w:rFonts w:ascii="Times New Roman" w:hAnsi="Times New Roman"/>
          <w:i/>
          <w:iCs/>
          <w:sz w:val="22"/>
        </w:rPr>
        <w:t>sola scriptura</w:t>
      </w:r>
      <w:r w:rsidRPr="003053D6">
        <w:rPr>
          <w:rFonts w:ascii="Times New Roman" w:hAnsi="Times New Roman"/>
          <w:sz w:val="22"/>
        </w:rPr>
        <w:t xml:space="preserve">). Regarding </w:t>
      </w:r>
      <w:r w:rsidRPr="003053D6">
        <w:rPr>
          <w:rFonts w:ascii="Times New Roman" w:hAnsi="Times New Roman"/>
          <w:b/>
          <w:bCs/>
          <w:sz w:val="22"/>
        </w:rPr>
        <w:t>reliability</w:t>
      </w:r>
      <w:r w:rsidRPr="003053D6">
        <w:rPr>
          <w:rFonts w:ascii="Times New Roman" w:hAnsi="Times New Roman"/>
          <w:sz w:val="22"/>
        </w:rPr>
        <w:t>, neo-orthodox views consider Scripture a fallible human word through which God</w:t>
      </w:r>
      <w:r w:rsidR="001D6B90" w:rsidRPr="003053D6">
        <w:rPr>
          <w:rFonts w:ascii="Times New Roman" w:hAnsi="Times New Roman"/>
          <w:sz w:val="22"/>
        </w:rPr>
        <w:t>’</w:t>
      </w:r>
      <w:r w:rsidRPr="003053D6">
        <w:rPr>
          <w:rFonts w:ascii="Times New Roman" w:hAnsi="Times New Roman"/>
          <w:sz w:val="22"/>
        </w:rPr>
        <w:t xml:space="preserve">s eternal Word is heard. The syllogism of infallibility posits that because God is infallible and Scripture is His Word, Scripture is thus infallible. </w:t>
      </w:r>
      <w:r w:rsidRPr="003053D6">
        <w:rPr>
          <w:rFonts w:ascii="Times New Roman" w:hAnsi="Times New Roman"/>
          <w:sz w:val="22"/>
        </w:rPr>
        <w:lastRenderedPageBreak/>
        <w:t>Christians cannot prove Scripture</w:t>
      </w:r>
      <w:r w:rsidR="001D6B90" w:rsidRPr="003053D6">
        <w:rPr>
          <w:rFonts w:ascii="Times New Roman" w:hAnsi="Times New Roman"/>
          <w:sz w:val="22"/>
        </w:rPr>
        <w:t>’</w:t>
      </w:r>
      <w:r w:rsidRPr="003053D6">
        <w:rPr>
          <w:rFonts w:ascii="Times New Roman" w:hAnsi="Times New Roman"/>
          <w:sz w:val="22"/>
        </w:rPr>
        <w:t>s infallibility but accept it as the ultimate authority, validated by the Holy Spirit. Scripture</w:t>
      </w:r>
      <w:r w:rsidR="001D6B90" w:rsidRPr="003053D6">
        <w:rPr>
          <w:rFonts w:ascii="Times New Roman" w:hAnsi="Times New Roman"/>
          <w:sz w:val="22"/>
        </w:rPr>
        <w:t>’</w:t>
      </w:r>
      <w:r w:rsidRPr="003053D6">
        <w:rPr>
          <w:rFonts w:ascii="Times New Roman" w:hAnsi="Times New Roman"/>
          <w:sz w:val="22"/>
        </w:rPr>
        <w:t xml:space="preserve">s </w:t>
      </w:r>
      <w:r w:rsidRPr="003053D6">
        <w:rPr>
          <w:rFonts w:ascii="Times New Roman" w:hAnsi="Times New Roman"/>
          <w:b/>
          <w:bCs/>
          <w:sz w:val="22"/>
        </w:rPr>
        <w:t>necessity</w:t>
      </w:r>
      <w:r w:rsidRPr="003053D6">
        <w:rPr>
          <w:rFonts w:ascii="Times New Roman" w:hAnsi="Times New Roman"/>
          <w:sz w:val="22"/>
        </w:rPr>
        <w:t xml:space="preserve"> lies in its purpose to preserve God</w:t>
      </w:r>
      <w:r w:rsidR="001D6B90" w:rsidRPr="003053D6">
        <w:rPr>
          <w:rFonts w:ascii="Times New Roman" w:hAnsi="Times New Roman"/>
          <w:sz w:val="22"/>
        </w:rPr>
        <w:t>’</w:t>
      </w:r>
      <w:r w:rsidRPr="003053D6">
        <w:rPr>
          <w:rFonts w:ascii="Times New Roman" w:hAnsi="Times New Roman"/>
          <w:sz w:val="22"/>
        </w:rPr>
        <w:t>s revelatory Word for evangelistic purposes, written clearly for common understanding. Despite these affirmations, the exact nature of inspiration and authority remains somewhat mysterious, not a conclusively defined doctrine.</w:t>
      </w:r>
    </w:p>
    <w:p w:rsidR="00F25ED9" w:rsidRPr="003053D6" w:rsidRDefault="00F25ED9" w:rsidP="00F25ED9">
      <w:pPr>
        <w:jc w:val="both"/>
        <w:rPr>
          <w:b/>
          <w:bCs/>
          <w:sz w:val="24"/>
        </w:rPr>
      </w:pPr>
    </w:p>
    <w:p w:rsidR="00F25ED9" w:rsidRPr="003053D6" w:rsidRDefault="00F25ED9" w:rsidP="00F25ED9">
      <w:pPr>
        <w:jc w:val="both"/>
        <w:rPr>
          <w:b/>
          <w:bCs/>
          <w:sz w:val="24"/>
        </w:rPr>
      </w:pPr>
      <w:r w:rsidRPr="003053D6">
        <w:rPr>
          <w:rFonts w:ascii="Times New Roman" w:hAnsi="Times New Roman"/>
          <w:b/>
          <w:bCs/>
          <w:sz w:val="22"/>
        </w:rPr>
        <w:t>4. Old Princeton, Westminster, and Inerrancy - Moisés Silva</w:t>
      </w:r>
    </w:p>
    <w:p w:rsidR="00F25ED9" w:rsidRPr="003053D6" w:rsidRDefault="00F25ED9" w:rsidP="00F25ED9">
      <w:pPr>
        <w:jc w:val="both"/>
        <w:rPr>
          <w:sz w:val="24"/>
        </w:rPr>
      </w:pPr>
      <w:r w:rsidRPr="003053D6">
        <w:rPr>
          <w:rFonts w:ascii="Times New Roman" w:hAnsi="Times New Roman"/>
          <w:b/>
          <w:bCs/>
          <w:sz w:val="22"/>
        </w:rPr>
        <w:t xml:space="preserve">Hodge and Warfield. </w:t>
      </w:r>
      <w:r w:rsidRPr="003053D6">
        <w:rPr>
          <w:rFonts w:ascii="Times New Roman" w:hAnsi="Times New Roman"/>
          <w:sz w:val="22"/>
        </w:rPr>
        <w:t>Hodge and Warfield acknowledged the limitations and defects of each biblical writer, including traces of errors due to their reliance on fallible sources. Moisés Silva contends this recognition is consistent with a belief in inerrancy if understood correctly, asserting that Scripture</w:t>
      </w:r>
      <w:r w:rsidR="001D6B90" w:rsidRPr="003053D6">
        <w:rPr>
          <w:rFonts w:ascii="Times New Roman" w:hAnsi="Times New Roman"/>
          <w:sz w:val="22"/>
        </w:rPr>
        <w:t>’</w:t>
      </w:r>
      <w:r w:rsidRPr="003053D6">
        <w:rPr>
          <w:rFonts w:ascii="Times New Roman" w:hAnsi="Times New Roman"/>
          <w:sz w:val="22"/>
        </w:rPr>
        <w:t>s human qualities coexist with divine inerrancy. Hodge and Warfield ultimately maintained that the Bible, authored primarily by God, contains no errors. What</w:t>
      </w:r>
      <w:r w:rsidR="001D6B90" w:rsidRPr="003053D6">
        <w:rPr>
          <w:rFonts w:ascii="Times New Roman" w:hAnsi="Times New Roman"/>
          <w:sz w:val="22"/>
        </w:rPr>
        <w:t>’</w:t>
      </w:r>
      <w:r w:rsidRPr="003053D6">
        <w:rPr>
          <w:rFonts w:ascii="Times New Roman" w:hAnsi="Times New Roman"/>
          <w:sz w:val="22"/>
        </w:rPr>
        <w:t xml:space="preserve">s important to note is that this acknowledgment of human limitation does not undermine inerrancy but places it within the context of divine preservation. </w:t>
      </w:r>
      <w:r w:rsidRPr="003053D6">
        <w:rPr>
          <w:rFonts w:ascii="Times New Roman" w:hAnsi="Times New Roman"/>
          <w:b/>
          <w:bCs/>
          <w:sz w:val="22"/>
        </w:rPr>
        <w:t>Inspiration vs. Omniscience</w:t>
      </w:r>
      <w:r w:rsidRPr="003053D6">
        <w:rPr>
          <w:rFonts w:ascii="Times New Roman" w:hAnsi="Times New Roman"/>
          <w:sz w:val="22"/>
        </w:rPr>
        <w:t>. There is a distinction between official teachings and personal opinions regarding inspiration, which does not imply omniscience. Divine inspiration ensures both the communication of divine truth and the preservation of each writer</w:t>
      </w:r>
      <w:r w:rsidR="001D6B90" w:rsidRPr="003053D6">
        <w:rPr>
          <w:rFonts w:ascii="Times New Roman" w:hAnsi="Times New Roman"/>
          <w:sz w:val="22"/>
        </w:rPr>
        <w:t>’</w:t>
      </w:r>
      <w:r w:rsidRPr="003053D6">
        <w:rPr>
          <w:rFonts w:ascii="Times New Roman" w:hAnsi="Times New Roman"/>
          <w:sz w:val="22"/>
        </w:rPr>
        <w:t xml:space="preserve">s unique personality. </w:t>
      </w:r>
      <w:r w:rsidRPr="003053D6">
        <w:rPr>
          <w:rFonts w:ascii="Times New Roman" w:hAnsi="Times New Roman"/>
          <w:b/>
          <w:bCs/>
          <w:sz w:val="22"/>
        </w:rPr>
        <w:t>Text Interpretation and Context</w:t>
      </w:r>
      <w:r w:rsidRPr="003053D6">
        <w:rPr>
          <w:rFonts w:ascii="Times New Roman" w:hAnsi="Times New Roman"/>
          <w:sz w:val="22"/>
        </w:rPr>
        <w:t>. Passages like Psalm 14:1 (</w:t>
      </w:r>
      <w:r w:rsidR="001D6B90" w:rsidRPr="003053D6">
        <w:rPr>
          <w:rFonts w:ascii="Times New Roman" w:hAnsi="Times New Roman"/>
          <w:sz w:val="22"/>
        </w:rPr>
        <w:t>“</w:t>
      </w:r>
      <w:r w:rsidRPr="003053D6">
        <w:rPr>
          <w:rFonts w:ascii="Times New Roman" w:hAnsi="Times New Roman"/>
          <w:sz w:val="22"/>
        </w:rPr>
        <w:t>there is no God</w:t>
      </w:r>
      <w:r w:rsidR="001D6B90" w:rsidRPr="003053D6">
        <w:rPr>
          <w:rFonts w:ascii="Times New Roman" w:hAnsi="Times New Roman"/>
          <w:sz w:val="22"/>
        </w:rPr>
        <w:t>”</w:t>
      </w:r>
      <w:r w:rsidRPr="003053D6">
        <w:rPr>
          <w:rFonts w:ascii="Times New Roman" w:hAnsi="Times New Roman"/>
          <w:sz w:val="22"/>
        </w:rPr>
        <w:t xml:space="preserve">) must be interpreted within their context. The intention and purpose behind the text are crucial, emphasizing the importance of grammatical-historical exegesis. </w:t>
      </w:r>
      <w:r w:rsidRPr="003053D6">
        <w:rPr>
          <w:rFonts w:ascii="Times New Roman" w:hAnsi="Times New Roman"/>
          <w:b/>
          <w:bCs/>
          <w:sz w:val="22"/>
        </w:rPr>
        <w:t xml:space="preserve">Different Factual Accounts. </w:t>
      </w:r>
      <w:r w:rsidRPr="003053D6">
        <w:rPr>
          <w:rFonts w:ascii="Times New Roman" w:hAnsi="Times New Roman"/>
          <w:sz w:val="22"/>
        </w:rPr>
        <w:t>Scripture occasionally presents different factual accounts (e.g., differing numbers), reflecting the authors</w:t>
      </w:r>
      <w:r w:rsidR="001D6B90" w:rsidRPr="003053D6">
        <w:rPr>
          <w:rFonts w:ascii="Times New Roman" w:hAnsi="Times New Roman"/>
          <w:sz w:val="22"/>
        </w:rPr>
        <w:t>’</w:t>
      </w:r>
      <w:r w:rsidRPr="003053D6">
        <w:rPr>
          <w:rFonts w:ascii="Times New Roman" w:hAnsi="Times New Roman"/>
          <w:sz w:val="22"/>
        </w:rPr>
        <w:t xml:space="preserve"> lack of intent to provide exact counts. Even Calvin acknowledged this lack of precise counting as consistent with inerrancy. </w:t>
      </w:r>
      <w:r w:rsidRPr="003053D6">
        <w:rPr>
          <w:rFonts w:ascii="Times New Roman" w:hAnsi="Times New Roman"/>
          <w:b/>
          <w:bCs/>
          <w:sz w:val="22"/>
        </w:rPr>
        <w:t>Hermeneutic Consequences of Inerrancy.</w:t>
      </w:r>
      <w:r w:rsidRPr="003053D6">
        <w:rPr>
          <w:rFonts w:ascii="Times New Roman" w:hAnsi="Times New Roman"/>
          <w:sz w:val="22"/>
        </w:rPr>
        <w:t xml:space="preserve"> Inerrancy does not imply that interpretation must be literal, nor does it determine historicity; rather, it requires contextually appropriate exegesis. Old Princeton and Westminster Theological Seminary have demonstrated different exegetical outcomes on scientific matters, highlighting that inerrancy does not mandate specific interpretations. </w:t>
      </w:r>
      <w:r w:rsidRPr="003053D6">
        <w:rPr>
          <w:rFonts w:ascii="Times New Roman" w:hAnsi="Times New Roman"/>
          <w:b/>
          <w:bCs/>
          <w:sz w:val="22"/>
        </w:rPr>
        <w:t xml:space="preserve">Disputes and Hermeneutic Flexibility. </w:t>
      </w:r>
      <w:r w:rsidRPr="003053D6">
        <w:rPr>
          <w:rFonts w:ascii="Times New Roman" w:hAnsi="Times New Roman"/>
          <w:sz w:val="22"/>
        </w:rPr>
        <w:t>Disputes over interpretations should be resolved through exegesis, promoting hermeneutic flexibility. We place our total confidence in God</w:t>
      </w:r>
      <w:r w:rsidR="001D6B90" w:rsidRPr="003053D6">
        <w:rPr>
          <w:rFonts w:ascii="Times New Roman" w:hAnsi="Times New Roman"/>
          <w:sz w:val="22"/>
        </w:rPr>
        <w:t>’</w:t>
      </w:r>
      <w:r w:rsidRPr="003053D6">
        <w:rPr>
          <w:rFonts w:ascii="Times New Roman" w:hAnsi="Times New Roman"/>
          <w:sz w:val="22"/>
        </w:rPr>
        <w:t>s revelation rather than our particular interpretations, recognizing that divine truth transcends our understanding.</w:t>
      </w:r>
    </w:p>
    <w:p w:rsidR="00F25ED9" w:rsidRPr="003053D6" w:rsidRDefault="00F25ED9" w:rsidP="00F25ED9">
      <w:pPr>
        <w:jc w:val="both"/>
        <w:rPr>
          <w:sz w:val="24"/>
        </w:rPr>
      </w:pPr>
    </w:p>
    <w:p w:rsidR="00F25ED9" w:rsidRPr="003053D6" w:rsidRDefault="00F25ED9" w:rsidP="00F25ED9">
      <w:pPr>
        <w:jc w:val="both"/>
        <w:rPr>
          <w:b/>
          <w:bCs/>
          <w:sz w:val="24"/>
        </w:rPr>
      </w:pPr>
      <w:r w:rsidRPr="003053D6">
        <w:rPr>
          <w:rFonts w:ascii="Times New Roman" w:hAnsi="Times New Roman"/>
          <w:b/>
          <w:bCs/>
          <w:sz w:val="22"/>
        </w:rPr>
        <w:t>5. What Does God Say Through Human Authors? - Vern Sheridan Poythress</w:t>
      </w:r>
    </w:p>
    <w:p w:rsidR="00F25ED9" w:rsidRPr="003053D6" w:rsidRDefault="00F25ED9" w:rsidP="00F25ED9">
      <w:pPr>
        <w:jc w:val="both"/>
        <w:rPr>
          <w:sz w:val="24"/>
        </w:rPr>
      </w:pPr>
      <w:r w:rsidRPr="003053D6">
        <w:rPr>
          <w:rFonts w:ascii="Times New Roman" w:hAnsi="Times New Roman"/>
          <w:sz w:val="22"/>
        </w:rPr>
        <w:t>Four Approaches by Evangelicals (as per Darrel Bock): (1) The New Testament use of the Old Testament implies that God meant more than the human author understood; (2) Rejection of the idea that God</w:t>
      </w:r>
      <w:r w:rsidR="001D6B90" w:rsidRPr="003053D6">
        <w:rPr>
          <w:rFonts w:ascii="Times New Roman" w:hAnsi="Times New Roman"/>
          <w:sz w:val="22"/>
        </w:rPr>
        <w:t>’</w:t>
      </w:r>
      <w:r w:rsidRPr="003053D6">
        <w:rPr>
          <w:rFonts w:ascii="Times New Roman" w:hAnsi="Times New Roman"/>
          <w:sz w:val="22"/>
        </w:rPr>
        <w:t>s meaning surpasses the human author</w:t>
      </w:r>
      <w:r w:rsidR="001D6B90" w:rsidRPr="003053D6">
        <w:rPr>
          <w:rFonts w:ascii="Times New Roman" w:hAnsi="Times New Roman"/>
          <w:sz w:val="22"/>
        </w:rPr>
        <w:t>’</w:t>
      </w:r>
      <w:r w:rsidRPr="003053D6">
        <w:rPr>
          <w:rFonts w:ascii="Times New Roman" w:hAnsi="Times New Roman"/>
          <w:sz w:val="22"/>
        </w:rPr>
        <w:t>s understanding; (3) The canon as the final context for interpretation; and (4), Apostolic hermeneutics are directly linked to Jewish interpretive practices. The main issues – which Poythress addresses – are the dual authorship of the Bible and the New Testament</w:t>
      </w:r>
      <w:r w:rsidR="001D6B90" w:rsidRPr="003053D6">
        <w:rPr>
          <w:rFonts w:ascii="Times New Roman" w:hAnsi="Times New Roman"/>
          <w:sz w:val="22"/>
        </w:rPr>
        <w:t>’</w:t>
      </w:r>
      <w:r w:rsidRPr="003053D6">
        <w:rPr>
          <w:rFonts w:ascii="Times New Roman" w:hAnsi="Times New Roman"/>
          <w:sz w:val="22"/>
        </w:rPr>
        <w:t xml:space="preserve">s use of the Old Testament. </w:t>
      </w:r>
      <w:r w:rsidRPr="003053D6">
        <w:rPr>
          <w:rFonts w:ascii="Times New Roman" w:hAnsi="Times New Roman"/>
          <w:b/>
          <w:bCs/>
          <w:sz w:val="22"/>
        </w:rPr>
        <w:t xml:space="preserve">Situations with One and Two Authors. </w:t>
      </w:r>
      <w:r w:rsidRPr="003053D6">
        <w:rPr>
          <w:rFonts w:ascii="Times New Roman" w:hAnsi="Times New Roman"/>
          <w:sz w:val="22"/>
        </w:rPr>
        <w:t>God, as the divine author, chose human intermediaries, fashioning their personalities to convey His message. Although operating under divine inspiration, human authors retain their individual characteristics and knowledge. This dual authorship brings the challenge of determining whether there are two distinct intentions and interpretations—one human and one divine. The human author</w:t>
      </w:r>
      <w:r w:rsidR="001D6B90" w:rsidRPr="003053D6">
        <w:rPr>
          <w:rFonts w:ascii="Times New Roman" w:hAnsi="Times New Roman"/>
          <w:sz w:val="22"/>
        </w:rPr>
        <w:t>’</w:t>
      </w:r>
      <w:r w:rsidRPr="003053D6">
        <w:rPr>
          <w:rFonts w:ascii="Times New Roman" w:hAnsi="Times New Roman"/>
          <w:sz w:val="22"/>
        </w:rPr>
        <w:t xml:space="preserve">s role is crucial, but prophets and other biblical writers do not speak as ordinary persons, prompting us to consider the level of divine understanding each possessed (e.g., psalms, poetry, prophecy). </w:t>
      </w:r>
      <w:r w:rsidRPr="003053D6">
        <w:rPr>
          <w:rFonts w:ascii="Times New Roman" w:hAnsi="Times New Roman"/>
          <w:b/>
          <w:bCs/>
          <w:sz w:val="22"/>
        </w:rPr>
        <w:t xml:space="preserve">Christological Focus in Interpretation. </w:t>
      </w:r>
      <w:r w:rsidRPr="003053D6">
        <w:rPr>
          <w:rFonts w:ascii="Times New Roman" w:hAnsi="Times New Roman"/>
          <w:sz w:val="22"/>
        </w:rPr>
        <w:t xml:space="preserve">Jesus, both fully God and fully human, exemplifies dual authorship. As a human, He had limitations in knowledge, yet as the Second Person of the Trinity, His speech carried divine authority, presenting a unified yet mysterious </w:t>
      </w:r>
      <w:r w:rsidRPr="003053D6">
        <w:rPr>
          <w:rFonts w:ascii="Times New Roman" w:hAnsi="Times New Roman"/>
          <w:sz w:val="22"/>
        </w:rPr>
        <w:lastRenderedPageBreak/>
        <w:t>communication. Jesus</w:t>
      </w:r>
      <w:r w:rsidR="001D6B90" w:rsidRPr="003053D6">
        <w:rPr>
          <w:rFonts w:ascii="Times New Roman" w:hAnsi="Times New Roman"/>
          <w:sz w:val="22"/>
        </w:rPr>
        <w:t>’</w:t>
      </w:r>
      <w:r w:rsidRPr="003053D6">
        <w:rPr>
          <w:rFonts w:ascii="Times New Roman" w:hAnsi="Times New Roman"/>
          <w:sz w:val="22"/>
        </w:rPr>
        <w:t xml:space="preserve"> words should be interpreted in light of His identity and divine commissioning. They are in harmony, not mathematically identical. </w:t>
      </w:r>
      <w:r w:rsidRPr="003053D6">
        <w:rPr>
          <w:rFonts w:ascii="Times New Roman" w:hAnsi="Times New Roman"/>
          <w:b/>
          <w:bCs/>
          <w:sz w:val="22"/>
        </w:rPr>
        <w:t xml:space="preserve">Progressive Revelation. </w:t>
      </w:r>
      <w:r w:rsidRPr="003053D6">
        <w:rPr>
          <w:rFonts w:ascii="Times New Roman" w:hAnsi="Times New Roman"/>
          <w:sz w:val="22"/>
        </w:rPr>
        <w:t>Scripture indicates that revelation is progressive, with the full picture only becoming clear with Christ</w:t>
      </w:r>
      <w:r w:rsidR="001D6B90" w:rsidRPr="003053D6">
        <w:rPr>
          <w:rFonts w:ascii="Times New Roman" w:hAnsi="Times New Roman"/>
          <w:sz w:val="22"/>
        </w:rPr>
        <w:t>’</w:t>
      </w:r>
      <w:r w:rsidRPr="003053D6">
        <w:rPr>
          <w:rFonts w:ascii="Times New Roman" w:hAnsi="Times New Roman"/>
          <w:sz w:val="22"/>
        </w:rPr>
        <w:t xml:space="preserve">s coming. This principle shows that OT prophecies often found unexpected fulfillments and OT symbols pointed towards greater truths. Thus, Scripture can be understood at three levels: In the context (1) of the specific book it appears in, (2) of the canon available up to that point, and (3) of the entire canon of Scripture. </w:t>
      </w:r>
      <w:r w:rsidRPr="003053D6">
        <w:rPr>
          <w:rFonts w:ascii="Times New Roman" w:hAnsi="Times New Roman"/>
          <w:b/>
          <w:bCs/>
          <w:sz w:val="22"/>
        </w:rPr>
        <w:t>Psalm 22:12-18 Example</w:t>
      </w:r>
      <w:r w:rsidRPr="003053D6">
        <w:rPr>
          <w:rFonts w:ascii="Times New Roman" w:hAnsi="Times New Roman"/>
          <w:sz w:val="22"/>
        </w:rPr>
        <w:t>, for example, can be interpreted on three levels: as David</w:t>
      </w:r>
      <w:r w:rsidR="001D6B90" w:rsidRPr="003053D6">
        <w:rPr>
          <w:rFonts w:ascii="Times New Roman" w:hAnsi="Times New Roman"/>
          <w:sz w:val="22"/>
        </w:rPr>
        <w:t>’</w:t>
      </w:r>
      <w:r w:rsidRPr="003053D6">
        <w:rPr>
          <w:rFonts w:ascii="Times New Roman" w:hAnsi="Times New Roman"/>
          <w:sz w:val="22"/>
        </w:rPr>
        <w:t>s personal experience, as representing Israel</w:t>
      </w:r>
      <w:r w:rsidR="001D6B90" w:rsidRPr="003053D6">
        <w:rPr>
          <w:rFonts w:ascii="Times New Roman" w:hAnsi="Times New Roman"/>
          <w:sz w:val="22"/>
        </w:rPr>
        <w:t>’</w:t>
      </w:r>
      <w:r w:rsidRPr="003053D6">
        <w:rPr>
          <w:rFonts w:ascii="Times New Roman" w:hAnsi="Times New Roman"/>
          <w:sz w:val="22"/>
        </w:rPr>
        <w:t xml:space="preserve">s king, and as foreshadowing Christ. The interpretation of a text thus involves a complex interplay of all three interpretive approaches: book-specific, historical-canonical up to that point, and the complete canonical context. </w:t>
      </w:r>
      <w:r w:rsidRPr="003053D6">
        <w:rPr>
          <w:rFonts w:ascii="Times New Roman" w:hAnsi="Times New Roman"/>
          <w:b/>
          <w:bCs/>
          <w:sz w:val="22"/>
        </w:rPr>
        <w:t xml:space="preserve">Scholarly Use of Grammatical-Historical Exegesis. </w:t>
      </w:r>
      <w:r w:rsidRPr="003053D6">
        <w:rPr>
          <w:rFonts w:ascii="Times New Roman" w:hAnsi="Times New Roman"/>
          <w:sz w:val="22"/>
        </w:rPr>
        <w:t>Grammatical-historical exegesis involves understanding Scripture as God</w:t>
      </w:r>
      <w:r w:rsidR="001D6B90" w:rsidRPr="003053D6">
        <w:rPr>
          <w:rFonts w:ascii="Times New Roman" w:hAnsi="Times New Roman"/>
          <w:sz w:val="22"/>
        </w:rPr>
        <w:t>’</w:t>
      </w:r>
      <w:r w:rsidRPr="003053D6">
        <w:rPr>
          <w:rFonts w:ascii="Times New Roman" w:hAnsi="Times New Roman"/>
          <w:sz w:val="22"/>
        </w:rPr>
        <w:t>s words in human language and contexts. It includes: (1) Paying attention to human linguistic and situational context; (2) Using grammatical-historical analysis to counter traditionalism; (3) Recognizing the progressive nature of revelation. However, interpretation extends (i.e., multiperspectivalism) beyond grammatical-historical analysis by (1) Acknowledging the divine author</w:t>
      </w:r>
      <w:r w:rsidR="001D6B90" w:rsidRPr="003053D6">
        <w:rPr>
          <w:rFonts w:ascii="Times New Roman" w:hAnsi="Times New Roman"/>
          <w:sz w:val="22"/>
        </w:rPr>
        <w:t>’</w:t>
      </w:r>
      <w:r w:rsidRPr="003053D6">
        <w:rPr>
          <w:rFonts w:ascii="Times New Roman" w:hAnsi="Times New Roman"/>
          <w:sz w:val="22"/>
        </w:rPr>
        <w:t>s role; (2) Exploring the full canonical context; (3) Affirming that laypeople can understand Scripture; and (4) Recognizing that NT writers did not confine themselves to grammatical-historical methods, suggesting a broader interpretive approach. Overall, Poythress emphasizes divine-human authorship, the progressive nature of revelation, and the necessity of holistic (i.e., multiperspectival) interpretation that respects both historical context and the overarching biblical narrative.</w:t>
      </w:r>
    </w:p>
    <w:p w:rsidR="00F25ED9" w:rsidRPr="003053D6" w:rsidRDefault="00F25ED9" w:rsidP="00F25ED9">
      <w:pPr>
        <w:jc w:val="both"/>
        <w:rPr>
          <w:sz w:val="24"/>
        </w:rPr>
      </w:pPr>
    </w:p>
    <w:p w:rsidR="00F25ED9" w:rsidRPr="003053D6" w:rsidRDefault="00F25ED9" w:rsidP="00F25ED9">
      <w:pPr>
        <w:jc w:val="both"/>
        <w:rPr>
          <w:b/>
          <w:bCs/>
          <w:sz w:val="24"/>
        </w:rPr>
      </w:pPr>
      <w:r w:rsidRPr="003053D6">
        <w:rPr>
          <w:rFonts w:ascii="Times New Roman" w:hAnsi="Times New Roman"/>
          <w:b/>
          <w:bCs/>
          <w:sz w:val="22"/>
        </w:rPr>
        <w:t>6. The New Testament</w:t>
      </w:r>
      <w:r w:rsidR="001D6B90" w:rsidRPr="003053D6">
        <w:rPr>
          <w:rFonts w:ascii="Times New Roman" w:hAnsi="Times New Roman"/>
          <w:b/>
          <w:bCs/>
          <w:sz w:val="22"/>
        </w:rPr>
        <w:t>’</w:t>
      </w:r>
      <w:r w:rsidRPr="003053D6">
        <w:rPr>
          <w:rFonts w:ascii="Times New Roman" w:hAnsi="Times New Roman"/>
          <w:b/>
          <w:bCs/>
          <w:sz w:val="22"/>
        </w:rPr>
        <w:t>s Use of the Old Testament - Dan G. McCartney</w:t>
      </w:r>
    </w:p>
    <w:p w:rsidR="00F25ED9" w:rsidRPr="003053D6" w:rsidRDefault="00F25ED9" w:rsidP="00F25ED9">
      <w:pPr>
        <w:jc w:val="both"/>
        <w:rPr>
          <w:sz w:val="24"/>
        </w:rPr>
      </w:pPr>
      <w:r w:rsidRPr="003053D6">
        <w:rPr>
          <w:rFonts w:ascii="Times New Roman" w:hAnsi="Times New Roman"/>
          <w:sz w:val="22"/>
        </w:rPr>
        <w:t xml:space="preserve">McCartney explores the hermeneutical methods used in the New Testament for interpreting the Old Testament, noting that figures like Paul did not employ a historical-grammatical approach. He presents four theses to explain this. </w:t>
      </w:r>
      <w:r w:rsidRPr="003053D6">
        <w:rPr>
          <w:rFonts w:ascii="Times New Roman" w:hAnsi="Times New Roman"/>
          <w:b/>
          <w:bCs/>
          <w:sz w:val="22"/>
        </w:rPr>
        <w:t xml:space="preserve">One: Hermeneutical Method Is a Product of Worldview. </w:t>
      </w:r>
      <w:r w:rsidRPr="003053D6">
        <w:rPr>
          <w:rFonts w:ascii="Times New Roman" w:hAnsi="Times New Roman"/>
          <w:sz w:val="22"/>
        </w:rPr>
        <w:t>Hermeneutical methods are deeply influenced by the worldview of their time. For example, Origen and Medieval Exegetes utilized a fourfold meaning due to their prevailing worldview. Contemporary methods also reflect current perspectives, such as premillennialism being more common in contexts of persecution. Although culture-boundedness exists, as bearers of God</w:t>
      </w:r>
      <w:r w:rsidR="001D6B90" w:rsidRPr="003053D6">
        <w:rPr>
          <w:rFonts w:ascii="Times New Roman" w:hAnsi="Times New Roman"/>
          <w:sz w:val="22"/>
        </w:rPr>
        <w:t>’</w:t>
      </w:r>
      <w:r w:rsidRPr="003053D6">
        <w:rPr>
          <w:rFonts w:ascii="Times New Roman" w:hAnsi="Times New Roman"/>
          <w:sz w:val="22"/>
        </w:rPr>
        <w:t xml:space="preserve">s image, true communication can be contextually grounded within any culture. Diverse perspectives are essential to understanding. </w:t>
      </w:r>
      <w:r w:rsidRPr="003053D6">
        <w:rPr>
          <w:rFonts w:ascii="Times New Roman" w:hAnsi="Times New Roman"/>
          <w:b/>
          <w:bCs/>
          <w:sz w:val="22"/>
        </w:rPr>
        <w:t xml:space="preserve">Two: Hermeneutical Method is Subservient to Hermeneutical Goal. </w:t>
      </w:r>
      <w:r w:rsidRPr="003053D6">
        <w:rPr>
          <w:rFonts w:ascii="Times New Roman" w:hAnsi="Times New Roman"/>
          <w:sz w:val="22"/>
        </w:rPr>
        <w:t>New Testament interpretation, such as Paul</w:t>
      </w:r>
      <w:r w:rsidR="001D6B90" w:rsidRPr="003053D6">
        <w:rPr>
          <w:rFonts w:ascii="Times New Roman" w:hAnsi="Times New Roman"/>
          <w:sz w:val="22"/>
        </w:rPr>
        <w:t>’</w:t>
      </w:r>
      <w:r w:rsidRPr="003053D6">
        <w:rPr>
          <w:rFonts w:ascii="Times New Roman" w:hAnsi="Times New Roman"/>
          <w:sz w:val="22"/>
        </w:rPr>
        <w:t>s use of the Old Testament, serves the goal of conveying the message, sometimes literalizing figurative meanings. Identifying the correct goal involves recognizing that the NT</w:t>
      </w:r>
      <w:r w:rsidR="001D6B90" w:rsidRPr="003053D6">
        <w:rPr>
          <w:rFonts w:ascii="Times New Roman" w:hAnsi="Times New Roman"/>
          <w:sz w:val="22"/>
        </w:rPr>
        <w:t>’</w:t>
      </w:r>
      <w:r w:rsidRPr="003053D6">
        <w:rPr>
          <w:rFonts w:ascii="Times New Roman" w:hAnsi="Times New Roman"/>
          <w:sz w:val="22"/>
        </w:rPr>
        <w:t>s purpose evolves from the OT</w:t>
      </w:r>
      <w:r w:rsidR="001D6B90" w:rsidRPr="003053D6">
        <w:rPr>
          <w:rFonts w:ascii="Times New Roman" w:hAnsi="Times New Roman"/>
          <w:sz w:val="22"/>
        </w:rPr>
        <w:t>’</w:t>
      </w:r>
      <w:r w:rsidRPr="003053D6">
        <w:rPr>
          <w:rFonts w:ascii="Times New Roman" w:hAnsi="Times New Roman"/>
          <w:sz w:val="22"/>
        </w:rPr>
        <w:t xml:space="preserve">s aims. Among various scriptural interpretations (e.g., Koran, Mormon texts), only the NT maintains a clear, compatible focus with the OT worldview and objectives. </w:t>
      </w:r>
      <w:r w:rsidRPr="003053D6">
        <w:rPr>
          <w:rFonts w:ascii="Times New Roman" w:hAnsi="Times New Roman"/>
          <w:b/>
          <w:bCs/>
          <w:sz w:val="22"/>
        </w:rPr>
        <w:t>Three: Our Worldview Must Be Compatible with the Biblical Worldview.</w:t>
      </w:r>
      <w:r w:rsidRPr="003053D6">
        <w:rPr>
          <w:rFonts w:ascii="Times New Roman" w:hAnsi="Times New Roman"/>
          <w:sz w:val="22"/>
        </w:rPr>
        <w:t xml:space="preserve"> To interpret biblical texts genuinely, our worldview must align closely, though not identically, with that of the biblical writers. While total identification is impossible, a compatible understanding—using the historical-grammatical method when appropriate—facilitates true interpretation. This involves a double hermeneutical circle where both natural revelation (e.g., language comprehension) and special revelation inform our worldview. </w:t>
      </w:r>
      <w:r w:rsidRPr="003053D6">
        <w:rPr>
          <w:rFonts w:ascii="Times New Roman" w:hAnsi="Times New Roman"/>
          <w:b/>
          <w:bCs/>
          <w:sz w:val="22"/>
        </w:rPr>
        <w:t xml:space="preserve">Four: A Focus on Christ and His Redemptive Program Must Be Maintained. </w:t>
      </w:r>
      <w:r w:rsidRPr="003053D6">
        <w:rPr>
          <w:rFonts w:ascii="Times New Roman" w:hAnsi="Times New Roman"/>
          <w:sz w:val="22"/>
        </w:rPr>
        <w:t>Hermeneutical methods should be subservient to the goal of highlighting Christ and His redemptive work. The NT asserts that Christ fulfills everything written in the Law, Prophets, and Psalms, retaining the OT</w:t>
      </w:r>
      <w:r w:rsidR="001D6B90" w:rsidRPr="003053D6">
        <w:rPr>
          <w:rFonts w:ascii="Times New Roman" w:hAnsi="Times New Roman"/>
          <w:sz w:val="22"/>
        </w:rPr>
        <w:t>’</w:t>
      </w:r>
      <w:r w:rsidRPr="003053D6">
        <w:rPr>
          <w:rFonts w:ascii="Times New Roman" w:hAnsi="Times New Roman"/>
          <w:sz w:val="22"/>
        </w:rPr>
        <w:t xml:space="preserve">s context within its quotations. This contrasts with the Qumran community, which selectively interpreted </w:t>
      </w:r>
      <w:r w:rsidRPr="003053D6">
        <w:rPr>
          <w:rFonts w:ascii="Times New Roman" w:hAnsi="Times New Roman"/>
          <w:sz w:val="22"/>
        </w:rPr>
        <w:lastRenderedPageBreak/>
        <w:t>only parts of the Mosaic Law. For the NT, Christ fulfills the entire history and narrative of the OT, integrating historical meaning with its Christological fulfillment.</w:t>
      </w:r>
    </w:p>
    <w:p w:rsidR="00F25ED9" w:rsidRPr="003053D6" w:rsidRDefault="00F25ED9" w:rsidP="00F25ED9">
      <w:pPr>
        <w:jc w:val="both"/>
        <w:rPr>
          <w:sz w:val="24"/>
        </w:rPr>
      </w:pPr>
      <w:r w:rsidRPr="003053D6">
        <w:rPr>
          <w:rFonts w:ascii="Times New Roman" w:hAnsi="Times New Roman"/>
          <w:sz w:val="22"/>
        </w:rPr>
        <w:t xml:space="preserve">Maintaining a focus on Christ requires </w:t>
      </w:r>
      <w:r w:rsidRPr="003053D6">
        <w:rPr>
          <w:rFonts w:ascii="Times New Roman" w:hAnsi="Times New Roman"/>
          <w:i/>
          <w:iCs/>
          <w:sz w:val="22"/>
        </w:rPr>
        <w:t>both of the following</w:t>
      </w:r>
      <w:r w:rsidRPr="003053D6">
        <w:rPr>
          <w:rFonts w:ascii="Times New Roman" w:hAnsi="Times New Roman"/>
          <w:sz w:val="22"/>
        </w:rPr>
        <w:t>: (1) a compatible worldview against neo-orthodoxy and (2) the correct hermeneutical goal. Bultmann and the Neo-Orthodox only used (2) but rejected the worldview of the Bible itself (1). Legalism is an example that holds to (1) without using (2) and basically conflating our worldview with the Bible</w:t>
      </w:r>
      <w:r w:rsidR="001D6B90" w:rsidRPr="003053D6">
        <w:rPr>
          <w:rFonts w:ascii="Times New Roman" w:hAnsi="Times New Roman"/>
          <w:sz w:val="22"/>
        </w:rPr>
        <w:t>’</w:t>
      </w:r>
      <w:r w:rsidRPr="003053D6">
        <w:rPr>
          <w:rFonts w:ascii="Times New Roman" w:hAnsi="Times New Roman"/>
          <w:sz w:val="22"/>
        </w:rPr>
        <w:t>s. Ultimately, while the historical-grammatical method is useful, it is insufficient alone; a holistic approach considering the divine goal and context is necessary for true biblical interpretation (cf. Poythress).</w:t>
      </w:r>
    </w:p>
    <w:p w:rsidR="00F25ED9" w:rsidRPr="003053D6" w:rsidRDefault="00F25ED9" w:rsidP="00F25ED9">
      <w:pPr>
        <w:jc w:val="both"/>
        <w:rPr>
          <w:sz w:val="24"/>
        </w:rPr>
      </w:pPr>
    </w:p>
    <w:p w:rsidR="00F25ED9" w:rsidRPr="003053D6" w:rsidRDefault="00F25ED9" w:rsidP="00F25ED9">
      <w:pPr>
        <w:jc w:val="both"/>
        <w:rPr>
          <w:b/>
          <w:bCs/>
          <w:sz w:val="24"/>
        </w:rPr>
      </w:pPr>
      <w:r w:rsidRPr="003053D6">
        <w:rPr>
          <w:rFonts w:ascii="Times New Roman" w:hAnsi="Times New Roman"/>
          <w:b/>
          <w:bCs/>
          <w:sz w:val="22"/>
        </w:rPr>
        <w:t>7. Oral Tradition - Bruce K. Waltke</w:t>
      </w:r>
    </w:p>
    <w:p w:rsidR="00F25ED9" w:rsidRPr="003053D6" w:rsidRDefault="00F25ED9" w:rsidP="00F25ED9">
      <w:pPr>
        <w:jc w:val="both"/>
        <w:rPr>
          <w:sz w:val="24"/>
        </w:rPr>
      </w:pPr>
      <w:r w:rsidRPr="003053D6">
        <w:rPr>
          <w:rFonts w:ascii="Times New Roman" w:hAnsi="Times New Roman"/>
          <w:sz w:val="22"/>
        </w:rPr>
        <w:t xml:space="preserve">Bruce K. Waltke examines the principles and evidence surrounding the idea that oral tradition predates written Scripture and was reinterpreted over time before being committed to writing. This perspective raises questions about the nature of revelation and the authenticity of seemingly changing loci. </w:t>
      </w:r>
      <w:r w:rsidRPr="003053D6">
        <w:rPr>
          <w:rFonts w:ascii="Times New Roman" w:hAnsi="Times New Roman"/>
          <w:b/>
          <w:bCs/>
          <w:sz w:val="22"/>
        </w:rPr>
        <w:t xml:space="preserve">Form, Tradition, and Canonical Criticism. </w:t>
      </w:r>
      <w:r w:rsidRPr="003053D6">
        <w:rPr>
          <w:rFonts w:ascii="Times New Roman" w:hAnsi="Times New Roman"/>
          <w:sz w:val="22"/>
        </w:rPr>
        <w:t xml:space="preserve">The theory that oral traditions existed before being written down and were reinterpreted in new settings to gain new meanings brings forth concerns about the stability and authenticity of such traditions. Brevard Childs argues that only the final form of the canon matters, although there remains unease regarding the role of the final redactor. Waltke challenges the notion of extensive oral prehistory through evidence from various sources. </w:t>
      </w:r>
      <w:r w:rsidRPr="003053D6">
        <w:rPr>
          <w:rFonts w:ascii="Times New Roman" w:hAnsi="Times New Roman"/>
          <w:b/>
          <w:bCs/>
          <w:sz w:val="22"/>
        </w:rPr>
        <w:t xml:space="preserve">Ancient Near Eastern Literature. </w:t>
      </w:r>
      <w:r w:rsidRPr="003053D6">
        <w:rPr>
          <w:rFonts w:ascii="Times New Roman" w:hAnsi="Times New Roman"/>
          <w:sz w:val="22"/>
        </w:rPr>
        <w:t>In examining ancient Near Eastern literature, Waltke finds multiple pieces of evidence. From Ebla, we learn that highly literate cultures existed 3-5 centuries before the patriarchs and 1000 years before Moses. In Mesopotamia, there were minimal changes in epics and proverbs over centuries, with written hymns dating back to 1900 BC and practices indicating textual stability through oral memorization and recitation. Hittite literature also underscores the importance of written commitment, while Ugaritic texts show that oral poetry often accompanied written forms. In Egypt, transmission errors such as graphic errors, auricular mistakes, and memory slips occurred but didn</w:t>
      </w:r>
      <w:r w:rsidR="001D6B90" w:rsidRPr="003053D6">
        <w:rPr>
          <w:rFonts w:ascii="Times New Roman" w:hAnsi="Times New Roman"/>
          <w:sz w:val="22"/>
        </w:rPr>
        <w:t>’</w:t>
      </w:r>
      <w:r w:rsidRPr="003053D6">
        <w:rPr>
          <w:rFonts w:ascii="Times New Roman" w:hAnsi="Times New Roman"/>
          <w:sz w:val="22"/>
        </w:rPr>
        <w:t xml:space="preserve">t indicate significant fluid reinterpretation. </w:t>
      </w:r>
      <w:r w:rsidRPr="003053D6">
        <w:rPr>
          <w:rFonts w:ascii="Times New Roman" w:hAnsi="Times New Roman"/>
          <w:b/>
          <w:bCs/>
          <w:sz w:val="22"/>
        </w:rPr>
        <w:t xml:space="preserve">North-West Semitic Regions. </w:t>
      </w:r>
      <w:r w:rsidRPr="003053D6">
        <w:rPr>
          <w:rFonts w:ascii="Times New Roman" w:hAnsi="Times New Roman"/>
          <w:sz w:val="22"/>
        </w:rPr>
        <w:t xml:space="preserve">Despite the poor preservation due to the climate, we find evidence of high literacy, even among Israelite slaves. This suggests that the oral traditions, potentially including those of the Pentateuch, were not overly fluid before being written down. </w:t>
      </w:r>
      <w:r w:rsidRPr="003053D6">
        <w:rPr>
          <w:rFonts w:ascii="Times New Roman" w:hAnsi="Times New Roman"/>
          <w:b/>
          <w:bCs/>
          <w:sz w:val="22"/>
        </w:rPr>
        <w:t xml:space="preserve">Outside the Ancient Near East. </w:t>
      </w:r>
      <w:r w:rsidRPr="003053D6">
        <w:rPr>
          <w:rFonts w:ascii="Times New Roman" w:hAnsi="Times New Roman"/>
          <w:sz w:val="22"/>
        </w:rPr>
        <w:t xml:space="preserve">There is a lack of substantial evidence pointing to oral traditions being molded to fit changing contexts over centuries in cultures outside the Ancient Near East. </w:t>
      </w:r>
      <w:r w:rsidRPr="003053D6">
        <w:rPr>
          <w:rFonts w:ascii="Times New Roman" w:hAnsi="Times New Roman"/>
          <w:b/>
          <w:bCs/>
          <w:sz w:val="22"/>
        </w:rPr>
        <w:t xml:space="preserve">The Source of Patriarchal Narratives. </w:t>
      </w:r>
      <w:r w:rsidRPr="003053D6">
        <w:rPr>
          <w:rFonts w:ascii="Times New Roman" w:hAnsi="Times New Roman"/>
          <w:sz w:val="22"/>
        </w:rPr>
        <w:t>Waltke notes that biblical narrators are often viewed as omniscient due to divine inspiration. Even if God used oral traditions, this did not compromise the historicity of the narratives. The divine orchestration and preservation of biblical texts ensure their reliability despite the processes they may have undergone, affirming their historical accuracy and divine origin.</w:t>
      </w:r>
    </w:p>
    <w:p w:rsidR="00F25ED9" w:rsidRPr="003053D6" w:rsidRDefault="00F25ED9" w:rsidP="00F25ED9">
      <w:pPr>
        <w:jc w:val="both"/>
        <w:rPr>
          <w:sz w:val="24"/>
        </w:rPr>
      </w:pPr>
    </w:p>
    <w:p w:rsidR="00F25ED9" w:rsidRPr="003053D6" w:rsidRDefault="00F25ED9" w:rsidP="00F25ED9">
      <w:pPr>
        <w:jc w:val="both"/>
        <w:rPr>
          <w:b/>
          <w:bCs/>
          <w:sz w:val="24"/>
        </w:rPr>
      </w:pPr>
      <w:r w:rsidRPr="003053D6">
        <w:rPr>
          <w:rFonts w:ascii="Times New Roman" w:hAnsi="Times New Roman"/>
          <w:b/>
          <w:bCs/>
          <w:sz w:val="22"/>
        </w:rPr>
        <w:t>8. Storytellers and Poets in the Bible: Can Literary Artifice Be True? - Tremper Longman III</w:t>
      </w:r>
    </w:p>
    <w:p w:rsidR="00F25ED9" w:rsidRPr="003053D6" w:rsidRDefault="00F25ED9" w:rsidP="00F25ED9">
      <w:pPr>
        <w:jc w:val="both"/>
        <w:rPr>
          <w:sz w:val="24"/>
        </w:rPr>
      </w:pPr>
      <w:r w:rsidRPr="003053D6">
        <w:rPr>
          <w:rFonts w:ascii="Times New Roman" w:hAnsi="Times New Roman"/>
          <w:b/>
          <w:bCs/>
          <w:sz w:val="22"/>
        </w:rPr>
        <w:t xml:space="preserve">Literature Versus Truth. </w:t>
      </w:r>
      <w:r w:rsidRPr="003053D6">
        <w:rPr>
          <w:rFonts w:ascii="Times New Roman" w:hAnsi="Times New Roman"/>
          <w:sz w:val="22"/>
        </w:rPr>
        <w:t xml:space="preserve">Tremper Longman III explores the relationship between literature and truth in the Bible, emphasizing that fiction and poetry, which often employ literary artifice, contain truth. This distinction is often misunderstood in modern contexts, where poetry is mistakenly seen as devoid of truth. </w:t>
      </w:r>
      <w:r w:rsidRPr="003053D6">
        <w:rPr>
          <w:rFonts w:ascii="Times New Roman" w:hAnsi="Times New Roman"/>
          <w:b/>
          <w:bCs/>
          <w:sz w:val="22"/>
        </w:rPr>
        <w:t xml:space="preserve">The Bible as Literature. </w:t>
      </w:r>
      <w:r w:rsidRPr="003053D6">
        <w:rPr>
          <w:rFonts w:ascii="Times New Roman" w:hAnsi="Times New Roman"/>
          <w:sz w:val="22"/>
        </w:rPr>
        <w:t xml:space="preserve">The Bible contains much non-fiction but also utilizes literary artifice, especially in its poetic sections. For example, the dialogues in Job are beautifully poetic and highly structured, making it unlikely that they were spoken exactly as written. Similarly, the flood story in Genesis, though prose, demonstrates sophisticated literary techniques, such as </w:t>
      </w:r>
      <w:r w:rsidRPr="003053D6">
        <w:rPr>
          <w:rFonts w:ascii="Times New Roman" w:hAnsi="Times New Roman"/>
          <w:sz w:val="22"/>
        </w:rPr>
        <w:lastRenderedPageBreak/>
        <w:t xml:space="preserve">sophisticated chiliasm and parallelism. </w:t>
      </w:r>
      <w:r w:rsidRPr="003053D6">
        <w:rPr>
          <w:rFonts w:ascii="Times New Roman" w:hAnsi="Times New Roman"/>
          <w:b/>
          <w:bCs/>
          <w:sz w:val="22"/>
        </w:rPr>
        <w:t xml:space="preserve">The Literary Approach to the Bible. </w:t>
      </w:r>
      <w:r w:rsidRPr="003053D6">
        <w:rPr>
          <w:rFonts w:ascii="Times New Roman" w:hAnsi="Times New Roman"/>
          <w:sz w:val="22"/>
        </w:rPr>
        <w:t xml:space="preserve">The literary approach to the Bible incorporates methods and attitudes from secular literary studies into biblical literature. While this approach has its dangers, it also offers substantial benefits. Modern prejudice often creates a false dichotomy between the literary and historical, leading some to describe the Old Testament as </w:t>
      </w:r>
      <w:r w:rsidR="001D6B90" w:rsidRPr="003053D6">
        <w:rPr>
          <w:rFonts w:ascii="Times New Roman" w:hAnsi="Times New Roman"/>
          <w:sz w:val="22"/>
        </w:rPr>
        <w:t>“</w:t>
      </w:r>
      <w:r w:rsidRPr="003053D6">
        <w:rPr>
          <w:rFonts w:ascii="Times New Roman" w:hAnsi="Times New Roman"/>
          <w:sz w:val="22"/>
        </w:rPr>
        <w:t>historicized fiction</w:t>
      </w:r>
      <w:r w:rsidR="001D6B90" w:rsidRPr="003053D6">
        <w:rPr>
          <w:rFonts w:ascii="Times New Roman" w:hAnsi="Times New Roman"/>
          <w:sz w:val="22"/>
        </w:rPr>
        <w:t>”</w:t>
      </w:r>
      <w:r w:rsidRPr="003053D6">
        <w:rPr>
          <w:rFonts w:ascii="Times New Roman" w:hAnsi="Times New Roman"/>
          <w:sz w:val="22"/>
        </w:rPr>
        <w:t xml:space="preserve"> or </w:t>
      </w:r>
      <w:r w:rsidR="001D6B90" w:rsidRPr="003053D6">
        <w:rPr>
          <w:rFonts w:ascii="Times New Roman" w:hAnsi="Times New Roman"/>
          <w:sz w:val="22"/>
        </w:rPr>
        <w:t>“</w:t>
      </w:r>
      <w:r w:rsidRPr="003053D6">
        <w:rPr>
          <w:rFonts w:ascii="Times New Roman" w:hAnsi="Times New Roman"/>
          <w:sz w:val="22"/>
        </w:rPr>
        <w:t>fictional history.</w:t>
      </w:r>
      <w:r w:rsidR="001D6B90" w:rsidRPr="003053D6">
        <w:rPr>
          <w:rFonts w:ascii="Times New Roman" w:hAnsi="Times New Roman"/>
          <w:sz w:val="22"/>
        </w:rPr>
        <w:t>”</w:t>
      </w:r>
      <w:r w:rsidRPr="003053D6">
        <w:rPr>
          <w:rFonts w:ascii="Times New Roman" w:hAnsi="Times New Roman"/>
          <w:sz w:val="22"/>
        </w:rPr>
        <w:t xml:space="preserve"> However, Scripture is multifunctional, encompassing both literary and historical elements. </w:t>
      </w:r>
      <w:r w:rsidRPr="003053D6">
        <w:rPr>
          <w:rFonts w:ascii="Times New Roman" w:hAnsi="Times New Roman"/>
          <w:b/>
          <w:bCs/>
          <w:sz w:val="22"/>
        </w:rPr>
        <w:t xml:space="preserve">Benefits of a Literary Approach. </w:t>
      </w:r>
      <w:r w:rsidRPr="003053D6">
        <w:rPr>
          <w:rFonts w:ascii="Times New Roman" w:hAnsi="Times New Roman"/>
          <w:sz w:val="22"/>
        </w:rPr>
        <w:t>Longman concludes that the Bible is filled with literary forms, including stories and poetry. There are several reasons for this approach: (1) By presenting theological truths in these forms, it captures the reader</w:t>
      </w:r>
      <w:r w:rsidR="001D6B90" w:rsidRPr="003053D6">
        <w:rPr>
          <w:rFonts w:ascii="Times New Roman" w:hAnsi="Times New Roman"/>
          <w:sz w:val="22"/>
        </w:rPr>
        <w:t>’</w:t>
      </w:r>
      <w:r w:rsidRPr="003053D6">
        <w:rPr>
          <w:rFonts w:ascii="Times New Roman" w:hAnsi="Times New Roman"/>
          <w:sz w:val="22"/>
        </w:rPr>
        <w:t>s full attention and engagement via defamiliarization or distanciation; (2)  Literature appeals to the whole person—intellect, will, and emotions—more comprehensively than systematic theology alone. In summary, understanding the Bible through its literary forms not only enriches our comprehension but also reveals the multidimensional ways God communicates His truth.</w:t>
      </w:r>
    </w:p>
    <w:p w:rsidR="00F25ED9" w:rsidRPr="003053D6" w:rsidRDefault="00F25ED9" w:rsidP="00F25ED9">
      <w:pPr>
        <w:jc w:val="both"/>
        <w:rPr>
          <w:sz w:val="24"/>
        </w:rPr>
      </w:pPr>
    </w:p>
    <w:p w:rsidR="00F25ED9" w:rsidRPr="003053D6" w:rsidRDefault="00F25ED9" w:rsidP="00F25ED9">
      <w:pPr>
        <w:jc w:val="both"/>
        <w:rPr>
          <w:b/>
          <w:bCs/>
          <w:sz w:val="24"/>
        </w:rPr>
      </w:pPr>
      <w:r w:rsidRPr="003053D6">
        <w:rPr>
          <w:rFonts w:ascii="Times New Roman" w:hAnsi="Times New Roman"/>
          <w:b/>
          <w:bCs/>
          <w:sz w:val="22"/>
        </w:rPr>
        <w:t>9. Harmonization: A Help and a Hindrance - Raymond B. Dillard</w:t>
      </w:r>
    </w:p>
    <w:p w:rsidR="00F25ED9" w:rsidRPr="003053D6" w:rsidRDefault="00F25ED9" w:rsidP="00F25ED9">
      <w:pPr>
        <w:jc w:val="both"/>
        <w:rPr>
          <w:sz w:val="24"/>
        </w:rPr>
      </w:pPr>
      <w:r w:rsidRPr="003053D6">
        <w:rPr>
          <w:rFonts w:ascii="Times New Roman" w:hAnsi="Times New Roman"/>
          <w:sz w:val="22"/>
        </w:rPr>
        <w:t xml:space="preserve">Raymond B. Dillard explores the practice of harmonization in biblical interpretation, focusing on its role in addressing apparent contradictions and discrepancies in Scripture. </w:t>
      </w:r>
      <w:r w:rsidRPr="003053D6">
        <w:rPr>
          <w:rFonts w:ascii="Times New Roman" w:hAnsi="Times New Roman"/>
          <w:b/>
          <w:bCs/>
          <w:sz w:val="22"/>
        </w:rPr>
        <w:t>Harmonization as a Help - Its Assets</w:t>
      </w:r>
      <w:r w:rsidR="00860593">
        <w:rPr>
          <w:rFonts w:ascii="Times New Roman" w:hAnsi="Times New Roman"/>
          <w:b/>
          <w:bCs/>
          <w:sz w:val="22"/>
        </w:rPr>
        <w:t xml:space="preserve">. </w:t>
      </w:r>
      <w:r w:rsidRPr="003053D6">
        <w:rPr>
          <w:rFonts w:ascii="Times New Roman" w:hAnsi="Times New Roman"/>
          <w:i/>
          <w:iCs/>
          <w:sz w:val="22"/>
        </w:rPr>
        <w:t xml:space="preserve">Its Inevitability. </w:t>
      </w:r>
      <w:r w:rsidRPr="003053D6">
        <w:rPr>
          <w:rFonts w:ascii="Times New Roman" w:hAnsi="Times New Roman"/>
          <w:sz w:val="22"/>
        </w:rPr>
        <w:t xml:space="preserve">In the presence of discrepancies, giving Scripture the benefit of the doubt and attempting harmonization is a natural response. This approach is akin to how we handle data in other areas of life. </w:t>
      </w:r>
      <w:r w:rsidRPr="003053D6">
        <w:rPr>
          <w:rFonts w:ascii="Times New Roman" w:hAnsi="Times New Roman"/>
          <w:i/>
          <w:iCs/>
          <w:sz w:val="22"/>
        </w:rPr>
        <w:t xml:space="preserve">Its Antiquity. </w:t>
      </w:r>
      <w:r w:rsidRPr="003053D6">
        <w:rPr>
          <w:rFonts w:ascii="Times New Roman" w:hAnsi="Times New Roman"/>
          <w:sz w:val="22"/>
        </w:rPr>
        <w:t xml:space="preserve">Harmonization is not a product of the Enlightenment; it has ancient roots. For instance, the Chronicler sometimes appears to harmonize doubles found in Kings, attempting to reconcile historical details. </w:t>
      </w:r>
      <w:r w:rsidRPr="003053D6">
        <w:rPr>
          <w:rFonts w:ascii="Times New Roman" w:hAnsi="Times New Roman"/>
          <w:i/>
          <w:iCs/>
          <w:sz w:val="22"/>
        </w:rPr>
        <w:t xml:space="preserve">Its Contributions. </w:t>
      </w:r>
      <w:r w:rsidRPr="003053D6">
        <w:rPr>
          <w:rFonts w:ascii="Times New Roman" w:hAnsi="Times New Roman"/>
          <w:sz w:val="22"/>
        </w:rPr>
        <w:t xml:space="preserve">Harmonization methods, while not provable as right or wrong outright, help explain variations in calendrical and regnal reckoning seen in the Ancient Near East, thereby providing chronological clarity. </w:t>
      </w:r>
      <w:r w:rsidRPr="003053D6">
        <w:rPr>
          <w:rFonts w:ascii="Times New Roman" w:hAnsi="Times New Roman"/>
          <w:i/>
          <w:iCs/>
          <w:sz w:val="22"/>
        </w:rPr>
        <w:t xml:space="preserve">Its Respect for the Author. </w:t>
      </w:r>
      <w:r w:rsidRPr="003053D6">
        <w:rPr>
          <w:rFonts w:ascii="Times New Roman" w:hAnsi="Times New Roman"/>
          <w:sz w:val="22"/>
        </w:rPr>
        <w:t xml:space="preserve">This technique focuses on understanding literary devices rather than assuming intentional misrepresentation of truth by the biblical authors. </w:t>
      </w:r>
      <w:r w:rsidRPr="003053D6">
        <w:rPr>
          <w:rFonts w:ascii="Times New Roman" w:hAnsi="Times New Roman"/>
          <w:i/>
          <w:iCs/>
          <w:sz w:val="22"/>
        </w:rPr>
        <w:t xml:space="preserve">Its Theological Warrant. </w:t>
      </w:r>
      <w:r w:rsidRPr="003053D6">
        <w:rPr>
          <w:rFonts w:ascii="Times New Roman" w:hAnsi="Times New Roman"/>
          <w:sz w:val="22"/>
        </w:rPr>
        <w:t>Given that God is true and cannot lie, harmonization is warranted by the belief that Scripture, as God</w:t>
      </w:r>
      <w:r w:rsidR="001D6B90" w:rsidRPr="003053D6">
        <w:rPr>
          <w:rFonts w:ascii="Times New Roman" w:hAnsi="Times New Roman"/>
          <w:sz w:val="22"/>
        </w:rPr>
        <w:t>’</w:t>
      </w:r>
      <w:r w:rsidRPr="003053D6">
        <w:rPr>
          <w:rFonts w:ascii="Times New Roman" w:hAnsi="Times New Roman"/>
          <w:sz w:val="22"/>
        </w:rPr>
        <w:t xml:space="preserve">s word, is also true. </w:t>
      </w:r>
      <w:r w:rsidRPr="003053D6">
        <w:rPr>
          <w:rFonts w:ascii="Times New Roman" w:hAnsi="Times New Roman"/>
          <w:b/>
          <w:bCs/>
          <w:sz w:val="22"/>
        </w:rPr>
        <w:t xml:space="preserve">Harmonization as a Hindrance - Its Liabilities. </w:t>
      </w:r>
      <w:r w:rsidRPr="003053D6">
        <w:rPr>
          <w:rFonts w:ascii="Times New Roman" w:hAnsi="Times New Roman"/>
          <w:i/>
          <w:iCs/>
          <w:sz w:val="22"/>
        </w:rPr>
        <w:t xml:space="preserve">Its Arbitrariness. </w:t>
      </w:r>
      <w:r w:rsidRPr="003053D6">
        <w:rPr>
          <w:rFonts w:ascii="Times New Roman" w:hAnsi="Times New Roman"/>
          <w:sz w:val="22"/>
        </w:rPr>
        <w:t xml:space="preserve">Harmonization can be arbitrary, such as interpreting large numbers in the Bible (e.g., armies) by redefining terms like </w:t>
      </w:r>
      <w:r w:rsidR="001D6B90" w:rsidRPr="003053D6">
        <w:rPr>
          <w:rFonts w:ascii="Times New Roman" w:hAnsi="Times New Roman"/>
          <w:sz w:val="22"/>
        </w:rPr>
        <w:t>“</w:t>
      </w:r>
      <w:r w:rsidRPr="003053D6">
        <w:rPr>
          <w:rFonts w:ascii="Times New Roman" w:hAnsi="Times New Roman"/>
          <w:sz w:val="22"/>
        </w:rPr>
        <w:t>eleph</w:t>
      </w:r>
      <w:r w:rsidR="001D6B90" w:rsidRPr="003053D6">
        <w:rPr>
          <w:rFonts w:ascii="Times New Roman" w:hAnsi="Times New Roman"/>
          <w:sz w:val="22"/>
        </w:rPr>
        <w:t>”</w:t>
      </w:r>
      <w:r w:rsidRPr="003053D6">
        <w:rPr>
          <w:rFonts w:ascii="Times New Roman" w:hAnsi="Times New Roman"/>
          <w:sz w:val="22"/>
        </w:rPr>
        <w:t xml:space="preserve"> to mean tribe or officer. However, this method doesn</w:t>
      </w:r>
      <w:r w:rsidR="001D6B90" w:rsidRPr="003053D6">
        <w:rPr>
          <w:rFonts w:ascii="Times New Roman" w:hAnsi="Times New Roman"/>
          <w:sz w:val="22"/>
        </w:rPr>
        <w:t>’</w:t>
      </w:r>
      <w:r w:rsidRPr="003053D6">
        <w:rPr>
          <w:rFonts w:ascii="Times New Roman" w:hAnsi="Times New Roman"/>
          <w:sz w:val="22"/>
        </w:rPr>
        <w:t xml:space="preserve">t always apply consistently, such as in contexts involving large numbers of animals. Multiple harmonization attempts can exist, yet only one can be true. </w:t>
      </w:r>
      <w:r w:rsidRPr="003053D6">
        <w:rPr>
          <w:rFonts w:ascii="Times New Roman" w:hAnsi="Times New Roman"/>
          <w:i/>
          <w:iCs/>
          <w:sz w:val="22"/>
        </w:rPr>
        <w:t xml:space="preserve">Its Adequacy. </w:t>
      </w:r>
      <w:r w:rsidRPr="003053D6">
        <w:rPr>
          <w:rFonts w:ascii="Times New Roman" w:hAnsi="Times New Roman"/>
          <w:sz w:val="22"/>
        </w:rPr>
        <w:t xml:space="preserve">Discrepancies in the Gospels, </w:t>
      </w:r>
      <w:r w:rsidR="001D6B90" w:rsidRPr="003053D6">
        <w:rPr>
          <w:rFonts w:ascii="Times New Roman" w:hAnsi="Times New Roman"/>
          <w:sz w:val="22"/>
        </w:rPr>
        <w:t>“</w:t>
      </w:r>
      <w:r w:rsidRPr="003053D6">
        <w:rPr>
          <w:rFonts w:ascii="Times New Roman" w:hAnsi="Times New Roman"/>
          <w:sz w:val="22"/>
        </w:rPr>
        <w:t>incorrect</w:t>
      </w:r>
      <w:r w:rsidR="001D6B90" w:rsidRPr="003053D6">
        <w:rPr>
          <w:rFonts w:ascii="Times New Roman" w:hAnsi="Times New Roman"/>
          <w:sz w:val="22"/>
        </w:rPr>
        <w:t>”</w:t>
      </w:r>
      <w:r w:rsidRPr="003053D6">
        <w:rPr>
          <w:rFonts w:ascii="Times New Roman" w:hAnsi="Times New Roman"/>
          <w:sz w:val="22"/>
        </w:rPr>
        <w:t xml:space="preserve"> OT citations in the NT, and textual variations post-Qumran (e.g., the Chronicler using a significantly different source of Samuel than the Masoretic Text) present challenges that require extensive exegetical, theological, and hermeneutical work to clarify. </w:t>
      </w:r>
      <w:r w:rsidRPr="003053D6">
        <w:rPr>
          <w:rFonts w:ascii="Times New Roman" w:hAnsi="Times New Roman"/>
          <w:i/>
          <w:iCs/>
          <w:sz w:val="22"/>
        </w:rPr>
        <w:t xml:space="preserve">Its Focus. </w:t>
      </w:r>
      <w:r w:rsidRPr="003053D6">
        <w:rPr>
          <w:rFonts w:ascii="Times New Roman" w:hAnsi="Times New Roman"/>
          <w:sz w:val="22"/>
        </w:rPr>
        <w:t>Harmonization aims to defend the doctrine of Scripture; however, this goal can be misguided if it concentrates too much on minutiae and problem-solving. The principal focus of exegesis should be explaining Scripture rather than solely defending inerrancy.</w:t>
      </w:r>
    </w:p>
    <w:p w:rsidR="00F25ED9" w:rsidRPr="003053D6" w:rsidRDefault="00F25ED9" w:rsidP="00F25ED9">
      <w:pPr>
        <w:jc w:val="both"/>
        <w:rPr>
          <w:sz w:val="24"/>
        </w:rPr>
      </w:pPr>
      <w:r w:rsidRPr="003053D6">
        <w:rPr>
          <w:rFonts w:ascii="Times New Roman" w:hAnsi="Times New Roman"/>
          <w:sz w:val="22"/>
        </w:rPr>
        <w:t>In summary, while harmonization has a long history and has contributed significantly to biblical studies, it can be a mixed blessing. When overused or applied too simplistically, it can lose credibility and fail to support the doctrine of Scripture effectively. Genre criticism, despite its own challenges, might offer a way to address these issues more fruitfully.</w:t>
      </w:r>
    </w:p>
    <w:p w:rsidR="00F25ED9" w:rsidRPr="003053D6" w:rsidRDefault="00F25ED9" w:rsidP="00F25ED9">
      <w:pPr>
        <w:jc w:val="both"/>
        <w:rPr>
          <w:b/>
          <w:bCs/>
          <w:sz w:val="24"/>
        </w:rPr>
      </w:pPr>
      <w:r w:rsidRPr="003053D6">
        <w:rPr>
          <w:rFonts w:ascii="Times New Roman" w:hAnsi="Times New Roman"/>
          <w:b/>
          <w:bCs/>
          <w:sz w:val="22"/>
        </w:rPr>
        <w:t>10. The New Testament as Canon - Richard B. Gaffin, Jr.</w:t>
      </w:r>
    </w:p>
    <w:p w:rsidR="00F25ED9" w:rsidRPr="003053D6" w:rsidRDefault="00F25ED9" w:rsidP="00F25ED9">
      <w:pPr>
        <w:jc w:val="both"/>
        <w:rPr>
          <w:sz w:val="24"/>
        </w:rPr>
      </w:pPr>
      <w:r w:rsidRPr="003053D6">
        <w:rPr>
          <w:rFonts w:ascii="Times New Roman" w:hAnsi="Times New Roman"/>
          <w:sz w:val="22"/>
        </w:rPr>
        <w:t xml:space="preserve">Richard B. Gaffin, Jr. addresses two central questions regarding the New Testament  canon: when did the church recognize the canon, and must the church regard the canon as closed? </w:t>
      </w:r>
      <w:r w:rsidRPr="003053D6">
        <w:rPr>
          <w:rFonts w:ascii="Times New Roman" w:hAnsi="Times New Roman"/>
          <w:b/>
          <w:bCs/>
          <w:sz w:val="22"/>
        </w:rPr>
        <w:t xml:space="preserve">The Problem. </w:t>
      </w:r>
      <w:r w:rsidRPr="003053D6">
        <w:rPr>
          <w:rFonts w:ascii="Times New Roman" w:hAnsi="Times New Roman"/>
          <w:sz w:val="22"/>
        </w:rPr>
        <w:t xml:space="preserve">The issue centers on the completed or closed character of Scripture. While the Old Testament </w:t>
      </w:r>
      <w:r w:rsidRPr="003053D6">
        <w:rPr>
          <w:rFonts w:ascii="Times New Roman" w:hAnsi="Times New Roman"/>
          <w:sz w:val="22"/>
        </w:rPr>
        <w:lastRenderedPageBreak/>
        <w:t xml:space="preserve">canon was established by Christ, the NT canon faced initial disputes over books like Hebrews, Revelation, and 2 Peter, as well as non-canonical texts like the Shepherd of Hermas. The challenge lies in reconciling this process with the fallible intentions of individuals. </w:t>
      </w:r>
      <w:r w:rsidRPr="003053D6">
        <w:rPr>
          <w:rFonts w:ascii="Times New Roman" w:hAnsi="Times New Roman"/>
          <w:b/>
          <w:bCs/>
          <w:sz w:val="22"/>
        </w:rPr>
        <w:t xml:space="preserve">Criteria of Canonicity. </w:t>
      </w:r>
      <w:r w:rsidRPr="003053D6">
        <w:rPr>
          <w:rFonts w:ascii="Times New Roman" w:hAnsi="Times New Roman"/>
          <w:sz w:val="22"/>
        </w:rPr>
        <w:t>Historical criteria for canonicity included antiquity, public lection, and inspiration (though not all inspired material was included in the canon). The early church emphasized apostolic authorship and conformity to apostolic teaching (orthodoxy). Later, the Historical-Critical tradition rejected these criteria as outdated. Karl Barth</w:t>
      </w:r>
      <w:r w:rsidR="001D6B90" w:rsidRPr="003053D6">
        <w:rPr>
          <w:rFonts w:ascii="Times New Roman" w:hAnsi="Times New Roman"/>
          <w:sz w:val="22"/>
        </w:rPr>
        <w:t>’</w:t>
      </w:r>
      <w:r w:rsidRPr="003053D6">
        <w:rPr>
          <w:rFonts w:ascii="Times New Roman" w:hAnsi="Times New Roman"/>
          <w:sz w:val="22"/>
        </w:rPr>
        <w:t xml:space="preserve">s non-verbal conception of revelation further complicated the issue, suggesting that the church failed to establish definitive criteria for canonicity. Gaffin asserts that the NT is a self-establishing, self-validating entity—what is canonical is the NT itself, and vice versa. </w:t>
      </w:r>
      <w:r w:rsidRPr="003053D6">
        <w:rPr>
          <w:rFonts w:ascii="Times New Roman" w:hAnsi="Times New Roman"/>
          <w:b/>
          <w:bCs/>
          <w:sz w:val="22"/>
        </w:rPr>
        <w:t xml:space="preserve">God is Canon. </w:t>
      </w:r>
      <w:r w:rsidRPr="003053D6">
        <w:rPr>
          <w:rFonts w:ascii="Times New Roman" w:hAnsi="Times New Roman"/>
          <w:sz w:val="22"/>
        </w:rPr>
        <w:t>Gaffin argues that one cannot find an Archimedean point outside or above the NT canon since God is both its origin and author. The canon</w:t>
      </w:r>
      <w:r w:rsidR="001D6B90" w:rsidRPr="003053D6">
        <w:rPr>
          <w:rFonts w:ascii="Times New Roman" w:hAnsi="Times New Roman"/>
          <w:sz w:val="22"/>
        </w:rPr>
        <w:t>’</w:t>
      </w:r>
      <w:r w:rsidRPr="003053D6">
        <w:rPr>
          <w:rFonts w:ascii="Times New Roman" w:hAnsi="Times New Roman"/>
          <w:sz w:val="22"/>
        </w:rPr>
        <w:t>s existence and recognition involve both constitutive (God</w:t>
      </w:r>
      <w:r w:rsidR="001D6B90" w:rsidRPr="003053D6">
        <w:rPr>
          <w:rFonts w:ascii="Times New Roman" w:hAnsi="Times New Roman"/>
          <w:sz w:val="22"/>
        </w:rPr>
        <w:t>’</w:t>
      </w:r>
      <w:r w:rsidRPr="003053D6">
        <w:rPr>
          <w:rFonts w:ascii="Times New Roman" w:hAnsi="Times New Roman"/>
          <w:sz w:val="22"/>
        </w:rPr>
        <w:t>s action) and reflexive (the church</w:t>
      </w:r>
      <w:r w:rsidR="001D6B90" w:rsidRPr="003053D6">
        <w:rPr>
          <w:rFonts w:ascii="Times New Roman" w:hAnsi="Times New Roman"/>
          <w:sz w:val="22"/>
        </w:rPr>
        <w:t>’</w:t>
      </w:r>
      <w:r w:rsidRPr="003053D6">
        <w:rPr>
          <w:rFonts w:ascii="Times New Roman" w:hAnsi="Times New Roman"/>
          <w:sz w:val="22"/>
        </w:rPr>
        <w:t xml:space="preserve">s action) elements. </w:t>
      </w:r>
      <w:r w:rsidRPr="003053D6">
        <w:rPr>
          <w:rFonts w:ascii="Times New Roman" w:hAnsi="Times New Roman"/>
          <w:b/>
          <w:bCs/>
          <w:sz w:val="22"/>
        </w:rPr>
        <w:t xml:space="preserve">The NT Canon and the History of Redemption (Apostolicity and Canonicity). </w:t>
      </w:r>
      <w:r w:rsidRPr="003053D6">
        <w:rPr>
          <w:rFonts w:ascii="Times New Roman" w:hAnsi="Times New Roman"/>
          <w:i/>
          <w:iCs/>
          <w:sz w:val="22"/>
        </w:rPr>
        <w:t>The Apostles as Representatives of Christ</w:t>
      </w:r>
      <w:r w:rsidRPr="003053D6">
        <w:rPr>
          <w:rFonts w:ascii="Times New Roman" w:hAnsi="Times New Roman"/>
          <w:sz w:val="22"/>
        </w:rPr>
        <w:t>: The apostles had an authoritative commission akin to a power of attorney, functioning as Christ</w:t>
      </w:r>
      <w:r w:rsidR="001D6B90" w:rsidRPr="003053D6">
        <w:rPr>
          <w:rFonts w:ascii="Times New Roman" w:hAnsi="Times New Roman"/>
          <w:sz w:val="22"/>
        </w:rPr>
        <w:t>’</w:t>
      </w:r>
      <w:r w:rsidRPr="003053D6">
        <w:rPr>
          <w:rFonts w:ascii="Times New Roman" w:hAnsi="Times New Roman"/>
          <w:sz w:val="22"/>
        </w:rPr>
        <w:t xml:space="preserve">s authorized representatives. </w:t>
      </w:r>
      <w:r w:rsidRPr="003053D6">
        <w:rPr>
          <w:rFonts w:ascii="Times New Roman" w:hAnsi="Times New Roman"/>
          <w:i/>
          <w:iCs/>
          <w:sz w:val="22"/>
        </w:rPr>
        <w:t>The Apostles as the Foundation of the Church</w:t>
      </w:r>
      <w:r w:rsidRPr="003053D6">
        <w:rPr>
          <w:rFonts w:ascii="Times New Roman" w:hAnsi="Times New Roman"/>
          <w:sz w:val="22"/>
        </w:rPr>
        <w:t xml:space="preserve">: Apostles served as the foundational structure of the church, with Christ as the cornerstone (Ephesians 2:20). Their unique, once-for-all role is emphasized, distinguishing them from prophets. </w:t>
      </w:r>
      <w:r w:rsidRPr="003053D6">
        <w:rPr>
          <w:rFonts w:ascii="Times New Roman" w:hAnsi="Times New Roman"/>
          <w:i/>
          <w:iCs/>
          <w:sz w:val="22"/>
        </w:rPr>
        <w:t>The Apostles as Witnesses</w:t>
      </w:r>
      <w:r w:rsidRPr="003053D6">
        <w:rPr>
          <w:rFonts w:ascii="Times New Roman" w:hAnsi="Times New Roman"/>
          <w:sz w:val="22"/>
        </w:rPr>
        <w:t xml:space="preserve">: Empowered by Christ and the Holy Spirit, the Apostles were normative witnesses of revelation. Their role involved ensuring the preservation of their witness, which became known as </w:t>
      </w:r>
      <w:r w:rsidR="001D6B90" w:rsidRPr="003053D6">
        <w:rPr>
          <w:rFonts w:ascii="Times New Roman" w:hAnsi="Times New Roman"/>
          <w:sz w:val="22"/>
        </w:rPr>
        <w:t>“</w:t>
      </w:r>
      <w:r w:rsidRPr="003053D6">
        <w:rPr>
          <w:rFonts w:ascii="Times New Roman" w:hAnsi="Times New Roman"/>
          <w:sz w:val="22"/>
        </w:rPr>
        <w:t>tradition.</w:t>
      </w:r>
      <w:r w:rsidR="001D6B90" w:rsidRPr="003053D6">
        <w:rPr>
          <w:rFonts w:ascii="Times New Roman" w:hAnsi="Times New Roman"/>
          <w:sz w:val="22"/>
        </w:rPr>
        <w:t>”</w:t>
      </w:r>
      <w:r w:rsidRPr="003053D6">
        <w:rPr>
          <w:rFonts w:ascii="Times New Roman" w:hAnsi="Times New Roman"/>
          <w:sz w:val="22"/>
        </w:rPr>
        <w:t xml:space="preserve"> </w:t>
      </w:r>
      <w:r w:rsidRPr="003053D6">
        <w:rPr>
          <w:rFonts w:ascii="Times New Roman" w:hAnsi="Times New Roman"/>
          <w:i/>
          <w:iCs/>
          <w:sz w:val="22"/>
        </w:rPr>
        <w:t>The Apostles and the Canon</w:t>
      </w:r>
      <w:r w:rsidRPr="003053D6">
        <w:rPr>
          <w:rFonts w:ascii="Times New Roman" w:hAnsi="Times New Roman"/>
          <w:sz w:val="22"/>
        </w:rPr>
        <w:t>: The apostles anticipated the recognition process of their writings as canonical, reflecting both apostolic intent and Christ</w:t>
      </w:r>
      <w:r w:rsidR="001D6B90" w:rsidRPr="003053D6">
        <w:rPr>
          <w:rFonts w:ascii="Times New Roman" w:hAnsi="Times New Roman"/>
          <w:sz w:val="22"/>
        </w:rPr>
        <w:t>’</w:t>
      </w:r>
      <w:r w:rsidRPr="003053D6">
        <w:rPr>
          <w:rFonts w:ascii="Times New Roman" w:hAnsi="Times New Roman"/>
          <w:sz w:val="22"/>
        </w:rPr>
        <w:t xml:space="preserve">s intentions. </w:t>
      </w:r>
      <w:r w:rsidRPr="003053D6">
        <w:rPr>
          <w:rFonts w:ascii="Times New Roman" w:hAnsi="Times New Roman"/>
          <w:b/>
          <w:bCs/>
          <w:sz w:val="22"/>
        </w:rPr>
        <w:t>The NT Canon and the History of Revelation</w:t>
      </w:r>
      <w:r w:rsidRPr="003053D6">
        <w:rPr>
          <w:rFonts w:ascii="Times New Roman" w:hAnsi="Times New Roman"/>
          <w:sz w:val="22"/>
        </w:rPr>
        <w:t>: There is a correlation between redemptive acts and revelatory work. While the OT saw periods of inactivity after prophets, the NT marks a new revelatory phase after Christ</w:t>
      </w:r>
      <w:r w:rsidR="001D6B90" w:rsidRPr="003053D6">
        <w:rPr>
          <w:rFonts w:ascii="Times New Roman" w:hAnsi="Times New Roman"/>
          <w:sz w:val="22"/>
        </w:rPr>
        <w:t>’</w:t>
      </w:r>
      <w:r w:rsidRPr="003053D6">
        <w:rPr>
          <w:rFonts w:ascii="Times New Roman" w:hAnsi="Times New Roman"/>
          <w:sz w:val="22"/>
        </w:rPr>
        <w:t>s exaltation and the church</w:t>
      </w:r>
      <w:r w:rsidR="001D6B90" w:rsidRPr="003053D6">
        <w:rPr>
          <w:rFonts w:ascii="Times New Roman" w:hAnsi="Times New Roman"/>
          <w:sz w:val="22"/>
        </w:rPr>
        <w:t>’</w:t>
      </w:r>
      <w:r w:rsidRPr="003053D6">
        <w:rPr>
          <w:rFonts w:ascii="Times New Roman" w:hAnsi="Times New Roman"/>
          <w:sz w:val="22"/>
        </w:rPr>
        <w:t>s founding. Here, revelation is considered closed until Christ</w:t>
      </w:r>
      <w:r w:rsidR="001D6B90" w:rsidRPr="003053D6">
        <w:rPr>
          <w:rFonts w:ascii="Times New Roman" w:hAnsi="Times New Roman"/>
          <w:sz w:val="22"/>
        </w:rPr>
        <w:t>’</w:t>
      </w:r>
      <w:r w:rsidRPr="003053D6">
        <w:rPr>
          <w:rFonts w:ascii="Times New Roman" w:hAnsi="Times New Roman"/>
          <w:sz w:val="22"/>
        </w:rPr>
        <w:t xml:space="preserve">s return. </w:t>
      </w:r>
      <w:r w:rsidRPr="003053D6">
        <w:rPr>
          <w:rFonts w:ascii="Times New Roman" w:hAnsi="Times New Roman"/>
          <w:b/>
          <w:bCs/>
          <w:sz w:val="22"/>
        </w:rPr>
        <w:t xml:space="preserve">The NT Canon is Closed. </w:t>
      </w:r>
      <w:r w:rsidRPr="003053D6">
        <w:rPr>
          <w:rFonts w:ascii="Times New Roman" w:hAnsi="Times New Roman"/>
          <w:sz w:val="22"/>
        </w:rPr>
        <w:t>Gaffin examines three views on the NT</w:t>
      </w:r>
      <w:r w:rsidR="001D6B90" w:rsidRPr="003053D6">
        <w:rPr>
          <w:rFonts w:ascii="Times New Roman" w:hAnsi="Times New Roman"/>
          <w:sz w:val="22"/>
        </w:rPr>
        <w:t>’</w:t>
      </w:r>
      <w:r w:rsidRPr="003053D6">
        <w:rPr>
          <w:rFonts w:ascii="Times New Roman" w:hAnsi="Times New Roman"/>
          <w:sz w:val="22"/>
        </w:rPr>
        <w:t>s completeness: (1) The NT as a human anthology of divinely inspired writings; (2) The NT as a complete entity shaped by God but open to continual additions; and (3) The NT, along with the OT, as a complete entity given by God which brings His authority—a view favored by Gaffin. Gaffin supports the view that the current canon includes all that God chose to preserve. He differentiates this question from that of variant readings, affirming that the NT as it exists is complete and authoritative.</w:t>
      </w:r>
    </w:p>
    <w:p w:rsidR="00F25ED9" w:rsidRPr="003053D6" w:rsidRDefault="00F25ED9" w:rsidP="00F25ED9">
      <w:pPr>
        <w:jc w:val="both"/>
        <w:rPr>
          <w:sz w:val="24"/>
        </w:rPr>
      </w:pPr>
    </w:p>
    <w:p w:rsidR="00F25ED9" w:rsidRPr="003053D6" w:rsidRDefault="00F25ED9" w:rsidP="00F25ED9">
      <w:pPr>
        <w:jc w:val="both"/>
        <w:rPr>
          <w:b/>
          <w:bCs/>
          <w:sz w:val="24"/>
        </w:rPr>
      </w:pPr>
      <w:r w:rsidRPr="003053D6">
        <w:rPr>
          <w:rFonts w:ascii="Times New Roman" w:hAnsi="Times New Roman"/>
          <w:b/>
          <w:bCs/>
          <w:sz w:val="22"/>
        </w:rPr>
        <w:t>11. Normativity, Relevance, and Relativism - Harvie Conn</w:t>
      </w:r>
    </w:p>
    <w:p w:rsidR="00F25ED9" w:rsidRPr="003053D6" w:rsidRDefault="00F25ED9" w:rsidP="00F25ED9">
      <w:pPr>
        <w:jc w:val="both"/>
        <w:rPr>
          <w:sz w:val="24"/>
        </w:rPr>
      </w:pPr>
      <w:r w:rsidRPr="003053D6">
        <w:rPr>
          <w:rFonts w:ascii="Times New Roman" w:hAnsi="Times New Roman"/>
          <w:sz w:val="22"/>
        </w:rPr>
        <w:t>Harvie Conn discusses contemporary evangelical approaches to interpreting and applying biblical texts, addressing the challenges of ensuring Scripture</w:t>
      </w:r>
      <w:r w:rsidR="001D6B90" w:rsidRPr="003053D6">
        <w:rPr>
          <w:rFonts w:ascii="Times New Roman" w:hAnsi="Times New Roman"/>
          <w:sz w:val="22"/>
        </w:rPr>
        <w:t>’</w:t>
      </w:r>
      <w:r w:rsidRPr="003053D6">
        <w:rPr>
          <w:rFonts w:ascii="Times New Roman" w:hAnsi="Times New Roman"/>
          <w:sz w:val="22"/>
        </w:rPr>
        <w:t xml:space="preserve">s relevance across different cultural contexts while avoiding relativism. </w:t>
      </w:r>
      <w:r w:rsidRPr="003053D6">
        <w:rPr>
          <w:rFonts w:ascii="Times New Roman" w:hAnsi="Times New Roman"/>
          <w:b/>
          <w:bCs/>
          <w:sz w:val="22"/>
        </w:rPr>
        <w:t xml:space="preserve">Contemporary Evangelical Discussion. </w:t>
      </w:r>
      <w:r w:rsidRPr="003053D6">
        <w:rPr>
          <w:rFonts w:ascii="Times New Roman" w:hAnsi="Times New Roman"/>
          <w:sz w:val="22"/>
        </w:rPr>
        <w:t xml:space="preserve">Conn notes the ongoing debate among evangelicals about the relevance and applicability of the Scriptures, such as whether foot-washing should still be considered an institution. Hermeneutics involves exegesis to explain authorial intention, yet there remains a gap in its applicability. Neo-Orthodoxy posits that Scripture conveys situationally bound rather than timeless information. Reader-response theory suggests that text gains meaning only through interaction with the reader, leading to questions like </w:t>
      </w:r>
      <w:r w:rsidR="001D6B90" w:rsidRPr="003053D6">
        <w:rPr>
          <w:rFonts w:ascii="Times New Roman" w:hAnsi="Times New Roman"/>
          <w:sz w:val="22"/>
        </w:rPr>
        <w:t>“</w:t>
      </w:r>
      <w:r w:rsidRPr="003053D6">
        <w:rPr>
          <w:rFonts w:ascii="Times New Roman" w:hAnsi="Times New Roman"/>
          <w:sz w:val="22"/>
        </w:rPr>
        <w:t xml:space="preserve">What does Scripture mean to </w:t>
      </w:r>
      <w:r w:rsidRPr="003053D6">
        <w:rPr>
          <w:rFonts w:ascii="Times New Roman" w:hAnsi="Times New Roman"/>
          <w:i/>
          <w:iCs/>
          <w:sz w:val="22"/>
        </w:rPr>
        <w:t>me</w:t>
      </w:r>
      <w:r w:rsidRPr="003053D6">
        <w:rPr>
          <w:rFonts w:ascii="Times New Roman" w:hAnsi="Times New Roman"/>
          <w:sz w:val="22"/>
        </w:rPr>
        <w:t>?</w:t>
      </w:r>
      <w:r w:rsidR="001D6B90" w:rsidRPr="003053D6">
        <w:rPr>
          <w:rFonts w:ascii="Times New Roman" w:hAnsi="Times New Roman"/>
          <w:sz w:val="22"/>
        </w:rPr>
        <w:t>”</w:t>
      </w:r>
      <w:r w:rsidRPr="003053D6">
        <w:rPr>
          <w:rFonts w:ascii="Times New Roman" w:hAnsi="Times New Roman"/>
          <w:sz w:val="22"/>
        </w:rPr>
        <w:t xml:space="preserve"> Evangelicals maintain that the meaning in the original context should translate to meaning in our contemporary context, countering the Neo-Orthodox claim that Scripture merely becomes the Word of God upon reading. They argue that the Word is not passive but actively seeks application. </w:t>
      </w:r>
      <w:r w:rsidRPr="003053D6">
        <w:rPr>
          <w:rFonts w:ascii="Times New Roman" w:hAnsi="Times New Roman"/>
          <w:b/>
          <w:bCs/>
          <w:sz w:val="22"/>
        </w:rPr>
        <w:t xml:space="preserve">A New Agenda of Problems. </w:t>
      </w:r>
      <w:r w:rsidRPr="003053D6">
        <w:rPr>
          <w:rFonts w:ascii="Times New Roman" w:hAnsi="Times New Roman"/>
          <w:sz w:val="22"/>
        </w:rPr>
        <w:t>New issues arise from old questions:</w:t>
      </w:r>
    </w:p>
    <w:p w:rsidR="00F25ED9" w:rsidRPr="003053D6" w:rsidRDefault="00F25ED9" w:rsidP="00F25ED9">
      <w:pPr>
        <w:pStyle w:val="ListParagraph"/>
        <w:numPr>
          <w:ilvl w:val="0"/>
          <w:numId w:val="2"/>
        </w:numPr>
        <w:jc w:val="both"/>
        <w:rPr>
          <w:sz w:val="24"/>
        </w:rPr>
      </w:pPr>
      <w:r w:rsidRPr="003053D6">
        <w:rPr>
          <w:rFonts w:ascii="Times New Roman" w:hAnsi="Times New Roman"/>
          <w:sz w:val="22"/>
        </w:rPr>
        <w:lastRenderedPageBreak/>
        <w:t>The historical and cultural nature of revelation raises questions about its relation to inerrancy, revealing the culture-bound character of Scripture.</w:t>
      </w:r>
    </w:p>
    <w:p w:rsidR="00F25ED9" w:rsidRPr="003053D6" w:rsidRDefault="00F25ED9" w:rsidP="00F25ED9">
      <w:pPr>
        <w:pStyle w:val="ListParagraph"/>
        <w:numPr>
          <w:ilvl w:val="0"/>
          <w:numId w:val="2"/>
        </w:numPr>
        <w:jc w:val="both"/>
        <w:rPr>
          <w:sz w:val="24"/>
        </w:rPr>
      </w:pPr>
      <w:r w:rsidRPr="003053D6">
        <w:rPr>
          <w:rFonts w:ascii="Times New Roman" w:hAnsi="Times New Roman"/>
          <w:sz w:val="22"/>
        </w:rPr>
        <w:t>The cultural, social, and worldview dispositions of interpreters affect how Scripture is understood and applied today. Acknowledging the myth of a neutral observer, Conn highlights that everyone brings presuppositions to Scripture.</w:t>
      </w:r>
    </w:p>
    <w:p w:rsidR="00F25ED9" w:rsidRPr="003053D6" w:rsidRDefault="00F25ED9" w:rsidP="00F25ED9">
      <w:pPr>
        <w:pStyle w:val="ListParagraph"/>
        <w:numPr>
          <w:ilvl w:val="0"/>
          <w:numId w:val="2"/>
        </w:numPr>
        <w:jc w:val="both"/>
        <w:rPr>
          <w:sz w:val="24"/>
        </w:rPr>
      </w:pPr>
      <w:r w:rsidRPr="003053D6">
        <w:rPr>
          <w:rFonts w:ascii="Times New Roman" w:hAnsi="Times New Roman"/>
          <w:sz w:val="22"/>
        </w:rPr>
        <w:t xml:space="preserve">The hermeneutical gap poses challenges in crossing cultural boundaries between the original context and ours. Limitations of </w:t>
      </w:r>
      <w:r w:rsidR="001D6B90" w:rsidRPr="003053D6">
        <w:rPr>
          <w:rFonts w:ascii="Times New Roman" w:hAnsi="Times New Roman"/>
          <w:sz w:val="22"/>
        </w:rPr>
        <w:t>“</w:t>
      </w:r>
      <w:r w:rsidRPr="003053D6">
        <w:rPr>
          <w:rFonts w:ascii="Times New Roman" w:hAnsi="Times New Roman"/>
          <w:sz w:val="22"/>
        </w:rPr>
        <w:t>application</w:t>
      </w:r>
      <w:r w:rsidR="001D6B90" w:rsidRPr="003053D6">
        <w:rPr>
          <w:rFonts w:ascii="Times New Roman" w:hAnsi="Times New Roman"/>
          <w:sz w:val="22"/>
        </w:rPr>
        <w:t>”</w:t>
      </w:r>
      <w:r w:rsidRPr="003053D6">
        <w:rPr>
          <w:rFonts w:ascii="Times New Roman" w:hAnsi="Times New Roman"/>
          <w:sz w:val="22"/>
        </w:rPr>
        <w:t xml:space="preserve"> show that </w:t>
      </w:r>
      <w:r w:rsidR="001D6B90" w:rsidRPr="003053D6">
        <w:rPr>
          <w:rFonts w:ascii="Times New Roman" w:hAnsi="Times New Roman"/>
          <w:sz w:val="22"/>
        </w:rPr>
        <w:t>“</w:t>
      </w:r>
      <w:r w:rsidRPr="003053D6">
        <w:rPr>
          <w:rFonts w:ascii="Times New Roman" w:hAnsi="Times New Roman"/>
          <w:sz w:val="22"/>
        </w:rPr>
        <w:t>plain meaning</w:t>
      </w:r>
      <w:r w:rsidR="001D6B90" w:rsidRPr="003053D6">
        <w:rPr>
          <w:rFonts w:ascii="Times New Roman" w:hAnsi="Times New Roman"/>
          <w:sz w:val="22"/>
        </w:rPr>
        <w:t>”</w:t>
      </w:r>
      <w:r w:rsidRPr="003053D6">
        <w:rPr>
          <w:rFonts w:ascii="Times New Roman" w:hAnsi="Times New Roman"/>
          <w:sz w:val="22"/>
        </w:rPr>
        <w:t xml:space="preserve"> addresses only one horizon.</w:t>
      </w:r>
    </w:p>
    <w:p w:rsidR="00F25ED9" w:rsidRPr="003053D6" w:rsidRDefault="00F25ED9" w:rsidP="00F25ED9">
      <w:pPr>
        <w:jc w:val="both"/>
        <w:rPr>
          <w:sz w:val="24"/>
        </w:rPr>
      </w:pPr>
      <w:r w:rsidRPr="003053D6">
        <w:rPr>
          <w:rFonts w:ascii="Times New Roman" w:hAnsi="Times New Roman"/>
          <w:b/>
          <w:bCs/>
          <w:sz w:val="22"/>
        </w:rPr>
        <w:t xml:space="preserve">Living in the Hermeneutical Spiral. </w:t>
      </w:r>
      <w:r w:rsidRPr="003053D6">
        <w:rPr>
          <w:rFonts w:ascii="Times New Roman" w:hAnsi="Times New Roman"/>
          <w:sz w:val="22"/>
        </w:rPr>
        <w:t xml:space="preserve">Evangelicals navigate a </w:t>
      </w:r>
      <w:r w:rsidR="001D6B90" w:rsidRPr="003053D6">
        <w:rPr>
          <w:rFonts w:ascii="Times New Roman" w:hAnsi="Times New Roman"/>
          <w:sz w:val="22"/>
        </w:rPr>
        <w:t>“</w:t>
      </w:r>
      <w:r w:rsidRPr="003053D6">
        <w:rPr>
          <w:rFonts w:ascii="Times New Roman" w:hAnsi="Times New Roman"/>
          <w:sz w:val="22"/>
        </w:rPr>
        <w:t>hermeneutical spiral</w:t>
      </w:r>
      <w:r w:rsidR="001D6B90" w:rsidRPr="003053D6">
        <w:rPr>
          <w:rFonts w:ascii="Times New Roman" w:hAnsi="Times New Roman"/>
          <w:sz w:val="22"/>
        </w:rPr>
        <w:t>”</w:t>
      </w:r>
      <w:r w:rsidRPr="003053D6">
        <w:rPr>
          <w:rFonts w:ascii="Times New Roman" w:hAnsi="Times New Roman"/>
          <w:sz w:val="22"/>
        </w:rPr>
        <w:t xml:space="preserve"> akin to the progress of sanctification, where understanding evolves as Scripture reshapes cultural questions and vice versa. Unlike the static approach of Hans-Georg Gadamer</w:t>
      </w:r>
      <w:r w:rsidR="001D6B90" w:rsidRPr="003053D6">
        <w:rPr>
          <w:rFonts w:ascii="Times New Roman" w:hAnsi="Times New Roman"/>
          <w:sz w:val="22"/>
        </w:rPr>
        <w:t>’</w:t>
      </w:r>
      <w:r w:rsidRPr="003053D6">
        <w:rPr>
          <w:rFonts w:ascii="Times New Roman" w:hAnsi="Times New Roman"/>
          <w:sz w:val="22"/>
        </w:rPr>
        <w:t xml:space="preserve">s </w:t>
      </w:r>
      <w:r w:rsidR="001D6B90" w:rsidRPr="003053D6">
        <w:rPr>
          <w:rFonts w:ascii="Times New Roman" w:hAnsi="Times New Roman"/>
          <w:sz w:val="22"/>
        </w:rPr>
        <w:t>“</w:t>
      </w:r>
      <w:r w:rsidRPr="003053D6">
        <w:rPr>
          <w:rFonts w:ascii="Times New Roman" w:hAnsi="Times New Roman"/>
          <w:sz w:val="22"/>
        </w:rPr>
        <w:t>New Hermeneutic,</w:t>
      </w:r>
      <w:r w:rsidR="001D6B90" w:rsidRPr="003053D6">
        <w:rPr>
          <w:rFonts w:ascii="Times New Roman" w:hAnsi="Times New Roman"/>
          <w:sz w:val="22"/>
        </w:rPr>
        <w:t>”</w:t>
      </w:r>
      <w:r w:rsidRPr="003053D6">
        <w:rPr>
          <w:rFonts w:ascii="Times New Roman" w:hAnsi="Times New Roman"/>
          <w:sz w:val="22"/>
        </w:rPr>
        <w:t xml:space="preserve"> this dynamic, upward spiral keeps the Bible central and normative. </w:t>
      </w:r>
      <w:r w:rsidRPr="003053D6">
        <w:rPr>
          <w:rFonts w:ascii="Times New Roman" w:hAnsi="Times New Roman"/>
          <w:b/>
          <w:bCs/>
          <w:sz w:val="22"/>
        </w:rPr>
        <w:t xml:space="preserve">False Leads. </w:t>
      </w:r>
      <w:r w:rsidRPr="003053D6">
        <w:rPr>
          <w:rFonts w:ascii="Times New Roman" w:hAnsi="Times New Roman"/>
          <w:sz w:val="22"/>
        </w:rPr>
        <w:t>Principles can also be culturally contextual, showing that all readings are dependent on both the text and the translator</w:t>
      </w:r>
      <w:r w:rsidR="001D6B90" w:rsidRPr="003053D6">
        <w:rPr>
          <w:rFonts w:ascii="Times New Roman" w:hAnsi="Times New Roman"/>
          <w:sz w:val="22"/>
        </w:rPr>
        <w:t>’</w:t>
      </w:r>
      <w:r w:rsidRPr="003053D6">
        <w:rPr>
          <w:rFonts w:ascii="Times New Roman" w:hAnsi="Times New Roman"/>
          <w:sz w:val="22"/>
        </w:rPr>
        <w:t xml:space="preserve">s perspective. There should not be a false distinction between normative principles and cultural injunctions. </w:t>
      </w:r>
      <w:r w:rsidRPr="003053D6">
        <w:rPr>
          <w:rFonts w:ascii="Times New Roman" w:hAnsi="Times New Roman"/>
          <w:b/>
          <w:bCs/>
          <w:sz w:val="22"/>
        </w:rPr>
        <w:t xml:space="preserve">Clues from the Godward Side of Hermeneutics. </w:t>
      </w:r>
      <w:r w:rsidRPr="003053D6">
        <w:rPr>
          <w:rFonts w:ascii="Times New Roman" w:hAnsi="Times New Roman"/>
          <w:sz w:val="22"/>
        </w:rPr>
        <w:t>God condescends in the hermeneutical spiral as Father, Teacher, and Physician. Guidelines include: (1) Original intent understood through exegesis forms the foundation; (2) Seeking universals within redemptive-historical epochs, acknowledging that cultural particulars do not cloud God</w:t>
      </w:r>
      <w:r w:rsidR="001D6B90" w:rsidRPr="003053D6">
        <w:rPr>
          <w:rFonts w:ascii="Times New Roman" w:hAnsi="Times New Roman"/>
          <w:sz w:val="22"/>
        </w:rPr>
        <w:t>’</w:t>
      </w:r>
      <w:r w:rsidRPr="003053D6">
        <w:rPr>
          <w:rFonts w:ascii="Times New Roman" w:hAnsi="Times New Roman"/>
          <w:sz w:val="22"/>
        </w:rPr>
        <w:t xml:space="preserve">s self-disclosure. This shared task links us with Paul; and (3) The Holy Spirit actively participates in the interpretative process, working through our cultural conditioning. </w:t>
      </w:r>
      <w:r w:rsidRPr="003053D6">
        <w:rPr>
          <w:rFonts w:ascii="Times New Roman" w:hAnsi="Times New Roman"/>
          <w:b/>
          <w:bCs/>
          <w:sz w:val="22"/>
        </w:rPr>
        <w:t xml:space="preserve">Clues from the Human Side of Hermeneutics. </w:t>
      </w:r>
      <w:r w:rsidRPr="003053D6">
        <w:rPr>
          <w:rFonts w:ascii="Times New Roman" w:hAnsi="Times New Roman"/>
          <w:sz w:val="22"/>
        </w:rPr>
        <w:t xml:space="preserve">Recognizing our biases, several approaches help: (1) Awareness of differences (or </w:t>
      </w:r>
      <w:r w:rsidR="001D6B90" w:rsidRPr="003053D6">
        <w:rPr>
          <w:rFonts w:ascii="Times New Roman" w:hAnsi="Times New Roman"/>
          <w:sz w:val="22"/>
        </w:rPr>
        <w:t>“</w:t>
      </w:r>
      <w:r w:rsidRPr="003053D6">
        <w:rPr>
          <w:rFonts w:ascii="Times New Roman" w:hAnsi="Times New Roman"/>
          <w:sz w:val="22"/>
        </w:rPr>
        <w:t>distancing</w:t>
      </w:r>
      <w:r w:rsidR="001D6B90" w:rsidRPr="003053D6">
        <w:rPr>
          <w:rFonts w:ascii="Times New Roman" w:hAnsi="Times New Roman"/>
          <w:sz w:val="22"/>
        </w:rPr>
        <w:t>”</w:t>
      </w:r>
      <w:r w:rsidRPr="003053D6">
        <w:rPr>
          <w:rFonts w:ascii="Times New Roman" w:hAnsi="Times New Roman"/>
          <w:sz w:val="22"/>
        </w:rPr>
        <w:t>) between cultural contexts is essential, even if feared as relativism. The Word of God includes broader general revelation. (2) Our assumptions can aid the interpretative task, as the two horizons (original and contemporary) fuse at the heart level through the Holy Spirit and progressive sanctification. (3) Acknowledging cultural and interpretative particularity aids understanding. Paul</w:t>
      </w:r>
      <w:r w:rsidR="001D6B90" w:rsidRPr="003053D6">
        <w:rPr>
          <w:rFonts w:ascii="Times New Roman" w:hAnsi="Times New Roman"/>
          <w:sz w:val="22"/>
        </w:rPr>
        <w:t>’</w:t>
      </w:r>
      <w:r w:rsidRPr="003053D6">
        <w:rPr>
          <w:rFonts w:ascii="Times New Roman" w:hAnsi="Times New Roman"/>
          <w:sz w:val="22"/>
        </w:rPr>
        <w:t>s sensitivity to cultural perceptions (e.g., long hair in 1 Corinthians) shows intention to avoid unnecessary offense and uphold general cultural order. In sum, Conn emphasizes the complex interplay between maintaining the normativity of Scripture and ensuring its relevance, advocating for a dynamic approach informed by both divine guidance and cultural awareness.</w:t>
      </w:r>
    </w:p>
    <w:p w:rsidR="00F25ED9" w:rsidRPr="003053D6" w:rsidRDefault="00F25ED9" w:rsidP="00F25ED9">
      <w:pPr>
        <w:jc w:val="both"/>
        <w:rPr>
          <w:sz w:val="24"/>
        </w:rPr>
      </w:pPr>
    </w:p>
    <w:p w:rsidR="00F25ED9" w:rsidRPr="003053D6" w:rsidRDefault="00F25ED9" w:rsidP="00F25ED9">
      <w:pPr>
        <w:jc w:val="both"/>
        <w:rPr>
          <w:b/>
          <w:bCs/>
          <w:sz w:val="24"/>
        </w:rPr>
      </w:pPr>
      <w:r w:rsidRPr="003053D6">
        <w:rPr>
          <w:rFonts w:ascii="Times New Roman" w:hAnsi="Times New Roman"/>
          <w:b/>
          <w:bCs/>
          <w:sz w:val="22"/>
        </w:rPr>
        <w:t>12. The Use of the Bible in Ethics - David Clowney</w:t>
      </w:r>
    </w:p>
    <w:p w:rsidR="00F25ED9" w:rsidRPr="003053D6" w:rsidRDefault="00F25ED9" w:rsidP="00F25ED9">
      <w:pPr>
        <w:jc w:val="both"/>
        <w:rPr>
          <w:sz w:val="24"/>
        </w:rPr>
      </w:pPr>
      <w:r w:rsidRPr="003053D6">
        <w:rPr>
          <w:rFonts w:ascii="Times New Roman" w:hAnsi="Times New Roman"/>
          <w:sz w:val="22"/>
        </w:rPr>
        <w:t>David Clowney explores the Bible</w:t>
      </w:r>
      <w:r w:rsidR="001D6B90" w:rsidRPr="003053D6">
        <w:rPr>
          <w:rFonts w:ascii="Times New Roman" w:hAnsi="Times New Roman"/>
          <w:sz w:val="22"/>
        </w:rPr>
        <w:t>’</w:t>
      </w:r>
      <w:r w:rsidRPr="003053D6">
        <w:rPr>
          <w:rFonts w:ascii="Times New Roman" w:hAnsi="Times New Roman"/>
          <w:sz w:val="22"/>
        </w:rPr>
        <w:t xml:space="preserve">s teachings about its role in guiding ethical life. He begins by emphasizing that biblical laws are not meant to be followed mechanically but instead understood as part of a divine framework that includes exemplary commands, reasons for those commands, and overarching principles. </w:t>
      </w:r>
      <w:r w:rsidRPr="003053D6">
        <w:rPr>
          <w:rFonts w:ascii="Times New Roman" w:hAnsi="Times New Roman"/>
          <w:b/>
          <w:bCs/>
          <w:sz w:val="22"/>
        </w:rPr>
        <w:t>Commands for Grown-Ups: The Bible as God</w:t>
      </w:r>
      <w:r w:rsidR="001D6B90" w:rsidRPr="003053D6">
        <w:rPr>
          <w:rFonts w:ascii="Times New Roman" w:hAnsi="Times New Roman"/>
          <w:b/>
          <w:bCs/>
          <w:sz w:val="22"/>
        </w:rPr>
        <w:t>’</w:t>
      </w:r>
      <w:r w:rsidRPr="003053D6">
        <w:rPr>
          <w:rFonts w:ascii="Times New Roman" w:hAnsi="Times New Roman"/>
          <w:b/>
          <w:bCs/>
          <w:sz w:val="22"/>
        </w:rPr>
        <w:t xml:space="preserve">s Law for Life. </w:t>
      </w:r>
      <w:r w:rsidRPr="003053D6">
        <w:rPr>
          <w:rFonts w:ascii="Times New Roman" w:hAnsi="Times New Roman"/>
          <w:sz w:val="22"/>
        </w:rPr>
        <w:t>Clowney outlines three main objections to viewing the Bible as God</w:t>
      </w:r>
      <w:r w:rsidR="001D6B90" w:rsidRPr="003053D6">
        <w:rPr>
          <w:rFonts w:ascii="Times New Roman" w:hAnsi="Times New Roman"/>
          <w:sz w:val="22"/>
        </w:rPr>
        <w:t>’</w:t>
      </w:r>
      <w:r w:rsidRPr="003053D6">
        <w:rPr>
          <w:rFonts w:ascii="Times New Roman" w:hAnsi="Times New Roman"/>
          <w:sz w:val="22"/>
        </w:rPr>
        <w:t xml:space="preserve">s law. </w:t>
      </w:r>
      <w:r w:rsidRPr="003053D6">
        <w:rPr>
          <w:rFonts w:ascii="Times New Roman" w:hAnsi="Times New Roman"/>
          <w:b/>
          <w:bCs/>
          <w:sz w:val="22"/>
        </w:rPr>
        <w:t>One: Law Versus Grace</w:t>
      </w:r>
      <w:r w:rsidRPr="003053D6">
        <w:rPr>
          <w:rFonts w:ascii="Times New Roman" w:hAnsi="Times New Roman"/>
          <w:sz w:val="22"/>
        </w:rPr>
        <w:t xml:space="preserve">. While some fear legalism, Clowney argues that the moral law remains relevant. The Reformers highlighted its importance in revealing our need for Christ, promoting civic righteousness, and guiding life in Christ (the third use of the law). These laws must be approached through Christ to maintain proper motivation and content. </w:t>
      </w:r>
      <w:r w:rsidRPr="003053D6">
        <w:rPr>
          <w:rFonts w:ascii="Times New Roman" w:hAnsi="Times New Roman"/>
          <w:b/>
          <w:bCs/>
          <w:sz w:val="22"/>
        </w:rPr>
        <w:t>Two: Letter Versus Spirit</w:t>
      </w:r>
      <w:r w:rsidRPr="003053D6">
        <w:rPr>
          <w:rFonts w:ascii="Times New Roman" w:hAnsi="Times New Roman"/>
          <w:sz w:val="22"/>
        </w:rPr>
        <w:t>. Ethical conduct is not dictated by rigid applications of laws but by the Holy Spirit, who teaches through examples rather than step-by-step instructions. Key principles for the apostles included the example of Christ, the law of love, and God</w:t>
      </w:r>
      <w:r w:rsidR="001D6B90" w:rsidRPr="003053D6">
        <w:rPr>
          <w:rFonts w:ascii="Times New Roman" w:hAnsi="Times New Roman"/>
          <w:sz w:val="22"/>
        </w:rPr>
        <w:t>’</w:t>
      </w:r>
      <w:r w:rsidRPr="003053D6">
        <w:rPr>
          <w:rFonts w:ascii="Times New Roman" w:hAnsi="Times New Roman"/>
          <w:sz w:val="22"/>
        </w:rPr>
        <w:t xml:space="preserve">s intention to unify all things in Christ. </w:t>
      </w:r>
      <w:r w:rsidRPr="003053D6">
        <w:rPr>
          <w:rFonts w:ascii="Times New Roman" w:hAnsi="Times New Roman"/>
          <w:b/>
          <w:bCs/>
          <w:sz w:val="22"/>
        </w:rPr>
        <w:t>Three: New Rules for New Times?</w:t>
      </w:r>
      <w:r w:rsidRPr="003053D6">
        <w:rPr>
          <w:rFonts w:ascii="Times New Roman" w:hAnsi="Times New Roman"/>
          <w:sz w:val="22"/>
        </w:rPr>
        <w:t xml:space="preserve"> Clowney acknowledges that while biblical norms evolved from the Old Testament to the New Testament, there are questions about the continuation of progressive moral revelation. Understanding these requires a redemptive-historical perspective. </w:t>
      </w:r>
      <w:r w:rsidR="001D6B90" w:rsidRPr="003053D6">
        <w:rPr>
          <w:rFonts w:ascii="Times New Roman" w:hAnsi="Times New Roman"/>
          <w:b/>
          <w:bCs/>
          <w:sz w:val="22"/>
        </w:rPr>
        <w:t>“</w:t>
      </w:r>
      <w:r w:rsidRPr="003053D6">
        <w:rPr>
          <w:rFonts w:ascii="Times New Roman" w:hAnsi="Times New Roman"/>
          <w:b/>
          <w:bCs/>
          <w:sz w:val="22"/>
        </w:rPr>
        <w:t xml:space="preserve">On Whom the </w:t>
      </w:r>
      <w:r w:rsidRPr="003053D6">
        <w:rPr>
          <w:rFonts w:ascii="Times New Roman" w:hAnsi="Times New Roman"/>
          <w:b/>
          <w:bCs/>
          <w:sz w:val="22"/>
        </w:rPr>
        <w:lastRenderedPageBreak/>
        <w:t>Ends of the Ages Have Come</w:t>
      </w:r>
      <w:r w:rsidR="001D6B90" w:rsidRPr="003053D6">
        <w:rPr>
          <w:rFonts w:ascii="Times New Roman" w:hAnsi="Times New Roman"/>
          <w:b/>
          <w:bCs/>
          <w:sz w:val="22"/>
        </w:rPr>
        <w:t>”</w:t>
      </w:r>
      <w:r w:rsidRPr="003053D6">
        <w:rPr>
          <w:rFonts w:ascii="Times New Roman" w:hAnsi="Times New Roman"/>
          <w:b/>
          <w:bCs/>
          <w:sz w:val="22"/>
        </w:rPr>
        <w:t xml:space="preserve">: Ethics and Redemptive History. </w:t>
      </w:r>
      <w:r w:rsidRPr="003053D6">
        <w:rPr>
          <w:rFonts w:ascii="Times New Roman" w:hAnsi="Times New Roman"/>
          <w:sz w:val="22"/>
        </w:rPr>
        <w:t xml:space="preserve">Clowney insists that revelational history serves as moral paradigms, providing motivation, examples, and existential grounding. The key is Christ, whose life and teachings guide us. While the New Testament contains situational applications of principles, the overarching story of redemption informs how we live today. For example, the gradual transformation of life within existing social structures like slavery demonstrates the application of Christian principles over time, changing hearts rather than directly altering structures. </w:t>
      </w:r>
      <w:r w:rsidR="001D6B90" w:rsidRPr="003053D6">
        <w:rPr>
          <w:rFonts w:ascii="Times New Roman" w:hAnsi="Times New Roman"/>
          <w:b/>
          <w:bCs/>
          <w:sz w:val="22"/>
        </w:rPr>
        <w:t>“</w:t>
      </w:r>
      <w:r w:rsidRPr="003053D6">
        <w:rPr>
          <w:rFonts w:ascii="Times New Roman" w:hAnsi="Times New Roman"/>
          <w:b/>
          <w:bCs/>
          <w:sz w:val="22"/>
        </w:rPr>
        <w:t>I Am Your God; You Are My People</w:t>
      </w:r>
      <w:r w:rsidR="001D6B90" w:rsidRPr="003053D6">
        <w:rPr>
          <w:rFonts w:ascii="Times New Roman" w:hAnsi="Times New Roman"/>
          <w:b/>
          <w:bCs/>
          <w:sz w:val="22"/>
        </w:rPr>
        <w:t>”</w:t>
      </w:r>
      <w:r w:rsidRPr="003053D6">
        <w:rPr>
          <w:rFonts w:ascii="Times New Roman" w:hAnsi="Times New Roman"/>
          <w:b/>
          <w:bCs/>
          <w:sz w:val="22"/>
        </w:rPr>
        <w:t xml:space="preserve">: Covenantal Ethics. </w:t>
      </w:r>
      <w:r w:rsidRPr="003053D6">
        <w:rPr>
          <w:rFonts w:ascii="Times New Roman" w:hAnsi="Times New Roman"/>
          <w:sz w:val="22"/>
        </w:rPr>
        <w:t>Beyond goals and commandments, God desires a covenantal relationship with His people, calling for us to glorify and enjoy Him forever. The personal character of Christianity and the Bible provides the motivation for ethical living. This relationship-based approach moves beyond cold legalism, calling us to live in the light of God</w:t>
      </w:r>
      <w:r w:rsidR="001D6B90" w:rsidRPr="003053D6">
        <w:rPr>
          <w:rFonts w:ascii="Times New Roman" w:hAnsi="Times New Roman"/>
          <w:sz w:val="22"/>
        </w:rPr>
        <w:t>’</w:t>
      </w:r>
      <w:r w:rsidRPr="003053D6">
        <w:rPr>
          <w:rFonts w:ascii="Times New Roman" w:hAnsi="Times New Roman"/>
          <w:sz w:val="22"/>
        </w:rPr>
        <w:t xml:space="preserve">s love and presence. The Spirit of God transforms us into new creations, driving us to ask, </w:t>
      </w:r>
      <w:r w:rsidR="001D6B90" w:rsidRPr="003053D6">
        <w:rPr>
          <w:rFonts w:ascii="Times New Roman" w:hAnsi="Times New Roman"/>
          <w:sz w:val="22"/>
        </w:rPr>
        <w:t>“</w:t>
      </w:r>
      <w:r w:rsidRPr="003053D6">
        <w:rPr>
          <w:rFonts w:ascii="Times New Roman" w:hAnsi="Times New Roman"/>
          <w:sz w:val="22"/>
        </w:rPr>
        <w:t>Who is the Lord, how has He loved us, to what does His presence call us, what sorts of persons are we and should we be because we are in Christ, and how, in that light, should we live?</w:t>
      </w:r>
      <w:r w:rsidR="001D6B90" w:rsidRPr="003053D6">
        <w:rPr>
          <w:rFonts w:ascii="Times New Roman" w:hAnsi="Times New Roman"/>
          <w:sz w:val="22"/>
        </w:rPr>
        <w:t>”</w:t>
      </w:r>
      <w:r w:rsidRPr="003053D6">
        <w:rPr>
          <w:rFonts w:ascii="Times New Roman" w:hAnsi="Times New Roman"/>
          <w:sz w:val="22"/>
        </w:rPr>
        <w:t xml:space="preserve"> Clowney concludes that ethical living is shaped by understanding biblical laws through the lens of redemptive history and covenantal relationship. This perspective gives us the framework to explore and apply biblical teachings in our lives.</w:t>
      </w:r>
    </w:p>
    <w:p w:rsidR="00F25ED9" w:rsidRPr="003053D6" w:rsidRDefault="00F25ED9" w:rsidP="00F25ED9">
      <w:pPr>
        <w:jc w:val="both"/>
        <w:rPr>
          <w:b/>
          <w:bCs/>
          <w:sz w:val="24"/>
        </w:rPr>
      </w:pPr>
    </w:p>
    <w:p w:rsidR="00F25ED9" w:rsidRPr="003053D6" w:rsidRDefault="00F25ED9" w:rsidP="00F25ED9">
      <w:pPr>
        <w:jc w:val="both"/>
        <w:rPr>
          <w:b/>
          <w:bCs/>
          <w:sz w:val="24"/>
        </w:rPr>
      </w:pPr>
      <w:r w:rsidRPr="003053D6">
        <w:rPr>
          <w:rFonts w:ascii="Times New Roman" w:hAnsi="Times New Roman"/>
          <w:b/>
          <w:bCs/>
          <w:sz w:val="22"/>
        </w:rPr>
        <w:t>13. Bible Authority: When Christians Do Not Agree - George C. Fuller and Samuel T. Logan Jr.</w:t>
      </w:r>
    </w:p>
    <w:p w:rsidR="00F25ED9" w:rsidRPr="003053D6" w:rsidRDefault="00F25ED9" w:rsidP="00F25ED9">
      <w:pPr>
        <w:jc w:val="both"/>
        <w:rPr>
          <w:sz w:val="24"/>
        </w:rPr>
      </w:pPr>
      <w:r w:rsidRPr="003053D6">
        <w:rPr>
          <w:rFonts w:ascii="Times New Roman" w:hAnsi="Times New Roman"/>
          <w:sz w:val="22"/>
        </w:rPr>
        <w:t xml:space="preserve">George C. Fuller and Samuel T. Logan Jr. tackle the implications of differing views on biblical authority among Christians, emphasizing how these stances should not determine Christian identity. They argue that, logically, Christians must affirm the authority of the Bible, yet some seek to affirm their faith while denying inerrancy. This inconsistency arises from wrong presuppositions or borrowing capital from the Christian tradition. The chapter warns against two temptations: viewing those who differ on Scripture as non-Christian and glossing over the inconsistency of affirming the incarnate Word while denying the written Word. </w:t>
      </w:r>
      <w:r w:rsidRPr="003053D6">
        <w:rPr>
          <w:rFonts w:ascii="Times New Roman" w:hAnsi="Times New Roman"/>
          <w:b/>
          <w:bCs/>
          <w:sz w:val="22"/>
        </w:rPr>
        <w:t xml:space="preserve">The View from the Extremes. </w:t>
      </w:r>
      <w:r w:rsidRPr="003053D6">
        <w:rPr>
          <w:rFonts w:ascii="Times New Roman" w:hAnsi="Times New Roman"/>
          <w:sz w:val="22"/>
        </w:rPr>
        <w:t xml:space="preserve">The spectrum of beliefs ranges from liberal/radical to conservative/fundamentalist, with mutual suspicion often characterizing interactions. On the left, the Bible is seen as just another book, while on the right, it is inerrant, with no further discussion needed. </w:t>
      </w:r>
      <w:r w:rsidRPr="003053D6">
        <w:rPr>
          <w:rFonts w:ascii="Times New Roman" w:hAnsi="Times New Roman"/>
          <w:b/>
          <w:bCs/>
          <w:sz w:val="22"/>
        </w:rPr>
        <w:t xml:space="preserve">Discontinuity in the Spectrum. </w:t>
      </w:r>
      <w:r w:rsidRPr="003053D6">
        <w:rPr>
          <w:rFonts w:ascii="Times New Roman" w:hAnsi="Times New Roman"/>
          <w:sz w:val="22"/>
        </w:rPr>
        <w:t xml:space="preserve">A critical question is where the gospel disappears on this spectrum. Typically, individuals place this point just to their left. Others ask where the gospel is distorted by sterility and pharisaic impotence, typically placing this point just to their right. </w:t>
      </w:r>
      <w:r w:rsidRPr="003053D6">
        <w:rPr>
          <w:rFonts w:ascii="Times New Roman" w:hAnsi="Times New Roman"/>
          <w:b/>
          <w:bCs/>
          <w:sz w:val="22"/>
        </w:rPr>
        <w:t xml:space="preserve">Life on the Spectrum. </w:t>
      </w:r>
      <w:r w:rsidRPr="003053D6">
        <w:rPr>
          <w:rFonts w:ascii="Times New Roman" w:hAnsi="Times New Roman"/>
          <w:sz w:val="22"/>
        </w:rPr>
        <w:t xml:space="preserve">Those on the left may emphasize shared fellowship in Christ, while those on the right stress the good and sufficient reasons for their view on Scripture. Regardless of stance, both sides should expect and engage with challenges and criticism. </w:t>
      </w:r>
      <w:r w:rsidRPr="003053D6">
        <w:rPr>
          <w:rFonts w:ascii="Times New Roman" w:hAnsi="Times New Roman"/>
          <w:b/>
          <w:bCs/>
          <w:sz w:val="22"/>
        </w:rPr>
        <w:t xml:space="preserve">Proper Response to Challenge. </w:t>
      </w:r>
      <w:r w:rsidRPr="003053D6">
        <w:rPr>
          <w:rFonts w:ascii="Times New Roman" w:hAnsi="Times New Roman"/>
          <w:sz w:val="22"/>
        </w:rPr>
        <w:t xml:space="preserve">Effective communication with those holding different views on biblical authority necessitates dialogue rather than throwing epithets. Christians should </w:t>
      </w:r>
      <w:r w:rsidR="001D6B90" w:rsidRPr="003053D6">
        <w:rPr>
          <w:rFonts w:ascii="Times New Roman" w:hAnsi="Times New Roman"/>
          <w:sz w:val="22"/>
        </w:rPr>
        <w:t>“</w:t>
      </w:r>
      <w:r w:rsidRPr="003053D6">
        <w:rPr>
          <w:rFonts w:ascii="Times New Roman" w:hAnsi="Times New Roman"/>
          <w:sz w:val="22"/>
        </w:rPr>
        <w:t>walk in each other</w:t>
      </w:r>
      <w:r w:rsidR="001D6B90" w:rsidRPr="003053D6">
        <w:rPr>
          <w:rFonts w:ascii="Times New Roman" w:hAnsi="Times New Roman"/>
          <w:sz w:val="22"/>
        </w:rPr>
        <w:t>’</w:t>
      </w:r>
      <w:r w:rsidRPr="003053D6">
        <w:rPr>
          <w:rFonts w:ascii="Times New Roman" w:hAnsi="Times New Roman"/>
          <w:sz w:val="22"/>
        </w:rPr>
        <w:t>s shoes</w:t>
      </w:r>
      <w:r w:rsidR="001D6B90" w:rsidRPr="003053D6">
        <w:rPr>
          <w:rFonts w:ascii="Times New Roman" w:hAnsi="Times New Roman"/>
          <w:sz w:val="22"/>
        </w:rPr>
        <w:t>”</w:t>
      </w:r>
      <w:r w:rsidRPr="003053D6">
        <w:rPr>
          <w:rFonts w:ascii="Times New Roman" w:hAnsi="Times New Roman"/>
          <w:sz w:val="22"/>
        </w:rPr>
        <w:t xml:space="preserve"> to better understand different perspectives. </w:t>
      </w:r>
      <w:r w:rsidRPr="003053D6">
        <w:rPr>
          <w:rFonts w:ascii="Times New Roman" w:hAnsi="Times New Roman"/>
          <w:b/>
          <w:bCs/>
          <w:sz w:val="22"/>
        </w:rPr>
        <w:t xml:space="preserve">Issuing Challenges Properly. </w:t>
      </w:r>
      <w:r w:rsidRPr="003053D6">
        <w:rPr>
          <w:rFonts w:ascii="Times New Roman" w:hAnsi="Times New Roman"/>
          <w:sz w:val="22"/>
        </w:rPr>
        <w:t>When the written and incarnate Word are separated, a critical yet gracious response is necessary. There</w:t>
      </w:r>
      <w:r w:rsidR="001D6B90" w:rsidRPr="003053D6">
        <w:rPr>
          <w:rFonts w:ascii="Times New Roman" w:hAnsi="Times New Roman"/>
          <w:sz w:val="22"/>
        </w:rPr>
        <w:t>’</w:t>
      </w:r>
      <w:r w:rsidRPr="003053D6">
        <w:rPr>
          <w:rFonts w:ascii="Times New Roman" w:hAnsi="Times New Roman"/>
          <w:sz w:val="22"/>
        </w:rPr>
        <w:t xml:space="preserve">s a gap or chasm, and those on the other side should be treated with the hope that they might recognize their error. Extremes include pietism, which bases doctrines on human </w:t>
      </w:r>
      <w:r w:rsidRPr="003053D6">
        <w:rPr>
          <w:rFonts w:ascii="Times New Roman" w:hAnsi="Times New Roman"/>
          <w:i/>
          <w:iCs/>
          <w:sz w:val="22"/>
        </w:rPr>
        <w:t>experience</w:t>
      </w:r>
      <w:r w:rsidRPr="003053D6">
        <w:rPr>
          <w:rFonts w:ascii="Times New Roman" w:hAnsi="Times New Roman"/>
          <w:sz w:val="22"/>
        </w:rPr>
        <w:t xml:space="preserve"> rather than God, and humanism, which bases doctrines on human </w:t>
      </w:r>
      <w:r w:rsidRPr="003053D6">
        <w:rPr>
          <w:rFonts w:ascii="Times New Roman" w:hAnsi="Times New Roman"/>
          <w:i/>
          <w:iCs/>
          <w:sz w:val="22"/>
        </w:rPr>
        <w:t>reason</w:t>
      </w:r>
      <w:r w:rsidRPr="003053D6">
        <w:rPr>
          <w:rFonts w:ascii="Times New Roman" w:hAnsi="Times New Roman"/>
          <w:sz w:val="22"/>
        </w:rPr>
        <w:t xml:space="preserve">, with God no longer as the ultimate authority. Responses should be courteous, examining whether the difference is merely interpretative or represents a fundamental crossing of the gap. </w:t>
      </w:r>
      <w:r w:rsidRPr="003053D6">
        <w:rPr>
          <w:rFonts w:ascii="Times New Roman" w:hAnsi="Times New Roman"/>
          <w:b/>
          <w:bCs/>
          <w:sz w:val="22"/>
        </w:rPr>
        <w:t xml:space="preserve">Proper Outlook Toward Others. </w:t>
      </w:r>
      <w:r w:rsidRPr="003053D6">
        <w:rPr>
          <w:rFonts w:ascii="Times New Roman" w:hAnsi="Times New Roman"/>
          <w:sz w:val="22"/>
        </w:rPr>
        <w:t xml:space="preserve">Christians should treat others as they wish to be treated, challenging them </w:t>
      </w:r>
      <w:r w:rsidRPr="003053D6">
        <w:rPr>
          <w:rFonts w:ascii="Times New Roman" w:hAnsi="Times New Roman"/>
          <w:i/>
          <w:iCs/>
          <w:sz w:val="22"/>
        </w:rPr>
        <w:t>graciously and firmly</w:t>
      </w:r>
      <w:r w:rsidRPr="003053D6">
        <w:rPr>
          <w:rFonts w:ascii="Times New Roman" w:hAnsi="Times New Roman"/>
          <w:sz w:val="22"/>
        </w:rPr>
        <w:t xml:space="preserve"> but avoiding labeling them as non-Christians. All should be regarded </w:t>
      </w:r>
      <w:r w:rsidRPr="003053D6">
        <w:rPr>
          <w:rFonts w:ascii="Times New Roman" w:hAnsi="Times New Roman"/>
          <w:sz w:val="22"/>
        </w:rPr>
        <w:lastRenderedPageBreak/>
        <w:t>as fellow Christians, yet they must be gently challenged on their views to foster mutual understanding and growth in faith.</w:t>
      </w:r>
    </w:p>
    <w:p w:rsidR="00F25ED9" w:rsidRPr="003053D6" w:rsidRDefault="00F25ED9" w:rsidP="00F25ED9">
      <w:pPr>
        <w:jc w:val="both"/>
        <w:rPr>
          <w:sz w:val="24"/>
        </w:rPr>
      </w:pPr>
    </w:p>
    <w:p w:rsidR="00F25ED9" w:rsidRPr="003053D6" w:rsidRDefault="00F25ED9" w:rsidP="00F25ED9">
      <w:pPr>
        <w:jc w:val="both"/>
        <w:rPr>
          <w:b/>
          <w:bCs/>
          <w:sz w:val="24"/>
        </w:rPr>
      </w:pPr>
      <w:r w:rsidRPr="003053D6">
        <w:rPr>
          <w:rFonts w:ascii="Times New Roman" w:hAnsi="Times New Roman"/>
          <w:b/>
          <w:bCs/>
          <w:sz w:val="22"/>
        </w:rPr>
        <w:t xml:space="preserve">14. Evangelicals and the Bible: </w:t>
      </w:r>
      <w:r w:rsidRPr="003053D6">
        <w:rPr>
          <w:rFonts w:ascii="Times New Roman" w:hAnsi="Times New Roman"/>
          <w:b/>
          <w:bCs/>
          <w:i/>
          <w:iCs/>
          <w:sz w:val="22"/>
        </w:rPr>
        <w:t>A Bibliographic Postscript</w:t>
      </w:r>
      <w:r w:rsidRPr="003053D6">
        <w:rPr>
          <w:rFonts w:ascii="Times New Roman" w:hAnsi="Times New Roman"/>
          <w:b/>
          <w:bCs/>
          <w:sz w:val="22"/>
        </w:rPr>
        <w:t xml:space="preserve"> -John R. Meuther</w:t>
      </w:r>
    </w:p>
    <w:p w:rsidR="00F25ED9" w:rsidRPr="003053D6" w:rsidRDefault="00F25ED9" w:rsidP="00F25ED9">
      <w:pPr>
        <w:jc w:val="both"/>
        <w:rPr>
          <w:sz w:val="24"/>
        </w:rPr>
      </w:pPr>
      <w:r w:rsidRPr="003053D6">
        <w:rPr>
          <w:rFonts w:ascii="Times New Roman" w:hAnsi="Times New Roman"/>
          <w:sz w:val="22"/>
        </w:rPr>
        <w:t>In the 1970s, evangelical discussions focused on inerrancy, while the 1980s shifted to hermeneutics. Recent challenges include the hermeneutics of liberation, feminism, and suspicion, which question traditional interpretations. Meuther raises the question of whether evangelicals can survive in a world of faith and criticism. Discussions will continue as evangelicals navigate new hermeneutical challenges and evolving cultural contexts.</w:t>
      </w:r>
    </w:p>
    <w:sectPr w:rsidR="00F25ED9" w:rsidRPr="003053D6">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ConH+</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Inerrancy and Hermeneutic</w:t>
      <w:tab/>
      <w:t>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B72E42"/>
    <w:multiLevelType w:val="hybridMultilevel"/>
    <w:tmpl w:val="EBDE3480"/>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B236C9"/>
    <w:multiLevelType w:val="hybridMultilevel"/>
    <w:tmpl w:val="80A81288"/>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5819940">
    <w:abstractNumId w:val="1"/>
  </w:num>
  <w:num w:numId="2" w16cid:durableId="1985042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ED9"/>
    <w:rsid w:val="00184AC6"/>
    <w:rsid w:val="001D6B90"/>
    <w:rsid w:val="00282F99"/>
    <w:rsid w:val="003053D6"/>
    <w:rsid w:val="00860593"/>
    <w:rsid w:val="00890227"/>
    <w:rsid w:val="00A57F40"/>
    <w:rsid w:val="00AA008D"/>
    <w:rsid w:val="00F042CB"/>
    <w:rsid w:val="00F25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E75B2F"/>
  <w15:chartTrackingRefBased/>
  <w15:docId w15:val="{B87E834D-1C6D-EF4D-AC37-C3DB7A733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5E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5348716">
      <w:bodyDiv w:val="1"/>
      <w:marLeft w:val="0"/>
      <w:marRight w:val="0"/>
      <w:marTop w:val="0"/>
      <w:marBottom w:val="0"/>
      <w:divBdr>
        <w:top w:val="none" w:sz="0" w:space="0" w:color="auto"/>
        <w:left w:val="none" w:sz="0" w:space="0" w:color="auto"/>
        <w:bottom w:val="none" w:sz="0" w:space="0" w:color="auto"/>
        <w:right w:val="none" w:sz="0" w:space="0" w:color="auto"/>
      </w:divBdr>
    </w:div>
    <w:div w:id="1926693652">
      <w:bodyDiv w:val="1"/>
      <w:marLeft w:val="0"/>
      <w:marRight w:val="0"/>
      <w:marTop w:val="0"/>
      <w:marBottom w:val="0"/>
      <w:divBdr>
        <w:top w:val="none" w:sz="0" w:space="0" w:color="auto"/>
        <w:left w:val="none" w:sz="0" w:space="0" w:color="auto"/>
        <w:bottom w:val="none" w:sz="0" w:space="0" w:color="auto"/>
        <w:right w:val="none" w:sz="0" w:space="0" w:color="auto"/>
      </w:divBdr>
    </w:div>
    <w:div w:id="196392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5573</Words>
  <Characters>31771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6</cp:revision>
  <dcterms:created xsi:type="dcterms:W3CDTF">2024-05-23T17:23:00Z</dcterms:created>
  <dcterms:modified xsi:type="dcterms:W3CDTF">2024-12-05T16:21:00Z</dcterms:modified>
</cp:coreProperties>
</file>