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326E8" w14:textId="77777777" w:rsidR="00D54116" w:rsidRPr="00684E24" w:rsidRDefault="00684E24" w:rsidP="00D54116">
      <w:pPr>
        <w:jc w:val="both"/>
        <w:rPr>
          <w:b/>
          <w:bCs/>
        </w:rPr>
      </w:pPr>
      <w:r w:rsidRPr="00684E24">
        <w:rPr>
          <w:rFonts w:ascii="Times New Roman" w:hAnsi="Times New Roman"/>
          <w:b/>
          <w:bCs/>
          <w:sz w:val="22"/>
        </w:rPr>
        <w:t>Modern Christian Thought: Volume II – The Twentieth Century</w:t>
      </w:r>
      <w:r>
        <w:rPr>
          <w:rFonts w:ascii="Times New Roman" w:hAnsi="Times New Roman"/>
          <w:b/>
          <w:bCs/>
          <w:sz w:val="22"/>
        </w:rPr>
        <w:t xml:space="preserve"> – Livingston and Fiorenza</w:t>
      </w:r>
    </w:p>
    <w:p w14:paraId="3118891E" w14:textId="77777777" w:rsidR="00D54116" w:rsidRPr="00D54116" w:rsidRDefault="00D54116" w:rsidP="00D54116">
      <w:pPr>
        <w:jc w:val="both"/>
        <w:rPr>
          <w:b/>
          <w:bCs/>
        </w:rPr>
      </w:pPr>
      <w:r w:rsidRPr="00D54116">
        <w:rPr>
          <w:rFonts w:ascii="Times New Roman" w:hAnsi="Times New Roman"/>
          <w:b/>
          <w:bCs/>
          <w:sz w:val="22"/>
        </w:rPr>
        <w:t>Ernst Troeltsch</w:t>
      </w:r>
    </w:p>
    <w:p w14:paraId="155120E3" w14:textId="77777777" w:rsidR="00D54116" w:rsidRDefault="00D54116" w:rsidP="00D54116">
      <w:pPr>
        <w:jc w:val="both"/>
      </w:pPr>
      <w:r>
        <w:rPr>
          <w:rFonts w:ascii="Times New Roman" w:hAnsi="Times New Roman"/>
          <w:sz w:val="22"/>
        </w:rPr>
        <w:t>Ernst Troeltsch was closely affiliated with scholars such as Wilhelm Bousset, Hermann Gunkel, Johannes Weiss, and William Wrede in Göttingen, all influenced by Albrecht Ritschl. Troeltsch's intellectual pursuits centered on historicism and the essence of Christianity, exploring how historical context profoundly affects religious beliefs and practices.</w:t>
      </w:r>
    </w:p>
    <w:p w14:paraId="646767E6" w14:textId="77777777" w:rsidR="00D54116" w:rsidRDefault="00D54116" w:rsidP="00D54116">
      <w:pPr>
        <w:jc w:val="both"/>
      </w:pPr>
      <w:r w:rsidRPr="00D54116">
        <w:rPr>
          <w:rFonts w:ascii="Times New Roman" w:hAnsi="Times New Roman"/>
          <w:b/>
          <w:bCs/>
          <w:sz w:val="22"/>
        </w:rPr>
        <w:t>Historicism, the Science of Religion, and Theology</w:t>
      </w:r>
      <w:r>
        <w:rPr>
          <w:rFonts w:ascii="Times New Roman" w:hAnsi="Times New Roman"/>
          <w:b/>
          <w:bCs/>
          <w:sz w:val="22"/>
        </w:rPr>
        <w:t xml:space="preserve">. </w:t>
      </w:r>
      <w:r>
        <w:rPr>
          <w:rFonts w:ascii="Times New Roman" w:hAnsi="Times New Roman"/>
          <w:sz w:val="22"/>
        </w:rPr>
        <w:t xml:space="preserve">Troeltsch was concerned with how norms and values can be upheld amid historical and cultural change. He primarily focused on historical theology and Christianity's claim to absoluteness. His approach to historicism included three central aspects: </w:t>
      </w:r>
    </w:p>
    <w:p w14:paraId="6E09CEAC" w14:textId="77777777" w:rsidR="00D54116" w:rsidRDefault="00D54116" w:rsidP="00D54116">
      <w:pPr>
        <w:pStyle w:val="ListParagraph"/>
        <w:numPr>
          <w:ilvl w:val="0"/>
          <w:numId w:val="2"/>
        </w:numPr>
        <w:jc w:val="both"/>
      </w:pPr>
      <w:r>
        <w:rPr>
          <w:rFonts w:ascii="Times New Roman" w:hAnsi="Times New Roman"/>
          <w:sz w:val="22"/>
        </w:rPr>
        <w:t>No historical event or tradition escapes historical-critical scrutiny.</w:t>
      </w:r>
    </w:p>
    <w:p w14:paraId="094AA0D0" w14:textId="77777777" w:rsidR="00D54116" w:rsidRDefault="00D54116" w:rsidP="00D54116">
      <w:pPr>
        <w:pStyle w:val="ListParagraph"/>
        <w:numPr>
          <w:ilvl w:val="0"/>
          <w:numId w:val="2"/>
        </w:numPr>
        <w:jc w:val="both"/>
      </w:pPr>
      <w:r>
        <w:rPr>
          <w:rFonts w:ascii="Times New Roman" w:hAnsi="Times New Roman"/>
          <w:sz w:val="22"/>
        </w:rPr>
        <w:t>While all events are unique, analogies between past and present events are necessary.</w:t>
      </w:r>
    </w:p>
    <w:p w14:paraId="0F07F680" w14:textId="77777777" w:rsidR="00D54116" w:rsidRDefault="00D54116" w:rsidP="00D54116">
      <w:pPr>
        <w:pStyle w:val="ListParagraph"/>
        <w:numPr>
          <w:ilvl w:val="0"/>
          <w:numId w:val="2"/>
        </w:numPr>
        <w:jc w:val="both"/>
      </w:pPr>
      <w:r>
        <w:rPr>
          <w:rFonts w:ascii="Times New Roman" w:hAnsi="Times New Roman"/>
          <w:sz w:val="22"/>
        </w:rPr>
        <w:t>The interconnection between faith and facts is not isolated; it must be comprehended within a broader historical framework. Troeltsch argued that despite relativism, meaningful values and comparative judgments remain possible.</w:t>
      </w:r>
    </w:p>
    <w:p w14:paraId="3F88430C" w14:textId="77777777" w:rsidR="00D54116" w:rsidRDefault="00D54116" w:rsidP="00D54116">
      <w:pPr>
        <w:jc w:val="both"/>
      </w:pPr>
    </w:p>
    <w:p w14:paraId="69810630" w14:textId="77777777" w:rsidR="00D54116" w:rsidRDefault="00D54116" w:rsidP="00D54116">
      <w:pPr>
        <w:jc w:val="both"/>
      </w:pPr>
      <w:r w:rsidRPr="00D54116">
        <w:rPr>
          <w:rFonts w:ascii="Times New Roman" w:hAnsi="Times New Roman"/>
          <w:b/>
          <w:bCs/>
          <w:sz w:val="22"/>
        </w:rPr>
        <w:t>The Absoluteness of Christianity</w:t>
      </w:r>
      <w:r>
        <w:rPr>
          <w:rFonts w:ascii="Times New Roman" w:hAnsi="Times New Roman"/>
          <w:b/>
          <w:bCs/>
          <w:sz w:val="22"/>
        </w:rPr>
        <w:t xml:space="preserve">. </w:t>
      </w:r>
      <w:r>
        <w:rPr>
          <w:rFonts w:ascii="Times New Roman" w:hAnsi="Times New Roman"/>
          <w:sz w:val="22"/>
        </w:rPr>
        <w:t>Troeltsch's views on Christianity's absoluteness were complex and evolved throughout his life. In "</w:t>
      </w:r>
      <w:r w:rsidRPr="00D54116">
        <w:rPr>
          <w:rFonts w:ascii="Times New Roman" w:hAnsi="Times New Roman"/>
          <w:i/>
          <w:iCs/>
          <w:sz w:val="22"/>
        </w:rPr>
        <w:t>Die Absolutheit</w:t>
      </w:r>
      <w:r>
        <w:rPr>
          <w:rFonts w:ascii="Times New Roman" w:hAnsi="Times New Roman"/>
          <w:sz w:val="22"/>
        </w:rPr>
        <w:t>" (1901), he described Christianity as the highest form of religious life as a matter of personal conviction. By the 1902 edition, he acknowledged that Christianity might be superseded and shouldn't be regarded as absolute or immutable. Later, he recognized inherent contradictions between global faiths and the cultural determinism of Christianity's historical development, yet asserted that spiritual power and truth accompanied this relativism.</w:t>
      </w:r>
    </w:p>
    <w:p w14:paraId="15D74FAF" w14:textId="77777777" w:rsidR="00D54116" w:rsidRDefault="00D54116" w:rsidP="00D54116">
      <w:pPr>
        <w:jc w:val="both"/>
      </w:pPr>
      <w:r w:rsidRPr="00D54116">
        <w:rPr>
          <w:rFonts w:ascii="Times New Roman" w:hAnsi="Times New Roman"/>
          <w:b/>
          <w:bCs/>
          <w:sz w:val="22"/>
        </w:rPr>
        <w:t>What Does "Essence of Christianity" Mean?</w:t>
      </w:r>
      <w:r>
        <w:rPr>
          <w:rFonts w:ascii="Times New Roman" w:hAnsi="Times New Roman"/>
          <w:b/>
          <w:bCs/>
          <w:sz w:val="22"/>
        </w:rPr>
        <w:t xml:space="preserve"> </w:t>
      </w:r>
      <w:r>
        <w:rPr>
          <w:rFonts w:ascii="Times New Roman" w:hAnsi="Times New Roman"/>
          <w:sz w:val="22"/>
        </w:rPr>
        <w:t>Troeltsch believed that understanding Christianity's essence required a historical-comparative study, extending beyond empirical history to a philosophy of history. He outlined three principles:</w:t>
      </w:r>
    </w:p>
    <w:p w14:paraId="0018A3CD" w14:textId="77777777" w:rsidR="00D54116" w:rsidRDefault="00D54116" w:rsidP="00D54116">
      <w:pPr>
        <w:pStyle w:val="ListParagraph"/>
        <w:numPr>
          <w:ilvl w:val="0"/>
          <w:numId w:val="5"/>
        </w:numPr>
        <w:jc w:val="both"/>
      </w:pPr>
      <w:r>
        <w:rPr>
          <w:rFonts w:ascii="Times New Roman" w:hAnsi="Times New Roman"/>
          <w:sz w:val="22"/>
        </w:rPr>
        <w:t>Criticism: The definition of essence involves both imaginative abstraction and ethical judgment.</w:t>
      </w:r>
    </w:p>
    <w:p w14:paraId="4C509DEE" w14:textId="77777777" w:rsidR="00D54116" w:rsidRDefault="00D54116" w:rsidP="00D54116">
      <w:pPr>
        <w:pStyle w:val="ListParagraph"/>
        <w:numPr>
          <w:ilvl w:val="0"/>
          <w:numId w:val="5"/>
        </w:numPr>
        <w:jc w:val="both"/>
      </w:pPr>
      <w:r>
        <w:rPr>
          <w:rFonts w:ascii="Times New Roman" w:hAnsi="Times New Roman"/>
          <w:sz w:val="22"/>
        </w:rPr>
        <w:t>Development: Christianity should be understood as a developing spiritual principle reflecting the entirety of its history, rather than a static doctrine.</w:t>
      </w:r>
    </w:p>
    <w:p w14:paraId="4BC77E9D" w14:textId="77777777" w:rsidR="00D54116" w:rsidRDefault="00D54116" w:rsidP="00D54116">
      <w:pPr>
        <w:pStyle w:val="ListParagraph"/>
        <w:numPr>
          <w:ilvl w:val="0"/>
          <w:numId w:val="5"/>
        </w:numPr>
        <w:jc w:val="both"/>
      </w:pPr>
      <w:r>
        <w:rPr>
          <w:rFonts w:ascii="Times New Roman" w:hAnsi="Times New Roman"/>
          <w:sz w:val="22"/>
        </w:rPr>
        <w:t>Ideal Concept: The essence must be considered in terms of future possibilities (what ought to be), with its determination seen as a creative act.</w:t>
      </w:r>
    </w:p>
    <w:p w14:paraId="3F513BA1" w14:textId="77777777" w:rsidR="00D54116" w:rsidRDefault="00D54116" w:rsidP="00D54116">
      <w:pPr>
        <w:jc w:val="both"/>
      </w:pPr>
      <w:r w:rsidRPr="00D54116">
        <w:rPr>
          <w:rFonts w:ascii="Times New Roman" w:hAnsi="Times New Roman"/>
          <w:b/>
          <w:bCs/>
          <w:sz w:val="22"/>
        </w:rPr>
        <w:t>The Historical Jesus, Faith, and Christology</w:t>
      </w:r>
      <w:r>
        <w:rPr>
          <w:rFonts w:ascii="Times New Roman" w:hAnsi="Times New Roman"/>
          <w:b/>
          <w:bCs/>
          <w:sz w:val="22"/>
        </w:rPr>
        <w:t xml:space="preserve">. </w:t>
      </w:r>
      <w:r>
        <w:rPr>
          <w:rFonts w:ascii="Times New Roman" w:hAnsi="Times New Roman"/>
          <w:sz w:val="22"/>
        </w:rPr>
        <w:t xml:space="preserve">Troeltsch developed his position regarding the </w:t>
      </w:r>
      <w:r w:rsidRPr="00D54116">
        <w:rPr>
          <w:rFonts w:ascii="Times New Roman" w:hAnsi="Times New Roman"/>
          <w:i/>
          <w:iCs/>
          <w:sz w:val="22"/>
        </w:rPr>
        <w:t>Historical Jesus</w:t>
      </w:r>
      <w:r>
        <w:rPr>
          <w:rFonts w:ascii="Times New Roman" w:hAnsi="Times New Roman"/>
          <w:sz w:val="22"/>
        </w:rPr>
        <w:t xml:space="preserve"> by responding to three contemporary theological approaches: traditional orthodoxy, Neo-Hegelians, and Ritschlians. He critiqued the reliance on biblical authority (1), freedom from historical contingencies (2), and the idea that the historical Jesus is essential and normative (3), arguing that he cannot be fully and clearly known and must not be known as an isolated historical fact, but also “through the community and the living effects by means of subsequent Christian personalities.” Troeltsch posited that faith interprets facts but does not establish them. Instead, he based Christianity's understanding of Jesus not on faith or historical accuracy alone but primarily on a universal law of social psychology. He viewed Jesus as the creator of Gospel symbols but more so as a symbol himself, representing God in Christ. Troeltsch rejected the Nicene and Chalcedonian claims as impossible doctrines in an age dominated by a historical way of thinking and argued that Jesus cannot be viewed as the exclusive final revelation of God.</w:t>
      </w:r>
    </w:p>
    <w:p w14:paraId="2A696D3A" w14:textId="77777777" w:rsidR="006951CF" w:rsidRDefault="006951CF" w:rsidP="00D54116">
      <w:pPr>
        <w:jc w:val="both"/>
      </w:pPr>
    </w:p>
    <w:p w14:paraId="29900677" w14:textId="77777777" w:rsidR="007061DD" w:rsidRDefault="007061DD">
      <w:pPr>
        <w:rPr>
          <w:b/>
          <w:bCs/>
        </w:rPr>
      </w:pPr>
      <w:r>
        <w:rPr>
          <w:rFonts w:ascii="Times New Roman" w:hAnsi="Times New Roman"/>
          <w:b/>
          <w:bCs/>
          <w:sz w:val="22"/>
        </w:rPr>
        <w:br w:type="page"/>
      </w:r>
    </w:p>
    <w:p w14:paraId="1554C625" w14:textId="77777777" w:rsidR="006951CF" w:rsidRPr="006951CF" w:rsidRDefault="006951CF" w:rsidP="006951CF">
      <w:pPr>
        <w:jc w:val="both"/>
        <w:rPr>
          <w:b/>
          <w:bCs/>
        </w:rPr>
      </w:pPr>
      <w:r w:rsidRPr="006951CF">
        <w:rPr>
          <w:rFonts w:ascii="Times New Roman" w:hAnsi="Times New Roman"/>
          <w:b/>
          <w:bCs/>
          <w:sz w:val="22"/>
        </w:rPr>
        <w:lastRenderedPageBreak/>
        <w:t>Radical Empiricism and Religion: William James</w:t>
      </w:r>
    </w:p>
    <w:p w14:paraId="704234C8" w14:textId="77777777" w:rsidR="006951CF" w:rsidRDefault="006951CF" w:rsidP="006951CF">
      <w:pPr>
        <w:jc w:val="both"/>
      </w:pPr>
      <w:r w:rsidRPr="006951CF">
        <w:rPr>
          <w:rFonts w:ascii="Times New Roman" w:hAnsi="Times New Roman"/>
          <w:b/>
          <w:bCs/>
          <w:sz w:val="22"/>
        </w:rPr>
        <w:t xml:space="preserve">Existential Crisis and Free Will. </w:t>
      </w:r>
      <w:r>
        <w:rPr>
          <w:rFonts w:ascii="Times New Roman" w:hAnsi="Times New Roman"/>
          <w:sz w:val="22"/>
        </w:rPr>
        <w:t xml:space="preserve">William James experienced an existential crisis, viewing humans as mere automatons in a closed mechanical world. He chose to assume for one year that free will is not an illusion, epitomized by his statement, "my first act of free will shall be to believe in free will," embodying the essence of pragmatism. </w:t>
      </w:r>
      <w:r w:rsidRPr="006951CF">
        <w:rPr>
          <w:rFonts w:ascii="Times New Roman" w:hAnsi="Times New Roman"/>
          <w:b/>
          <w:bCs/>
          <w:sz w:val="22"/>
        </w:rPr>
        <w:t>Experience, Pragmatism, and the "Will to Believe</w:t>
      </w:r>
      <w:r>
        <w:rPr>
          <w:rFonts w:ascii="Times New Roman" w:hAnsi="Times New Roman"/>
          <w:b/>
          <w:bCs/>
          <w:sz w:val="22"/>
        </w:rPr>
        <w:t>.</w:t>
      </w:r>
      <w:r w:rsidRPr="006951CF">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James argued that the will plays an actual role in believing. People respond to certain beliefs as </w:t>
      </w:r>
      <w:r w:rsidRPr="006951CF">
        <w:rPr>
          <w:rFonts w:ascii="Times New Roman" w:hAnsi="Times New Roman"/>
          <w:sz w:val="22"/>
        </w:rPr>
        <w:t>live or dead</w:t>
      </w:r>
      <w:r>
        <w:rPr>
          <w:rFonts w:ascii="Times New Roman" w:hAnsi="Times New Roman"/>
          <w:sz w:val="22"/>
        </w:rPr>
        <w:t xml:space="preserve"> (1), with live beliefs being appealing as real possibilities due to a pre-existing tendency to believe them. Decisions between hypotheses can be forced or avoidable (2), and beliefs may be trivial or momentous (3). Sometimes, faith in a fact can help create that fact, particularly in moral, religious, and existential truths. </w:t>
      </w:r>
      <w:r w:rsidRPr="006951CF">
        <w:rPr>
          <w:rFonts w:ascii="Times New Roman" w:hAnsi="Times New Roman"/>
          <w:b/>
          <w:bCs/>
          <w:sz w:val="22"/>
        </w:rPr>
        <w:t>Example</w:t>
      </w:r>
      <w:r>
        <w:rPr>
          <w:rFonts w:ascii="Times New Roman" w:hAnsi="Times New Roman"/>
          <w:b/>
          <w:bCs/>
          <w:sz w:val="22"/>
        </w:rPr>
        <w:t xml:space="preserve">. </w:t>
      </w:r>
      <w:r>
        <w:rPr>
          <w:rFonts w:ascii="Times New Roman" w:hAnsi="Times New Roman"/>
          <w:sz w:val="22"/>
        </w:rPr>
        <w:t xml:space="preserve">In religious hypotheses, the best things are the more eternal things, and believing this affirmation is beneficial. Assuming this hypothesis is a live one, it must be recognized as a momentous one due to the potential gain or loss of vital good and, therefore, as a forced option regarding that good. In such cases, when empirical evidence is lacking, personal beliefs and desires can permissibly influence decision-making. </w:t>
      </w:r>
      <w:r w:rsidRPr="006951CF">
        <w:rPr>
          <w:rFonts w:ascii="Times New Roman" w:hAnsi="Times New Roman"/>
          <w:b/>
          <w:bCs/>
          <w:sz w:val="22"/>
        </w:rPr>
        <w:t>The Varieties of Religious Experience: An Empirical Exploration</w:t>
      </w:r>
      <w:r>
        <w:rPr>
          <w:rFonts w:ascii="Times New Roman" w:hAnsi="Times New Roman"/>
          <w:b/>
          <w:bCs/>
          <w:sz w:val="22"/>
        </w:rPr>
        <w:t xml:space="preserve">. </w:t>
      </w:r>
      <w:r>
        <w:rPr>
          <w:rFonts w:ascii="Times New Roman" w:hAnsi="Times New Roman"/>
          <w:sz w:val="22"/>
        </w:rPr>
        <w:t xml:space="preserve">James asserted that what makes an experience religious is its </w:t>
      </w:r>
      <w:r w:rsidRPr="006951CF">
        <w:rPr>
          <w:rFonts w:ascii="Times New Roman" w:hAnsi="Times New Roman"/>
          <w:i/>
          <w:iCs/>
          <w:sz w:val="22"/>
        </w:rPr>
        <w:t>phenomenological</w:t>
      </w:r>
      <w:r>
        <w:rPr>
          <w:rFonts w:ascii="Times New Roman" w:hAnsi="Times New Roman"/>
          <w:sz w:val="22"/>
        </w:rPr>
        <w:t xml:space="preserve"> nature, not psychological aspects. He opposed reductionism, suggesting that medical materialism, like attributing Paul's vision to epilepsy, does not exhaustively explain phenomena. </w:t>
      </w:r>
      <w:r w:rsidRPr="006951CF">
        <w:rPr>
          <w:rFonts w:ascii="Times New Roman" w:hAnsi="Times New Roman"/>
          <w:b/>
          <w:bCs/>
          <w:sz w:val="22"/>
        </w:rPr>
        <w:t>Personal Dimensions Over Institutional Forms.</w:t>
      </w:r>
      <w:r>
        <w:rPr>
          <w:rFonts w:ascii="Times New Roman" w:hAnsi="Times New Roman"/>
          <w:b/>
          <w:bCs/>
          <w:sz w:val="22"/>
        </w:rPr>
        <w:t xml:space="preserve"> </w:t>
      </w:r>
      <w:r>
        <w:rPr>
          <w:rFonts w:ascii="Times New Roman" w:hAnsi="Times New Roman"/>
          <w:sz w:val="22"/>
        </w:rPr>
        <w:t xml:space="preserve">He focused on personal dimensions of religious experience rather than institutional religious expressions. </w:t>
      </w:r>
      <w:r w:rsidRPr="006951CF">
        <w:rPr>
          <w:rFonts w:ascii="Times New Roman" w:hAnsi="Times New Roman"/>
          <w:b/>
          <w:bCs/>
          <w:sz w:val="22"/>
        </w:rPr>
        <w:t>Healthy-Minded vs. Sick Soul.</w:t>
      </w:r>
      <w:r>
        <w:rPr>
          <w:rFonts w:ascii="Times New Roman" w:hAnsi="Times New Roman"/>
          <w:b/>
          <w:bCs/>
          <w:sz w:val="22"/>
        </w:rPr>
        <w:t xml:space="preserve"> </w:t>
      </w:r>
      <w:r>
        <w:rPr>
          <w:rFonts w:ascii="Times New Roman" w:hAnsi="Times New Roman"/>
          <w:sz w:val="22"/>
        </w:rPr>
        <w:t xml:space="preserve">In religious personalities, he distinguished between the healthy-minded, who are optimistic, and the sick soul, characterized by pessimism, noting that the former often have deeper communion with the Divine. </w:t>
      </w:r>
      <w:r w:rsidRPr="006951CF">
        <w:rPr>
          <w:rFonts w:ascii="Times New Roman" w:hAnsi="Times New Roman"/>
          <w:b/>
          <w:bCs/>
          <w:sz w:val="22"/>
        </w:rPr>
        <w:t>Conversion and Genuine Religious Life.</w:t>
      </w:r>
      <w:r>
        <w:rPr>
          <w:rFonts w:ascii="Times New Roman" w:hAnsi="Times New Roman"/>
          <w:b/>
          <w:bCs/>
          <w:sz w:val="22"/>
        </w:rPr>
        <w:t xml:space="preserve"> </w:t>
      </w:r>
      <w:r>
        <w:rPr>
          <w:rFonts w:ascii="Times New Roman" w:hAnsi="Times New Roman"/>
          <w:sz w:val="22"/>
        </w:rPr>
        <w:t>Conversion (transitioning from a sick soul into a healthy mind) is the process where the divided self gains unity, involving a change of interests, with some becoming central and others negligible, often occurring imperceptibly. Genuine religious life comprises a feeling of connection to a broader life beyond selfish interests and the existence of an Ideal power, a sense of continuity and self-surrender to this power, immense elation as self-boundaries dissolve, and an emotional shift towards loving, harmonious affections embracing "yes, yes" instead of "no," in relation to the non-ego's claims.</w:t>
      </w:r>
    </w:p>
    <w:p w14:paraId="36EFD777" w14:textId="77777777" w:rsidR="00684E24" w:rsidRDefault="00684E24" w:rsidP="006951CF">
      <w:pPr>
        <w:jc w:val="both"/>
      </w:pPr>
    </w:p>
    <w:p w14:paraId="2A29BEFB" w14:textId="77777777" w:rsidR="007061DD" w:rsidRDefault="007061DD">
      <w:pPr>
        <w:rPr>
          <w:b/>
          <w:bCs/>
        </w:rPr>
      </w:pPr>
      <w:r>
        <w:rPr>
          <w:rFonts w:ascii="Times New Roman" w:hAnsi="Times New Roman"/>
          <w:b/>
          <w:bCs/>
          <w:sz w:val="22"/>
        </w:rPr>
        <w:br w:type="page"/>
      </w:r>
    </w:p>
    <w:p w14:paraId="1E90795A" w14:textId="77777777" w:rsidR="00684E24" w:rsidRPr="00684E24" w:rsidRDefault="00684E24" w:rsidP="00684E24">
      <w:pPr>
        <w:jc w:val="both"/>
        <w:rPr>
          <w:b/>
          <w:bCs/>
        </w:rPr>
      </w:pPr>
      <w:r w:rsidRPr="00684E24">
        <w:rPr>
          <w:rFonts w:ascii="Times New Roman" w:hAnsi="Times New Roman"/>
          <w:b/>
          <w:bCs/>
          <w:sz w:val="22"/>
        </w:rPr>
        <w:lastRenderedPageBreak/>
        <w:t>American Empirical Theology: Douglas Clyde Macintosh</w:t>
      </w:r>
    </w:p>
    <w:p w14:paraId="278C4731" w14:textId="77777777" w:rsidR="00684E24" w:rsidRDefault="00684E24" w:rsidP="00684E24">
      <w:pPr>
        <w:jc w:val="both"/>
      </w:pPr>
      <w:r w:rsidRPr="00684E24">
        <w:rPr>
          <w:rFonts w:ascii="Times New Roman" w:hAnsi="Times New Roman"/>
          <w:b/>
          <w:bCs/>
          <w:sz w:val="22"/>
        </w:rPr>
        <w:t>Macintosh's Method</w:t>
      </w:r>
      <w:r>
        <w:rPr>
          <w:rFonts w:ascii="Times New Roman" w:hAnsi="Times New Roman"/>
          <w:b/>
          <w:bCs/>
          <w:sz w:val="22"/>
        </w:rPr>
        <w:t xml:space="preserve">: </w:t>
      </w:r>
      <w:r w:rsidRPr="00684E24">
        <w:rPr>
          <w:rFonts w:ascii="Times New Roman" w:hAnsi="Times New Roman"/>
          <w:b/>
          <w:bCs/>
          <w:sz w:val="22"/>
        </w:rPr>
        <w:t>Critical Monistic Realism</w:t>
      </w:r>
      <w:r>
        <w:rPr>
          <w:rFonts w:ascii="Times New Roman" w:hAnsi="Times New Roman"/>
          <w:sz w:val="22"/>
        </w:rPr>
        <w:t xml:space="preserve">. Douglas Clyde Macintosh developed a theological approach he called critical monistic realism. According to Macintosh, "revelation is the individual's perception of the religious value issuing in the right adjustment to the religious object or Divine Reality." He assumes that absolute and universal values exist and that humans can discern them, although he does not specify why these values are "apparently found in the personal life and character of Jesus." Macintosh assumes the Christian system of values to be universally normative when examining humanity's religious experience, essentially defending Christianity on radically empirical grounds. </w:t>
      </w:r>
      <w:r w:rsidRPr="00684E24">
        <w:rPr>
          <w:rFonts w:ascii="Times New Roman" w:hAnsi="Times New Roman"/>
          <w:b/>
          <w:bCs/>
          <w:sz w:val="22"/>
        </w:rPr>
        <w:t>The Right Human Religious Judgment</w:t>
      </w:r>
      <w:r>
        <w:rPr>
          <w:rFonts w:ascii="Times New Roman" w:hAnsi="Times New Roman"/>
          <w:b/>
          <w:bCs/>
          <w:sz w:val="22"/>
        </w:rPr>
        <w:t>.</w:t>
      </w:r>
      <w:r>
        <w:rPr>
          <w:rFonts w:ascii="Times New Roman" w:hAnsi="Times New Roman"/>
          <w:sz w:val="22"/>
        </w:rPr>
        <w:t xml:space="preserve"> Macintosh outlines that God's positive action is contingent upon certain human religious judgments: </w:t>
      </w:r>
    </w:p>
    <w:p w14:paraId="4B93DFF1" w14:textId="77777777" w:rsidR="00684E24" w:rsidRDefault="00684E24" w:rsidP="00684E24">
      <w:pPr>
        <w:pStyle w:val="ListParagraph"/>
        <w:numPr>
          <w:ilvl w:val="0"/>
          <w:numId w:val="7"/>
        </w:numPr>
        <w:jc w:val="both"/>
      </w:pPr>
      <w:r>
        <w:rPr>
          <w:rFonts w:ascii="Times New Roman" w:hAnsi="Times New Roman"/>
          <w:sz w:val="22"/>
        </w:rPr>
        <w:t>Concentration on God as the object of religious dependence and his moral ends.</w:t>
      </w:r>
    </w:p>
    <w:p w14:paraId="030302C9" w14:textId="77777777" w:rsidR="00684E24" w:rsidRDefault="00684E24" w:rsidP="00684E24">
      <w:pPr>
        <w:pStyle w:val="ListParagraph"/>
        <w:numPr>
          <w:ilvl w:val="0"/>
          <w:numId w:val="7"/>
        </w:numPr>
        <w:jc w:val="both"/>
      </w:pPr>
      <w:r>
        <w:rPr>
          <w:rFonts w:ascii="Times New Roman" w:hAnsi="Times New Roman"/>
          <w:sz w:val="22"/>
        </w:rPr>
        <w:t>Self-surrender to God and consecration to one's self towards morally desired ends.</w:t>
      </w:r>
    </w:p>
    <w:p w14:paraId="258E9184" w14:textId="77777777" w:rsidR="00684E24" w:rsidRDefault="00684E24" w:rsidP="00684E24">
      <w:pPr>
        <w:pStyle w:val="ListParagraph"/>
        <w:numPr>
          <w:ilvl w:val="0"/>
          <w:numId w:val="7"/>
        </w:numPr>
        <w:jc w:val="both"/>
      </w:pPr>
      <w:r>
        <w:rPr>
          <w:rFonts w:ascii="Times New Roman" w:hAnsi="Times New Roman"/>
          <w:sz w:val="22"/>
        </w:rPr>
        <w:t>Willed responsiveness to divine guidance.</w:t>
      </w:r>
    </w:p>
    <w:p w14:paraId="69714D25" w14:textId="77777777" w:rsidR="00684E24" w:rsidRDefault="00684E24" w:rsidP="00684E24">
      <w:pPr>
        <w:pStyle w:val="ListParagraph"/>
        <w:numPr>
          <w:ilvl w:val="0"/>
          <w:numId w:val="7"/>
        </w:numPr>
        <w:jc w:val="both"/>
      </w:pPr>
      <w:r>
        <w:rPr>
          <w:rFonts w:ascii="Times New Roman" w:hAnsi="Times New Roman"/>
          <w:sz w:val="22"/>
        </w:rPr>
        <w:t>Steady persistence in religious attitude.</w:t>
      </w:r>
    </w:p>
    <w:p w14:paraId="3AA96D44" w14:textId="77777777" w:rsidR="00684E24" w:rsidRDefault="00684E24" w:rsidP="00684E24">
      <w:pPr>
        <w:jc w:val="both"/>
      </w:pPr>
      <w:r w:rsidRPr="00684E24">
        <w:rPr>
          <w:rFonts w:ascii="Times New Roman" w:hAnsi="Times New Roman"/>
          <w:b/>
          <w:bCs/>
          <w:sz w:val="22"/>
        </w:rPr>
        <w:t>Blindspot</w:t>
      </w:r>
      <w:r>
        <w:rPr>
          <w:rFonts w:ascii="Times New Roman" w:hAnsi="Times New Roman"/>
          <w:b/>
          <w:bCs/>
          <w:sz w:val="22"/>
        </w:rPr>
        <w:t xml:space="preserve">. </w:t>
      </w:r>
      <w:r>
        <w:rPr>
          <w:rFonts w:ascii="Times New Roman" w:hAnsi="Times New Roman"/>
          <w:sz w:val="22"/>
        </w:rPr>
        <w:t xml:space="preserve">A critique of Macintosh's method is questioning how he knows whether religious experience and derived laws are from God (i.e., external) or simply descriptions of the inner workings of the human psyche. </w:t>
      </w:r>
      <w:r w:rsidRPr="00684E24">
        <w:rPr>
          <w:rFonts w:ascii="Times New Roman" w:hAnsi="Times New Roman"/>
          <w:b/>
          <w:bCs/>
          <w:sz w:val="22"/>
        </w:rPr>
        <w:t>Normative Theology and Christian Belief</w:t>
      </w:r>
      <w:r>
        <w:rPr>
          <w:rFonts w:ascii="Times New Roman" w:hAnsi="Times New Roman"/>
          <w:b/>
          <w:bCs/>
          <w:sz w:val="22"/>
        </w:rPr>
        <w:t>.</w:t>
      </w:r>
      <w:r>
        <w:rPr>
          <w:rFonts w:ascii="Times New Roman" w:hAnsi="Times New Roman"/>
          <w:sz w:val="22"/>
        </w:rPr>
        <w:t xml:space="preserve"> Macintosh describes </w:t>
      </w:r>
      <w:r w:rsidRPr="00684E24">
        <w:rPr>
          <w:rFonts w:ascii="Times New Roman" w:hAnsi="Times New Roman"/>
          <w:i/>
          <w:iCs/>
          <w:sz w:val="22"/>
        </w:rPr>
        <w:t>scientific theology</w:t>
      </w:r>
      <w:r>
        <w:rPr>
          <w:rFonts w:ascii="Times New Roman" w:hAnsi="Times New Roman"/>
          <w:sz w:val="22"/>
        </w:rPr>
        <w:t xml:space="preserve"> as based on perceptual intuitions, while </w:t>
      </w:r>
      <w:r w:rsidRPr="00684E24">
        <w:rPr>
          <w:rFonts w:ascii="Times New Roman" w:hAnsi="Times New Roman"/>
          <w:i/>
          <w:iCs/>
          <w:sz w:val="22"/>
        </w:rPr>
        <w:t>normative theology</w:t>
      </w:r>
      <w:r>
        <w:rPr>
          <w:rFonts w:ascii="Times New Roman" w:hAnsi="Times New Roman"/>
          <w:sz w:val="22"/>
        </w:rPr>
        <w:t xml:space="preserve"> relies on strong subjective convictions about God's nature, which transcend empirical experiences. In defense, similar to William James, he argues that "we have the right to believe that those theological doctrines are true which are necessary for the maintenance of the highest well-being of humanity," if they appear reasonable to us. </w:t>
      </w:r>
      <w:r w:rsidRPr="00684E24">
        <w:rPr>
          <w:rFonts w:ascii="Times New Roman" w:hAnsi="Times New Roman"/>
          <w:b/>
          <w:bCs/>
          <w:sz w:val="22"/>
        </w:rPr>
        <w:t>Universal Applications.</w:t>
      </w:r>
      <w:r>
        <w:rPr>
          <w:rFonts w:ascii="Times New Roman" w:hAnsi="Times New Roman"/>
          <w:b/>
          <w:bCs/>
          <w:sz w:val="22"/>
        </w:rPr>
        <w:t xml:space="preserve"> </w:t>
      </w:r>
      <w:r>
        <w:rPr>
          <w:rFonts w:ascii="Times New Roman" w:hAnsi="Times New Roman"/>
          <w:sz w:val="22"/>
        </w:rPr>
        <w:t xml:space="preserve">His theology emphasizes the action and being of God in both empirical and normative discussions and insists it must be universal (e.g., knowledge of God, not of Christ) and not tied to a specific historical revelation. Despite this, Jesus remains important for his psychological and pedagogical value in Christian upbringing and is seen as logically indispensable for religious conduct. Within experimental religion, the most normative revelation of the divine is apparently found in the personal life and character of Jesus. Although radical in his method Macintosh was often evangelical in spirit and in his defense of several traditional Christian doctrines. </w:t>
      </w:r>
      <w:r w:rsidRPr="00684E24">
        <w:rPr>
          <w:rFonts w:ascii="Times New Roman" w:hAnsi="Times New Roman"/>
          <w:b/>
          <w:bCs/>
          <w:sz w:val="22"/>
        </w:rPr>
        <w:t>Concept of Atonement</w:t>
      </w:r>
      <w:r>
        <w:rPr>
          <w:rFonts w:ascii="Times New Roman" w:hAnsi="Times New Roman"/>
          <w:b/>
          <w:bCs/>
          <w:sz w:val="22"/>
        </w:rPr>
        <w:t>.</w:t>
      </w:r>
      <w:r>
        <w:rPr>
          <w:rFonts w:ascii="Times New Roman" w:hAnsi="Times New Roman"/>
          <w:sz w:val="22"/>
        </w:rPr>
        <w:t xml:space="preserve"> Macintosh's concept of atonement is not the orthodox substitutionary, objective, or individualistic one. Instead, he views it as embodying universal brotherhood, seeing it as an ideal for the future rather than a fact of past history. </w:t>
      </w:r>
    </w:p>
    <w:p w14:paraId="10D1A7F7" w14:textId="77777777" w:rsidR="00CF2D87" w:rsidRDefault="00CF2D87" w:rsidP="00684E24">
      <w:pPr>
        <w:jc w:val="both"/>
      </w:pPr>
    </w:p>
    <w:p w14:paraId="56257589" w14:textId="77777777" w:rsidR="007061DD" w:rsidRDefault="007061DD">
      <w:pPr>
        <w:rPr>
          <w:b/>
          <w:bCs/>
        </w:rPr>
      </w:pPr>
      <w:r>
        <w:rPr>
          <w:rFonts w:ascii="Times New Roman" w:hAnsi="Times New Roman"/>
          <w:b/>
          <w:bCs/>
          <w:sz w:val="22"/>
        </w:rPr>
        <w:br w:type="page"/>
      </w:r>
    </w:p>
    <w:p w14:paraId="761AFB8F" w14:textId="77777777" w:rsidR="00CF2D87" w:rsidRPr="00CF2D87" w:rsidRDefault="00CF2D87" w:rsidP="00CF2D87">
      <w:pPr>
        <w:jc w:val="both"/>
        <w:rPr>
          <w:b/>
          <w:bCs/>
        </w:rPr>
      </w:pPr>
      <w:r w:rsidRPr="00CF2D87">
        <w:rPr>
          <w:rFonts w:ascii="Times New Roman" w:hAnsi="Times New Roman"/>
          <w:b/>
          <w:bCs/>
          <w:sz w:val="22"/>
        </w:rPr>
        <w:lastRenderedPageBreak/>
        <w:t>Henry Nelson Wieman</w:t>
      </w:r>
    </w:p>
    <w:p w14:paraId="04318148" w14:textId="77777777" w:rsidR="00CF2D87" w:rsidRDefault="00CF2D87" w:rsidP="00CF2D87">
      <w:pPr>
        <w:jc w:val="both"/>
      </w:pPr>
      <w:r w:rsidRPr="00CF2D87">
        <w:rPr>
          <w:rFonts w:ascii="Times New Roman" w:hAnsi="Times New Roman"/>
          <w:b/>
          <w:bCs/>
          <w:sz w:val="22"/>
        </w:rPr>
        <w:t>Critique of Christian Theological Tradition</w:t>
      </w:r>
      <w:r>
        <w:rPr>
          <w:rFonts w:ascii="Times New Roman" w:hAnsi="Times New Roman"/>
          <w:sz w:val="22"/>
        </w:rPr>
        <w:t xml:space="preserve"> Henry Nelson Wieman argued that the Christian theological tradition is inadequate as a guide for humanity. He believed that scientific inquiry, rather than tradition, should be the constructive principle shaping our lives in the modern technological age. He famously noted that the atomic bomb on Hiroshima divided history more decisively than the star of Bethlehem, illustrating his view of "anti-history" where history cannot effectively guide our lives. </w:t>
      </w:r>
    </w:p>
    <w:p w14:paraId="7A396305" w14:textId="77777777" w:rsidR="00CF2D87" w:rsidRDefault="00CF2D87" w:rsidP="00CF2D87">
      <w:pPr>
        <w:jc w:val="both"/>
        <w:rPr>
          <w:b/>
          <w:bCs/>
        </w:rPr>
      </w:pPr>
      <w:r w:rsidRPr="00CF2D87">
        <w:rPr>
          <w:rFonts w:ascii="Times New Roman" w:hAnsi="Times New Roman"/>
          <w:b/>
          <w:bCs/>
          <w:sz w:val="22"/>
        </w:rPr>
        <w:t>Wieman's Radical Modernism</w:t>
      </w:r>
      <w:r>
        <w:rPr>
          <w:rFonts w:ascii="Times New Roman" w:hAnsi="Times New Roman"/>
          <w:b/>
          <w:bCs/>
          <w:sz w:val="22"/>
        </w:rPr>
        <w:t>.</w:t>
      </w:r>
    </w:p>
    <w:p w14:paraId="0698BC0B" w14:textId="77777777" w:rsidR="00CF2D87" w:rsidRDefault="00CF2D87" w:rsidP="00CF2D87">
      <w:pPr>
        <w:jc w:val="both"/>
      </w:pPr>
      <w:r w:rsidRPr="00CF2D87">
        <w:rPr>
          <w:rFonts w:ascii="Times New Roman" w:hAnsi="Times New Roman"/>
          <w:b/>
          <w:bCs/>
          <w:sz w:val="22"/>
        </w:rPr>
        <w:t>Scientific Method and Naturalistic Theology.</w:t>
      </w:r>
      <w:r>
        <w:rPr>
          <w:rFonts w:ascii="Times New Roman" w:hAnsi="Times New Roman"/>
          <w:b/>
          <w:bCs/>
          <w:sz w:val="22"/>
        </w:rPr>
        <w:t xml:space="preserve"> </w:t>
      </w:r>
      <w:r>
        <w:rPr>
          <w:rFonts w:ascii="Times New Roman" w:hAnsi="Times New Roman"/>
          <w:sz w:val="22"/>
        </w:rPr>
        <w:t xml:space="preserve">Wieman, influenced by John Dewey's experimentalism, prioritized knowledge of God through the scientific method within a naturalistic worldview. He proposed that God must be perceivable in experience. Knowledge is attained through the development of habits such as worship and prayer and must be tested through critical analysis to align with scientifically verified knowledge. Wieman rejected the transcendence of time and reason found in mystery theism and knowledge beyond reason, seeing these as harmful to human salvation and progress. </w:t>
      </w:r>
      <w:r w:rsidRPr="00CF2D87">
        <w:rPr>
          <w:rFonts w:ascii="Times New Roman" w:hAnsi="Times New Roman"/>
          <w:b/>
          <w:bCs/>
          <w:sz w:val="22"/>
        </w:rPr>
        <w:t>Doctrine of God</w:t>
      </w:r>
      <w:r>
        <w:rPr>
          <w:rFonts w:ascii="Times New Roman" w:hAnsi="Times New Roman"/>
          <w:b/>
          <w:bCs/>
          <w:sz w:val="22"/>
        </w:rPr>
        <w:t xml:space="preserve">. </w:t>
      </w:r>
      <w:r w:rsidRPr="00CF2D87">
        <w:rPr>
          <w:rFonts w:ascii="Times New Roman" w:hAnsi="Times New Roman"/>
          <w:b/>
          <w:bCs/>
          <w:sz w:val="22"/>
        </w:rPr>
        <w:t>Process Theology.</w:t>
      </w:r>
      <w:r>
        <w:rPr>
          <w:rFonts w:ascii="Times New Roman" w:hAnsi="Times New Roman"/>
          <w:b/>
          <w:bCs/>
          <w:sz w:val="22"/>
        </w:rPr>
        <w:t xml:space="preserve"> </w:t>
      </w:r>
      <w:r>
        <w:rPr>
          <w:rFonts w:ascii="Times New Roman" w:hAnsi="Times New Roman"/>
          <w:sz w:val="22"/>
        </w:rPr>
        <w:t xml:space="preserve">Wieman viewed ultimate reality not as static objects but as an organic process of events and their qualities. The creative event produces qualitative meaning, enhancing life’s felt quality, and thus, God is this creative process or event, thought of in functional rather than substantial terms. The source of human good involves four subevents: emerging awareness of qualitative meaning through communication, integrating new and old meanings, expanding the world's qualitative richness, and deepening community through creative communication. Wieman denied his view was humanistic because humans cannot accomplish what the creative event does—these events are accidental relative to human effort. Evil and sin obstruct the creative event, akin to traditional sin doctrines, where sin cannot be fully eradicated and forgiveness requires more than human effort alone. He argued that God is not a person, omnipotent, transcendent, or a being but an event or process revealing a structure or pattern. </w:t>
      </w:r>
      <w:r w:rsidRPr="00CF2D87">
        <w:rPr>
          <w:rFonts w:ascii="Times New Roman" w:hAnsi="Times New Roman"/>
          <w:b/>
          <w:bCs/>
          <w:sz w:val="22"/>
        </w:rPr>
        <w:t>Creativity Over Personality.</w:t>
      </w:r>
      <w:r>
        <w:rPr>
          <w:rFonts w:ascii="Times New Roman" w:hAnsi="Times New Roman"/>
          <w:b/>
          <w:bCs/>
          <w:sz w:val="22"/>
        </w:rPr>
        <w:t xml:space="preserve"> </w:t>
      </w:r>
      <w:r>
        <w:rPr>
          <w:rFonts w:ascii="Times New Roman" w:hAnsi="Times New Roman"/>
          <w:sz w:val="22"/>
        </w:rPr>
        <w:t xml:space="preserve">Wieman asserted that humans are not the most basic reality; creativity is ontologically prior to personality, and devotion should be directed to the creator rather than creatures. </w:t>
      </w:r>
      <w:r w:rsidRPr="00CF2D87">
        <w:rPr>
          <w:rFonts w:ascii="Times New Roman" w:hAnsi="Times New Roman"/>
          <w:b/>
          <w:bCs/>
          <w:sz w:val="22"/>
        </w:rPr>
        <w:t>Jesus and the Creative Event</w:t>
      </w:r>
      <w:r>
        <w:rPr>
          <w:rFonts w:ascii="Times New Roman" w:hAnsi="Times New Roman"/>
          <w:b/>
          <w:bCs/>
          <w:sz w:val="22"/>
        </w:rPr>
        <w:t xml:space="preserve">: </w:t>
      </w:r>
      <w:r w:rsidRPr="00CF2D87">
        <w:rPr>
          <w:rFonts w:ascii="Times New Roman" w:hAnsi="Times New Roman"/>
          <w:b/>
          <w:bCs/>
          <w:sz w:val="22"/>
        </w:rPr>
        <w:t>Demythologizing</w:t>
      </w:r>
      <w:r>
        <w:rPr>
          <w:rFonts w:ascii="Times New Roman" w:hAnsi="Times New Roman"/>
          <w:b/>
          <w:bCs/>
          <w:sz w:val="22"/>
        </w:rPr>
        <w:t xml:space="preserve">. </w:t>
      </w:r>
      <w:r>
        <w:rPr>
          <w:rFonts w:ascii="Times New Roman" w:hAnsi="Times New Roman"/>
          <w:sz w:val="22"/>
        </w:rPr>
        <w:t xml:space="preserve">Wieman did not consider Jesus to be God, noting the lack of sufficient information and the impossibility of knowing supernatural aspects experientially. However, Jesus was associated with unique creative thrusts in history, marking a breakthrough in creative interchange during his life, death, and resurrection. Although Jesus is a participant in the creative event, he did not most fully or uniquely reveal it. Like Troeltsch, Wieman saw Christ as sufficient for revelation and salvation for us in our tradition or context. </w:t>
      </w:r>
      <w:r w:rsidRPr="00CF2D87">
        <w:rPr>
          <w:rFonts w:ascii="Times New Roman" w:hAnsi="Times New Roman"/>
          <w:b/>
          <w:bCs/>
          <w:sz w:val="22"/>
        </w:rPr>
        <w:t>Problems with Orthodox Doctrine.</w:t>
      </w:r>
      <w:r>
        <w:rPr>
          <w:rFonts w:ascii="Times New Roman" w:hAnsi="Times New Roman"/>
          <w:b/>
          <w:bCs/>
          <w:sz w:val="22"/>
        </w:rPr>
        <w:t xml:space="preserve"> </w:t>
      </w:r>
      <w:r>
        <w:rPr>
          <w:rFonts w:ascii="Times New Roman" w:hAnsi="Times New Roman"/>
          <w:sz w:val="22"/>
        </w:rPr>
        <w:t xml:space="preserve">Questions arise regarding Wieman's view of God: Is the creative event singular? Is it metaphysically consistent? Without personhood, who judges "good"? As only humans can make value judgments, Wieman's concept offers no redemption beyond history, rejecting perfectionism and historical progress and conflicting with Christian eschatological hope. </w:t>
      </w:r>
    </w:p>
    <w:p w14:paraId="2C72A3D3" w14:textId="77777777" w:rsidR="00E55CC0" w:rsidRDefault="00E55CC0" w:rsidP="00CF2D87">
      <w:pPr>
        <w:jc w:val="both"/>
      </w:pPr>
    </w:p>
    <w:p w14:paraId="4503A779" w14:textId="77777777" w:rsidR="007061DD" w:rsidRDefault="007061DD">
      <w:pPr>
        <w:rPr>
          <w:b/>
          <w:bCs/>
        </w:rPr>
      </w:pPr>
      <w:r>
        <w:rPr>
          <w:rFonts w:ascii="Times New Roman" w:hAnsi="Times New Roman"/>
          <w:b/>
          <w:bCs/>
          <w:sz w:val="22"/>
        </w:rPr>
        <w:br w:type="page"/>
      </w:r>
    </w:p>
    <w:p w14:paraId="383CB449" w14:textId="77777777" w:rsidR="00E55CC0" w:rsidRPr="00E55CC0" w:rsidRDefault="00E55CC0" w:rsidP="00E55CC0">
      <w:pPr>
        <w:jc w:val="both"/>
        <w:rPr>
          <w:b/>
          <w:bCs/>
        </w:rPr>
      </w:pPr>
      <w:r w:rsidRPr="00E55CC0">
        <w:rPr>
          <w:rFonts w:ascii="Times New Roman" w:hAnsi="Times New Roman"/>
          <w:b/>
          <w:bCs/>
          <w:sz w:val="22"/>
        </w:rPr>
        <w:lastRenderedPageBreak/>
        <w:t>Chapter Three: The Dialectical Theology: Karl Barth, Emil Brunner, and Friedrich Gogarten</w:t>
      </w:r>
    </w:p>
    <w:p w14:paraId="0BDD1A82" w14:textId="77777777" w:rsidR="00E55CC0" w:rsidRDefault="00E55CC0" w:rsidP="00E55CC0">
      <w:pPr>
        <w:jc w:val="both"/>
      </w:pPr>
      <w:r w:rsidRPr="00E55CC0">
        <w:rPr>
          <w:rFonts w:ascii="Times New Roman" w:hAnsi="Times New Roman"/>
          <w:b/>
          <w:bCs/>
          <w:sz w:val="22"/>
        </w:rPr>
        <w:t>Origins and Critique of 19th Century Theology.</w:t>
      </w:r>
      <w:r>
        <w:rPr>
          <w:rFonts w:ascii="Times New Roman" w:hAnsi="Times New Roman"/>
          <w:sz w:val="22"/>
        </w:rPr>
        <w:t xml:space="preserve"> In response to the widespread support of World War I by German theological intellectuals, Karl Barth became disillusioned with 19th-century theology, leading him to believe that it had no future. This catalyzed a movement towards dialectical theology, or the theology of crisis, which was a short-lived revolution from around 1910 to 1930 (important date: 192</w:t>
      </w:r>
      <w:r w:rsidR="00203ED8">
        <w:rPr>
          <w:rFonts w:ascii="Times New Roman" w:hAnsi="Times New Roman"/>
          <w:sz w:val="22"/>
        </w:rPr>
        <w:t>0</w:t>
      </w:r>
      <w:r>
        <w:rPr>
          <w:rFonts w:ascii="Times New Roman" w:hAnsi="Times New Roman"/>
          <w:sz w:val="22"/>
        </w:rPr>
        <w:t xml:space="preserve"> </w:t>
      </w:r>
      <w:r>
        <w:rPr>
          <w:rFonts w:ascii="Times New Roman" w:hAnsi="Times New Roman"/>
          <w:i/>
          <w:iCs/>
          <w:sz w:val="22"/>
        </w:rPr>
        <w:t>Zwischen die Zeiten</w:t>
      </w:r>
      <w:r w:rsidR="00203ED8">
        <w:rPr>
          <w:rFonts w:ascii="Times New Roman" w:hAnsi="Times New Roman"/>
          <w:i/>
          <w:iCs/>
          <w:sz w:val="22"/>
        </w:rPr>
        <w:t xml:space="preserve"> </w:t>
      </w:r>
      <w:r w:rsidR="00203ED8">
        <w:rPr>
          <w:rFonts w:ascii="Times New Roman" w:hAnsi="Times New Roman"/>
          <w:sz w:val="22"/>
        </w:rPr>
        <w:t>by Gogarten</w:t>
      </w:r>
      <w:r>
        <w:rPr>
          <w:rFonts w:ascii="Times New Roman" w:hAnsi="Times New Roman"/>
          <w:sz w:val="22"/>
        </w:rPr>
        <w:t xml:space="preserve">) with variations among theologians like Barth, Brunner, Gogarten, and sympathizers such as Tillich. </w:t>
      </w:r>
      <w:r w:rsidRPr="00E55CC0">
        <w:rPr>
          <w:rFonts w:ascii="Times New Roman" w:hAnsi="Times New Roman"/>
          <w:b/>
          <w:bCs/>
          <w:sz w:val="22"/>
        </w:rPr>
        <w:t>The Beginnings of Dialectical Theology</w:t>
      </w:r>
      <w:r>
        <w:rPr>
          <w:rFonts w:ascii="Times New Roman" w:hAnsi="Times New Roman"/>
          <w:b/>
          <w:bCs/>
          <w:sz w:val="22"/>
        </w:rPr>
        <w:t xml:space="preserve">. </w:t>
      </w:r>
      <w:r>
        <w:rPr>
          <w:rFonts w:ascii="Times New Roman" w:hAnsi="Times New Roman"/>
          <w:sz w:val="22"/>
        </w:rPr>
        <w:t xml:space="preserve">Dialectical theology was a reaction against liberal theology and the horrors of WWI. Many theologians associated with this movement originated from the Ritschlian or Idealist traditions. Karl Barth, known for his socialism and union activism as the "red pastor of Safenwil," criticized the church's endorsement of WWI and state religion. He returned to academic theology with a focus on scriptural study, rediscovering a "strange new world within the Bible," influenced by Kierkegaard’s notion of an "infinite qualitative difference between God and man." Barth's commentary on Romans was controversial, leading to repudiation from figures like von Harnack but praise from young theologians like Emil Brunner for its direct approach. Dialectical theology rejected equating Christianity with the social order, emphasizing a theology of "crisis" where God is a hidden, wholly other being that must be revealed. </w:t>
      </w:r>
      <w:r w:rsidRPr="00E55CC0">
        <w:rPr>
          <w:rFonts w:ascii="Times New Roman" w:hAnsi="Times New Roman"/>
          <w:b/>
          <w:bCs/>
          <w:sz w:val="22"/>
        </w:rPr>
        <w:t>Liberal Theology: History and Interpretation</w:t>
      </w:r>
      <w:r>
        <w:rPr>
          <w:rFonts w:ascii="Times New Roman" w:hAnsi="Times New Roman"/>
          <w:b/>
          <w:bCs/>
          <w:sz w:val="22"/>
        </w:rPr>
        <w:t>.</w:t>
      </w:r>
      <w:r>
        <w:rPr>
          <w:rFonts w:ascii="Times New Roman" w:hAnsi="Times New Roman"/>
          <w:sz w:val="22"/>
        </w:rPr>
        <w:t xml:space="preserve"> Dialectical theologians, including Barth, Brunner, and Gogarten, opposed the Ritschlian and Idealist traditions, challenging their views on historical consciousness. Liberal theology embraced the historical-critical method, claiming it freed theology from dogmatic tradition. However, Barth and his contemporaries criticized this approach as it led to divergent historica views, for example, on the Historical Jesus, and failed to account for the complexity of historical contexts. Gogarten identified two incompatible ways to conceive the relationship between revelation and history and critiqued Troeltsch for pantheism of history, advocating for a dialectical theology that emphasizes both the presence of the Absolute and its separateness from human history. </w:t>
      </w:r>
      <w:r w:rsidRPr="00E55CC0">
        <w:rPr>
          <w:rFonts w:ascii="Times New Roman" w:hAnsi="Times New Roman"/>
          <w:b/>
          <w:bCs/>
          <w:sz w:val="22"/>
        </w:rPr>
        <w:t>Harnack vs. Barth</w:t>
      </w:r>
      <w:r>
        <w:rPr>
          <w:rFonts w:ascii="Times New Roman" w:hAnsi="Times New Roman"/>
          <w:b/>
          <w:bCs/>
          <w:sz w:val="22"/>
        </w:rPr>
        <w:t>.</w:t>
      </w:r>
      <w:r>
        <w:rPr>
          <w:rFonts w:ascii="Times New Roman" w:hAnsi="Times New Roman"/>
          <w:sz w:val="22"/>
        </w:rPr>
        <w:t xml:space="preserve"> In the debate over historical knowledge's necessity in understanding the Bible and Jesus Christ, Harnack posed "Fifteen Questions to the Despisers of Scientific Theology" to challenge figures like Barth. Barth responded by asserting that historical-critical study cannot alone reveal the Gospel's truth, as it extends beyond the Scriptures and requires the Spirit. Barth argues that the figure of the Historical Jesus is not identical to the full divine revelation, which is understood as an act of God that transcends mere historical reconstruction. He emphasizes that the connection between God and history is not straightforward or simplistic. While God acts within history, His actions and the revelation of Jesus Christ are part of an eternal truth that cannot be directly equated with historical events. This creates a tension between the temporal and the eternal, the historical and the absolute.</w:t>
      </w:r>
    </w:p>
    <w:p w14:paraId="3C4E935E" w14:textId="77777777" w:rsidR="00E55CC0" w:rsidRDefault="00E55CC0" w:rsidP="00E55CC0">
      <w:pPr>
        <w:jc w:val="both"/>
      </w:pPr>
    </w:p>
    <w:p w14:paraId="2D784215" w14:textId="77777777" w:rsidR="007061DD" w:rsidRDefault="007061DD">
      <w:pPr>
        <w:rPr>
          <w:b/>
          <w:bCs/>
        </w:rPr>
      </w:pPr>
      <w:r>
        <w:rPr>
          <w:rFonts w:ascii="Times New Roman" w:hAnsi="Times New Roman"/>
          <w:b/>
          <w:bCs/>
          <w:sz w:val="22"/>
        </w:rPr>
        <w:br w:type="page"/>
      </w:r>
    </w:p>
    <w:p w14:paraId="798BFDA9" w14:textId="77777777" w:rsidR="00E55CC0" w:rsidRPr="00E55CC0" w:rsidRDefault="00E55CC0" w:rsidP="00E55CC0">
      <w:pPr>
        <w:jc w:val="both"/>
        <w:rPr>
          <w:b/>
          <w:bCs/>
        </w:rPr>
      </w:pPr>
      <w:r w:rsidRPr="00E55CC0">
        <w:rPr>
          <w:rFonts w:ascii="Times New Roman" w:hAnsi="Times New Roman"/>
          <w:b/>
          <w:bCs/>
          <w:sz w:val="22"/>
        </w:rPr>
        <w:lastRenderedPageBreak/>
        <w:t>Major Themes in Karl Barth's Theology of the Word of God</w:t>
      </w:r>
      <w:r>
        <w:rPr>
          <w:rFonts w:ascii="Times New Roman" w:hAnsi="Times New Roman"/>
          <w:b/>
          <w:bCs/>
          <w:sz w:val="22"/>
        </w:rPr>
        <w:t>.</w:t>
      </w:r>
    </w:p>
    <w:p w14:paraId="0A8F3B07" w14:textId="77777777" w:rsidR="003A045D" w:rsidRDefault="003A045D" w:rsidP="003A045D">
      <w:pPr>
        <w:jc w:val="both"/>
      </w:pPr>
      <w:r w:rsidRPr="003A045D">
        <w:rPr>
          <w:rFonts w:ascii="Times New Roman" w:hAnsi="Times New Roman"/>
          <w:b/>
          <w:bCs/>
          <w:sz w:val="22"/>
        </w:rPr>
        <w:t>The Dialectical Method</w:t>
      </w:r>
      <w:r>
        <w:rPr>
          <w:rFonts w:ascii="Times New Roman" w:hAnsi="Times New Roman"/>
          <w:b/>
          <w:bCs/>
          <w:sz w:val="22"/>
        </w:rPr>
        <w:t xml:space="preserve">. </w:t>
      </w:r>
    </w:p>
    <w:p w14:paraId="33D82DF9" w14:textId="77777777" w:rsidR="003A045D" w:rsidRDefault="003A045D" w:rsidP="003A045D">
      <w:pPr>
        <w:jc w:val="both"/>
      </w:pPr>
      <w:r w:rsidRPr="003A045D">
        <w:rPr>
          <w:rFonts w:ascii="Times New Roman" w:hAnsi="Times New Roman"/>
          <w:b/>
          <w:bCs/>
          <w:sz w:val="22"/>
        </w:rPr>
        <w:t>Influence of Kierkegaard.</w:t>
      </w:r>
      <w:r>
        <w:rPr>
          <w:rFonts w:ascii="Times New Roman" w:hAnsi="Times New Roman"/>
          <w:sz w:val="22"/>
        </w:rPr>
        <w:t xml:space="preserve"> The dialectical method in theology, influenced by Kierkegaard, rejects the smooth progression of the Hegelian dialectic from thesis to antithesis to synthesis. Instead, it embraces a dialectical tension between truths, never fully resolving, due to revelation existing between two worlds (eternity and time) for which we have no analogy. This method is expressed paradoxically and preserves the creator-creature distinction, emphasizing God as </w:t>
      </w:r>
      <w:r w:rsidRPr="003A045D">
        <w:rPr>
          <w:rFonts w:ascii="Times New Roman" w:hAnsi="Times New Roman"/>
          <w:i/>
          <w:iCs/>
          <w:sz w:val="22"/>
        </w:rPr>
        <w:t>der Ganz Andere</w:t>
      </w:r>
      <w:r>
        <w:rPr>
          <w:rFonts w:ascii="Times New Roman" w:hAnsi="Times New Roman"/>
          <w:sz w:val="22"/>
        </w:rPr>
        <w:t xml:space="preserve">. </w:t>
      </w:r>
    </w:p>
    <w:p w14:paraId="0768664D" w14:textId="77777777" w:rsidR="003A045D" w:rsidRDefault="003A045D" w:rsidP="003A045D">
      <w:pPr>
        <w:jc w:val="both"/>
      </w:pPr>
      <w:r w:rsidRPr="003A045D">
        <w:rPr>
          <w:rFonts w:ascii="Times New Roman" w:hAnsi="Times New Roman"/>
          <w:b/>
          <w:bCs/>
          <w:sz w:val="22"/>
        </w:rPr>
        <w:t>God as Wholly Other</w:t>
      </w:r>
      <w:r>
        <w:rPr>
          <w:rFonts w:ascii="Times New Roman" w:hAnsi="Times New Roman"/>
          <w:b/>
          <w:bCs/>
          <w:sz w:val="22"/>
        </w:rPr>
        <w:t xml:space="preserve">. </w:t>
      </w:r>
    </w:p>
    <w:p w14:paraId="4B295E54" w14:textId="77777777" w:rsidR="003A045D" w:rsidRDefault="003A045D" w:rsidP="003A045D">
      <w:pPr>
        <w:jc w:val="both"/>
      </w:pPr>
      <w:r w:rsidRPr="003A045D">
        <w:rPr>
          <w:rFonts w:ascii="Times New Roman" w:hAnsi="Times New Roman"/>
          <w:b/>
          <w:bCs/>
          <w:sz w:val="22"/>
        </w:rPr>
        <w:t>The Leitmotif of Crisis Theology.</w:t>
      </w:r>
      <w:r>
        <w:rPr>
          <w:rFonts w:ascii="Times New Roman" w:hAnsi="Times New Roman"/>
          <w:b/>
          <w:bCs/>
          <w:sz w:val="22"/>
        </w:rPr>
        <w:t xml:space="preserve"> </w:t>
      </w:r>
      <w:r>
        <w:rPr>
          <w:rFonts w:ascii="Times New Roman" w:hAnsi="Times New Roman"/>
          <w:sz w:val="22"/>
        </w:rPr>
        <w:t xml:space="preserve">"Der Ganz Andere" is a central theme of crisis theology, with the creator-creature distance as the primary theological task. God can only be known through God's self-revelation, as the finite world hides rather than reveals God, emphasizing no direct path from humanity to God. Instead, God's revelation comes through Jesus Christ, where </w:t>
      </w:r>
      <w:r w:rsidRPr="003A045D">
        <w:rPr>
          <w:rFonts w:ascii="Times New Roman" w:hAnsi="Times New Roman"/>
          <w:i/>
          <w:iCs/>
          <w:sz w:val="22"/>
        </w:rPr>
        <w:t>Deus Revelatus</w:t>
      </w:r>
      <w:r>
        <w:rPr>
          <w:rFonts w:ascii="Times New Roman" w:hAnsi="Times New Roman"/>
          <w:sz w:val="22"/>
        </w:rPr>
        <w:t xml:space="preserve"> equals </w:t>
      </w:r>
      <w:r w:rsidRPr="003A045D">
        <w:rPr>
          <w:rFonts w:ascii="Times New Roman" w:hAnsi="Times New Roman"/>
          <w:i/>
          <w:iCs/>
          <w:sz w:val="22"/>
        </w:rPr>
        <w:t>Deus Absconditus</w:t>
      </w:r>
      <w:r>
        <w:rPr>
          <w:rFonts w:ascii="Times New Roman" w:hAnsi="Times New Roman"/>
          <w:sz w:val="22"/>
        </w:rPr>
        <w:t xml:space="preserve">—the revealed God is the hidden God. The resurrection </w:t>
      </w:r>
      <w:r w:rsidRPr="003A045D">
        <w:rPr>
          <w:rFonts w:ascii="Times New Roman" w:hAnsi="Times New Roman"/>
          <w:i/>
          <w:iCs/>
          <w:sz w:val="22"/>
        </w:rPr>
        <w:t>event</w:t>
      </w:r>
      <w:r>
        <w:rPr>
          <w:rFonts w:ascii="Times New Roman" w:hAnsi="Times New Roman"/>
          <w:sz w:val="22"/>
        </w:rPr>
        <w:t xml:space="preserve"> transcends history, rendering the quest for the Historical Jesus futile. Christ's otherness and mystery can only be apprehended through faith, beyond human comprehension.</w:t>
      </w:r>
    </w:p>
    <w:p w14:paraId="0D14ABDD" w14:textId="77777777" w:rsidR="003A045D" w:rsidRPr="003A045D" w:rsidRDefault="003A045D" w:rsidP="003A045D">
      <w:pPr>
        <w:jc w:val="both"/>
        <w:rPr>
          <w:b/>
          <w:bCs/>
        </w:rPr>
      </w:pPr>
      <w:r w:rsidRPr="003A045D">
        <w:rPr>
          <w:rFonts w:ascii="Times New Roman" w:hAnsi="Times New Roman"/>
          <w:b/>
          <w:bCs/>
          <w:sz w:val="22"/>
        </w:rPr>
        <w:t>The Strange World of the Bible</w:t>
      </w:r>
      <w:r>
        <w:rPr>
          <w:rFonts w:ascii="Times New Roman" w:hAnsi="Times New Roman"/>
          <w:b/>
          <w:bCs/>
          <w:sz w:val="22"/>
        </w:rPr>
        <w:t>.</w:t>
      </w:r>
    </w:p>
    <w:p w14:paraId="6D11ED9D" w14:textId="77777777" w:rsidR="003A045D" w:rsidRDefault="003A045D" w:rsidP="003A045D">
      <w:pPr>
        <w:jc w:val="both"/>
      </w:pPr>
      <w:r w:rsidRPr="003A045D">
        <w:rPr>
          <w:rFonts w:ascii="Times New Roman" w:hAnsi="Times New Roman"/>
          <w:b/>
          <w:bCs/>
          <w:sz w:val="22"/>
        </w:rPr>
        <w:t>Approaching the Bible with Presuppositions</w:t>
      </w:r>
      <w:r>
        <w:rPr>
          <w:rFonts w:ascii="Times New Roman" w:hAnsi="Times New Roman"/>
          <w:b/>
          <w:bCs/>
          <w:sz w:val="22"/>
        </w:rPr>
        <w:t xml:space="preserve">. </w:t>
      </w:r>
      <w:r>
        <w:rPr>
          <w:rFonts w:ascii="Times New Roman" w:hAnsi="Times New Roman"/>
          <w:sz w:val="22"/>
        </w:rPr>
        <w:t xml:space="preserve">Readers often approach the Bible with preconceived worldviews, finding only what they seek. According to this perspective, the Bible holds little direct value in history, morals, or religion, emphasizing instead God's incomprehensible realm. It offers scant historical explanations or moral guidance and little practical religious value because it witnesses a greater divine world. </w:t>
      </w:r>
      <w:r w:rsidRPr="003A045D">
        <w:rPr>
          <w:rFonts w:ascii="Times New Roman" w:hAnsi="Times New Roman"/>
          <w:b/>
          <w:bCs/>
          <w:sz w:val="22"/>
        </w:rPr>
        <w:t>Scandal of Revelation in Human Literature</w:t>
      </w:r>
      <w:r>
        <w:rPr>
          <w:rFonts w:ascii="Times New Roman" w:hAnsi="Times New Roman"/>
          <w:b/>
          <w:bCs/>
          <w:sz w:val="22"/>
        </w:rPr>
        <w:t xml:space="preserve">. </w:t>
      </w:r>
      <w:r>
        <w:rPr>
          <w:rFonts w:ascii="Times New Roman" w:hAnsi="Times New Roman"/>
          <w:sz w:val="22"/>
        </w:rPr>
        <w:t xml:space="preserve">The scandal lies in God's revelation within the relative and problematic literature of the Bible—a radically human and fallible document. Like the mystery and scandal of the Incarnation, the Bible is both a human document and the Word of God. It cannot be said to </w:t>
      </w:r>
      <w:r w:rsidRPr="003A045D">
        <w:rPr>
          <w:rFonts w:ascii="Times New Roman" w:hAnsi="Times New Roman"/>
          <w:i/>
          <w:iCs/>
          <w:sz w:val="22"/>
        </w:rPr>
        <w:t>be</w:t>
      </w:r>
      <w:r>
        <w:rPr>
          <w:rFonts w:ascii="Times New Roman" w:hAnsi="Times New Roman"/>
          <w:sz w:val="22"/>
        </w:rPr>
        <w:t xml:space="preserve"> the Word of God; rather, it </w:t>
      </w:r>
      <w:r w:rsidRPr="003A045D">
        <w:rPr>
          <w:rFonts w:ascii="Times New Roman" w:hAnsi="Times New Roman"/>
          <w:i/>
          <w:iCs/>
          <w:sz w:val="22"/>
        </w:rPr>
        <w:t>becomes</w:t>
      </w:r>
      <w:r>
        <w:rPr>
          <w:rFonts w:ascii="Times New Roman" w:hAnsi="Times New Roman"/>
          <w:sz w:val="22"/>
        </w:rPr>
        <w:t xml:space="preserve"> God's Word through engagement with it.</w:t>
      </w:r>
    </w:p>
    <w:p w14:paraId="63D57FF1" w14:textId="77777777" w:rsidR="003A045D" w:rsidRPr="003A045D" w:rsidRDefault="003A045D" w:rsidP="003A045D">
      <w:pPr>
        <w:jc w:val="both"/>
        <w:rPr>
          <w:b/>
          <w:bCs/>
        </w:rPr>
      </w:pPr>
      <w:r w:rsidRPr="003A045D">
        <w:rPr>
          <w:rFonts w:ascii="Times New Roman" w:hAnsi="Times New Roman"/>
          <w:b/>
          <w:bCs/>
          <w:sz w:val="22"/>
        </w:rPr>
        <w:t>The Breakdown of the Dialectical Theology</w:t>
      </w:r>
      <w:r>
        <w:rPr>
          <w:rFonts w:ascii="Times New Roman" w:hAnsi="Times New Roman"/>
          <w:b/>
          <w:bCs/>
          <w:sz w:val="22"/>
        </w:rPr>
        <w:t>.</w:t>
      </w:r>
    </w:p>
    <w:p w14:paraId="109A2D93" w14:textId="77777777" w:rsidR="00DD5BD7" w:rsidRDefault="003A045D" w:rsidP="003A045D">
      <w:pPr>
        <w:jc w:val="both"/>
      </w:pPr>
      <w:r w:rsidRPr="003A045D">
        <w:rPr>
          <w:rFonts w:ascii="Times New Roman" w:hAnsi="Times New Roman"/>
          <w:b/>
          <w:bCs/>
          <w:sz w:val="22"/>
        </w:rPr>
        <w:t>Agreements among Dialectical Theologians</w:t>
      </w:r>
      <w:r>
        <w:rPr>
          <w:rFonts w:ascii="Times New Roman" w:hAnsi="Times New Roman"/>
          <w:b/>
          <w:bCs/>
          <w:sz w:val="22"/>
        </w:rPr>
        <w:t xml:space="preserve">. </w:t>
      </w:r>
      <w:r>
        <w:rPr>
          <w:rFonts w:ascii="Times New Roman" w:hAnsi="Times New Roman"/>
          <w:sz w:val="22"/>
        </w:rPr>
        <w:t xml:space="preserve">The original group of dialectical theologians, whose work was published in "Zwischen die Zeiten," shared a critical stance toward liberal theology and bourgeois culture, particularly opposing the conflation of social order with the Kingdom of God. They rejected attempts to objectify God or establish scientific foundations for faith, as well as the identification of revelation strictly with Church doctrine. </w:t>
      </w:r>
      <w:r w:rsidRPr="003A045D">
        <w:rPr>
          <w:rFonts w:ascii="Times New Roman" w:hAnsi="Times New Roman"/>
          <w:b/>
          <w:bCs/>
          <w:sz w:val="22"/>
        </w:rPr>
        <w:t>Differences Between Bultmann and Barth</w:t>
      </w:r>
      <w:r>
        <w:rPr>
          <w:rFonts w:ascii="Times New Roman" w:hAnsi="Times New Roman"/>
          <w:b/>
          <w:bCs/>
          <w:sz w:val="22"/>
        </w:rPr>
        <w:t xml:space="preserve">. </w:t>
      </w:r>
      <w:r>
        <w:rPr>
          <w:rFonts w:ascii="Times New Roman" w:hAnsi="Times New Roman"/>
          <w:sz w:val="22"/>
        </w:rPr>
        <w:t>Notable differences emerged between Rudolf Bultmann and Karl Barth. Barth emphasized the historical continuity of scripture between past and present, whereas Bultmann insisted on a historical responsibility to critically assess whether texts adequately express their subject matter. Bultmann advocated using philological historical criticism to discern and grasp the subject matter, which he believed transcended the authors, such as Paul.</w:t>
      </w:r>
      <w:r w:rsidR="007061DD">
        <w:rPr>
          <w:rFonts w:ascii="Times New Roman" w:hAnsi="Times New Roman"/>
          <w:sz w:val="22"/>
        </w:rPr>
        <w:t xml:space="preserve"> </w:t>
      </w:r>
      <w:r>
        <w:rPr>
          <w:rFonts w:ascii="Times New Roman" w:hAnsi="Times New Roman"/>
          <w:sz w:val="22"/>
        </w:rPr>
        <w:t xml:space="preserve">Barth opposed this view, arguing that it assumes one can fully engage with Paul's Jewish-Hellenistic context, and when content becomes particularly strange, it leads to a critical stance against it. Barth contended that all scripture is inherently strange, and thus requires acceptance without imposing contemporary judgments. Despite their disagreements, Barth and Bultmann maintained a cordial and frank dialogue. </w:t>
      </w:r>
      <w:r w:rsidRPr="003A045D">
        <w:rPr>
          <w:rFonts w:ascii="Times New Roman" w:hAnsi="Times New Roman"/>
          <w:b/>
          <w:bCs/>
          <w:sz w:val="22"/>
        </w:rPr>
        <w:t>Barth and Gogarten</w:t>
      </w:r>
      <w:r>
        <w:rPr>
          <w:rFonts w:ascii="Times New Roman" w:hAnsi="Times New Roman"/>
          <w:b/>
          <w:bCs/>
          <w:sz w:val="22"/>
        </w:rPr>
        <w:t xml:space="preserve">. </w:t>
      </w:r>
      <w:r>
        <w:rPr>
          <w:rFonts w:ascii="Times New Roman" w:hAnsi="Times New Roman"/>
          <w:sz w:val="22"/>
        </w:rPr>
        <w:t>The divergence between Barth and Friedrich Gogarten was less amicable. Bultmann and Gogarten sought to ground theology in existentialist anthropology, drawing from Heidegger. Barth, however, rejected any anthropological or existential starting point for theology, emphasizing that theology should not rest on a conception of human existence. He opposed natural theology, a direction that Brunner had also explored, maintaining that theology must focus solely on divine revelation without human presuppositions as its base.</w:t>
      </w:r>
    </w:p>
    <w:p w14:paraId="05D31EE5" w14:textId="77777777" w:rsidR="007061DD" w:rsidRDefault="007061DD">
      <w:pPr>
        <w:rPr>
          <w:b/>
          <w:bCs/>
        </w:rPr>
      </w:pPr>
      <w:r>
        <w:rPr>
          <w:rFonts w:ascii="Times New Roman" w:hAnsi="Times New Roman"/>
          <w:b/>
          <w:bCs/>
          <w:sz w:val="22"/>
        </w:rPr>
        <w:br w:type="page"/>
      </w:r>
    </w:p>
    <w:p w14:paraId="0F54FD67" w14:textId="77777777" w:rsidR="00DD5BD7" w:rsidRPr="00DD5BD7" w:rsidRDefault="00DD5BD7" w:rsidP="00DD5BD7">
      <w:pPr>
        <w:jc w:val="both"/>
        <w:rPr>
          <w:b/>
          <w:bCs/>
        </w:rPr>
      </w:pPr>
      <w:r w:rsidRPr="00DD5BD7">
        <w:rPr>
          <w:rFonts w:ascii="Times New Roman" w:hAnsi="Times New Roman"/>
          <w:b/>
          <w:bCs/>
          <w:sz w:val="22"/>
        </w:rPr>
        <w:lastRenderedPageBreak/>
        <w:t>Emil Brunner</w:t>
      </w:r>
      <w:r>
        <w:rPr>
          <w:rFonts w:ascii="Times New Roman" w:hAnsi="Times New Roman"/>
          <w:b/>
          <w:bCs/>
          <w:sz w:val="22"/>
        </w:rPr>
        <w:t>.</w:t>
      </w:r>
    </w:p>
    <w:p w14:paraId="4A8A1376" w14:textId="77777777" w:rsidR="00DD5BD7" w:rsidRDefault="00DD5BD7" w:rsidP="00DD5BD7">
      <w:pPr>
        <w:jc w:val="both"/>
      </w:pPr>
      <w:r w:rsidRPr="00DD5BD7">
        <w:rPr>
          <w:rFonts w:ascii="Times New Roman" w:hAnsi="Times New Roman"/>
          <w:b/>
          <w:bCs/>
          <w:sz w:val="22"/>
        </w:rPr>
        <w:t>Religious Socialism and Philosophical Influences</w:t>
      </w:r>
      <w:r>
        <w:rPr>
          <w:rFonts w:ascii="Times New Roman" w:hAnsi="Times New Roman"/>
          <w:b/>
          <w:bCs/>
          <w:sz w:val="22"/>
        </w:rPr>
        <w:t xml:space="preserve">. </w:t>
      </w:r>
      <w:r>
        <w:rPr>
          <w:rFonts w:ascii="Times New Roman" w:hAnsi="Times New Roman"/>
          <w:sz w:val="22"/>
        </w:rPr>
        <w:t xml:space="preserve">Emil Brunner, like Barth, was deeply influenced by the movement of Religious Socialism. His works, such as "Die Mystik und das Wort," reflect the influence of the I-Thou philosophy of thinkers like Ebner and Buber. In "Man in Revolt," Brunner outlined these ideas, which Barth criticized as a return to corrupt influences, analogous to "the fleshpots of Egypt," a critique he also directed at Gogarten and Bultmann. Brunner’s "Wahrheit als Begegnung" developed the idea that truth is a personal encounter, further elaborated in "Offenbarung und Vernunft." Unique among his contemporaries, Brunner’s extensive travels and engagement with the Ecumenical movement set him apart from Barth and Gogarten. </w:t>
      </w:r>
      <w:r w:rsidRPr="00DD5BD7">
        <w:rPr>
          <w:rFonts w:ascii="Times New Roman" w:hAnsi="Times New Roman"/>
          <w:b/>
          <w:bCs/>
          <w:sz w:val="22"/>
        </w:rPr>
        <w:t>Anthropology and the Apologetic Task</w:t>
      </w:r>
      <w:r>
        <w:rPr>
          <w:rFonts w:ascii="Times New Roman" w:hAnsi="Times New Roman"/>
          <w:b/>
          <w:bCs/>
          <w:sz w:val="22"/>
        </w:rPr>
        <w:t xml:space="preserve">. </w:t>
      </w:r>
      <w:r>
        <w:rPr>
          <w:rFonts w:ascii="Times New Roman" w:hAnsi="Times New Roman"/>
          <w:sz w:val="22"/>
        </w:rPr>
        <w:t xml:space="preserve">Brunner made anthropology a cardinal point of his theology, focusing on human nature and existence. He shifted the theological question from "What is God?" to "What is Man?" Brunner supported the idea of natural theology, claiming it is affirmed by Scripture and the Reformers, contrasting with Barth’s outright rejection. However, Brunner clarified that his interpretation of natural theology does not imply natural knowledge of God (only of Man) due to human sin. </w:t>
      </w:r>
      <w:r w:rsidRPr="00DD5BD7">
        <w:rPr>
          <w:rFonts w:ascii="Times New Roman" w:hAnsi="Times New Roman"/>
          <w:b/>
          <w:bCs/>
          <w:sz w:val="22"/>
        </w:rPr>
        <w:t>Point of Contact and Apologetics</w:t>
      </w:r>
      <w:r>
        <w:rPr>
          <w:rFonts w:ascii="Times New Roman" w:hAnsi="Times New Roman"/>
          <w:b/>
          <w:bCs/>
          <w:sz w:val="22"/>
        </w:rPr>
        <w:t xml:space="preserve">. </w:t>
      </w:r>
      <w:r>
        <w:rPr>
          <w:rFonts w:ascii="Times New Roman" w:hAnsi="Times New Roman"/>
          <w:sz w:val="22"/>
        </w:rPr>
        <w:t xml:space="preserve">Brunner's apologetics suggested that God's revelation in creation provides a point of contact between revelation and science, though humans do not inherently possess natural knowledge of God due to sin. He proposed that sin, defined as rebellion and idolatry, requires knowledge of God and serves as a witness to the God-given revelation in creation. </w:t>
      </w:r>
      <w:r w:rsidRPr="00DD5BD7">
        <w:rPr>
          <w:rFonts w:ascii="Times New Roman" w:hAnsi="Times New Roman"/>
          <w:b/>
          <w:bCs/>
          <w:sz w:val="22"/>
        </w:rPr>
        <w:t>Divergent Views on Natural Theology</w:t>
      </w:r>
      <w:r>
        <w:rPr>
          <w:rFonts w:ascii="Times New Roman" w:hAnsi="Times New Roman"/>
          <w:b/>
          <w:bCs/>
          <w:sz w:val="22"/>
        </w:rPr>
        <w:t xml:space="preserve">. </w:t>
      </w:r>
      <w:r>
        <w:rPr>
          <w:rFonts w:ascii="Times New Roman" w:hAnsi="Times New Roman"/>
          <w:sz w:val="22"/>
        </w:rPr>
        <w:t xml:space="preserve">Despite Barth’s strong opposition, both theologians rejected natural theology in the sense of humans possessing innate knowledge of God, though Barth’s emphatic "Nein" to natural theology may have overstated their differences. </w:t>
      </w:r>
    </w:p>
    <w:p w14:paraId="2E1974CE" w14:textId="77777777" w:rsidR="00DD5BD7" w:rsidRPr="00DD5BD7" w:rsidRDefault="00DD5BD7" w:rsidP="00DD5BD7">
      <w:pPr>
        <w:jc w:val="both"/>
        <w:rPr>
          <w:b/>
          <w:bCs/>
        </w:rPr>
      </w:pPr>
      <w:r w:rsidRPr="00DD5BD7">
        <w:rPr>
          <w:rFonts w:ascii="Times New Roman" w:hAnsi="Times New Roman"/>
          <w:b/>
          <w:bCs/>
          <w:sz w:val="22"/>
        </w:rPr>
        <w:t>Revelation as Encounter and Truth</w:t>
      </w:r>
      <w:r>
        <w:rPr>
          <w:rFonts w:ascii="Times New Roman" w:hAnsi="Times New Roman"/>
          <w:b/>
          <w:bCs/>
          <w:sz w:val="22"/>
        </w:rPr>
        <w:t>.</w:t>
      </w:r>
    </w:p>
    <w:p w14:paraId="21A2BBA2" w14:textId="77777777" w:rsidR="00DD5BD7" w:rsidRDefault="00DD5BD7" w:rsidP="00DD5BD7">
      <w:pPr>
        <w:jc w:val="both"/>
      </w:pPr>
      <w:r w:rsidRPr="00DD5BD7">
        <w:rPr>
          <w:rFonts w:ascii="Times New Roman" w:hAnsi="Times New Roman"/>
          <w:b/>
          <w:bCs/>
          <w:sz w:val="22"/>
        </w:rPr>
        <w:t>A Third Way Between Subjective and Objective Revelation</w:t>
      </w:r>
      <w:r>
        <w:rPr>
          <w:rFonts w:ascii="Times New Roman" w:hAnsi="Times New Roman"/>
          <w:b/>
          <w:bCs/>
          <w:sz w:val="22"/>
        </w:rPr>
        <w:t xml:space="preserve">. </w:t>
      </w:r>
      <w:r>
        <w:rPr>
          <w:rFonts w:ascii="Times New Roman" w:hAnsi="Times New Roman"/>
          <w:sz w:val="22"/>
        </w:rPr>
        <w:t xml:space="preserve">Brunner advocated for a middle ground between subjective revelation, as seen in Liberal Theology, and objective revelation, as in orthodoxy. Revelation, for Brunner, involved both an objective divine action and a subjective reception. </w:t>
      </w:r>
      <w:r w:rsidRPr="00DD5BD7">
        <w:rPr>
          <w:rFonts w:ascii="Times New Roman" w:hAnsi="Times New Roman"/>
          <w:b/>
          <w:bCs/>
          <w:sz w:val="22"/>
        </w:rPr>
        <w:t>Scripture and Personal Encounter</w:t>
      </w:r>
      <w:r>
        <w:rPr>
          <w:rFonts w:ascii="Times New Roman" w:hAnsi="Times New Roman"/>
          <w:b/>
          <w:bCs/>
          <w:sz w:val="22"/>
        </w:rPr>
        <w:t>.</w:t>
      </w:r>
      <w:r>
        <w:rPr>
          <w:rFonts w:ascii="Times New Roman" w:hAnsi="Times New Roman"/>
          <w:sz w:val="22"/>
        </w:rPr>
        <w:t xml:space="preserve"> Brunner held that faith in Scripture arises because "Christ, whom I am convinced in my conscience is the Truth, meets me in the Scriptures." This reflects an instrumental authority of Scripture, where genuine knowledge is found in the personal encounter with God. </w:t>
      </w:r>
      <w:r w:rsidRPr="00DD5BD7">
        <w:rPr>
          <w:rFonts w:ascii="Times New Roman" w:hAnsi="Times New Roman"/>
          <w:b/>
          <w:bCs/>
          <w:sz w:val="22"/>
        </w:rPr>
        <w:t>Influence of I-Thou Philosophy</w:t>
      </w:r>
      <w:r>
        <w:rPr>
          <w:rFonts w:ascii="Times New Roman" w:hAnsi="Times New Roman"/>
          <w:b/>
          <w:bCs/>
          <w:sz w:val="22"/>
        </w:rPr>
        <w:t xml:space="preserve">. </w:t>
      </w:r>
      <w:r>
        <w:rPr>
          <w:rFonts w:ascii="Times New Roman" w:hAnsi="Times New Roman"/>
          <w:sz w:val="22"/>
        </w:rPr>
        <w:t xml:space="preserve">Guided by Ebner and Buber, Brunner emphasized the I-Thou relationship over I-It knowledge, which pertains to rational-scientific understanding. Genuine humanity emerges through a divine call to the Creator, with knowledge being transformational and relational, restoring humans to their intended relationship with God. </w:t>
      </w:r>
      <w:r w:rsidRPr="00DD5BD7">
        <w:rPr>
          <w:rFonts w:ascii="Times New Roman" w:hAnsi="Times New Roman"/>
          <w:b/>
          <w:bCs/>
          <w:sz w:val="22"/>
        </w:rPr>
        <w:t>Historical Jesus and Faith</w:t>
      </w:r>
      <w:r>
        <w:rPr>
          <w:rFonts w:ascii="Times New Roman" w:hAnsi="Times New Roman"/>
          <w:b/>
          <w:bCs/>
          <w:sz w:val="22"/>
        </w:rPr>
        <w:t xml:space="preserve">. </w:t>
      </w:r>
      <w:r>
        <w:rPr>
          <w:rFonts w:ascii="Times New Roman" w:hAnsi="Times New Roman"/>
          <w:sz w:val="22"/>
        </w:rPr>
        <w:t xml:space="preserve">Brunner maintained the significance of the Historical Jesus, which is accessible through Scripture and church fellowship via the Spirit. He opposed reducing faith to historical criticism or the abandonment of historical claims, countering both objectivism and the existential reduction of faith to subjective understanding. </w:t>
      </w:r>
      <w:r w:rsidRPr="00DD5BD7">
        <w:rPr>
          <w:rFonts w:ascii="Times New Roman" w:hAnsi="Times New Roman"/>
          <w:b/>
          <w:bCs/>
          <w:sz w:val="22"/>
        </w:rPr>
        <w:t>Critique of Bultmann’s Demythologizing</w:t>
      </w:r>
      <w:r>
        <w:rPr>
          <w:rFonts w:ascii="Times New Roman" w:hAnsi="Times New Roman"/>
          <w:b/>
          <w:bCs/>
          <w:sz w:val="22"/>
        </w:rPr>
        <w:t xml:space="preserve">. </w:t>
      </w:r>
      <w:r>
        <w:rPr>
          <w:rFonts w:ascii="Times New Roman" w:hAnsi="Times New Roman"/>
          <w:sz w:val="22"/>
        </w:rPr>
        <w:t>While respecting Bultmann’s historical scholarship and agreeing on reinterpreting mythological elements of the New Testament, Brunner critiqued Bultmann’s interchange of myth with worldview, particularly concerning the Incarnation and death of Christ. Though rejecting a literal cosmology, Brunner upheld supernaturalism, affirming God’s historical intervention.</w:t>
      </w:r>
      <w:r w:rsidR="00E2575C">
        <w:rPr>
          <w:rFonts w:ascii="Times New Roman" w:hAnsi="Times New Roman"/>
          <w:sz w:val="22"/>
        </w:rPr>
        <w:t xml:space="preserve"> </w:t>
      </w:r>
      <w:r w:rsidRPr="00E2575C">
        <w:rPr>
          <w:rFonts w:ascii="Times New Roman" w:hAnsi="Times New Roman"/>
          <w:b/>
          <w:bCs/>
          <w:sz w:val="22"/>
        </w:rPr>
        <w:t>Brunner’s Personalism in Theology</w:t>
      </w:r>
      <w:r w:rsidR="00E2575C">
        <w:rPr>
          <w:rFonts w:ascii="Times New Roman" w:hAnsi="Times New Roman"/>
          <w:b/>
          <w:bCs/>
          <w:sz w:val="22"/>
        </w:rPr>
        <w:t xml:space="preserve">. </w:t>
      </w:r>
      <w:r>
        <w:rPr>
          <w:rFonts w:ascii="Times New Roman" w:hAnsi="Times New Roman"/>
          <w:sz w:val="22"/>
        </w:rPr>
        <w:t>Brunner’s theology of God and Christ is deeply personalistic, viewing divine attributes as reflections of God as a person. His Christology starts inductively from scriptural testimony, emphasizing knowledge of Christ through his works and benefits, echoing Melanchthon’s emphasis.</w:t>
      </w:r>
    </w:p>
    <w:p w14:paraId="7B05038D" w14:textId="77777777" w:rsidR="007061DD" w:rsidRDefault="007061DD">
      <w:pPr>
        <w:rPr>
          <w:b/>
          <w:bCs/>
        </w:rPr>
      </w:pPr>
      <w:r>
        <w:rPr>
          <w:rFonts w:ascii="Times New Roman" w:hAnsi="Times New Roman"/>
          <w:b/>
          <w:bCs/>
          <w:sz w:val="22"/>
        </w:rPr>
        <w:br w:type="page"/>
      </w:r>
    </w:p>
    <w:p w14:paraId="0A661FED" w14:textId="77777777" w:rsidR="00D913D9" w:rsidRPr="00D913D9" w:rsidRDefault="00D913D9" w:rsidP="00D913D9">
      <w:pPr>
        <w:jc w:val="both"/>
        <w:rPr>
          <w:b/>
          <w:bCs/>
        </w:rPr>
      </w:pPr>
      <w:r w:rsidRPr="00D913D9">
        <w:rPr>
          <w:rFonts w:ascii="Times New Roman" w:hAnsi="Times New Roman"/>
          <w:b/>
          <w:bCs/>
          <w:sz w:val="22"/>
        </w:rPr>
        <w:lastRenderedPageBreak/>
        <w:t>Friedrich Gogarten</w:t>
      </w:r>
      <w:r>
        <w:rPr>
          <w:rFonts w:ascii="Times New Roman" w:hAnsi="Times New Roman"/>
          <w:b/>
          <w:bCs/>
          <w:sz w:val="22"/>
        </w:rPr>
        <w:t>.</w:t>
      </w:r>
    </w:p>
    <w:p w14:paraId="0AE38990" w14:textId="77777777" w:rsidR="00D913D9" w:rsidRDefault="00D913D9" w:rsidP="00D913D9">
      <w:pPr>
        <w:jc w:val="both"/>
      </w:pPr>
      <w:r w:rsidRPr="00D913D9">
        <w:rPr>
          <w:rFonts w:ascii="Times New Roman" w:hAnsi="Times New Roman"/>
          <w:b/>
          <w:bCs/>
          <w:sz w:val="22"/>
        </w:rPr>
        <w:t>Influence and Themes</w:t>
      </w:r>
      <w:r>
        <w:rPr>
          <w:rFonts w:ascii="Times New Roman" w:hAnsi="Times New Roman"/>
          <w:b/>
          <w:bCs/>
          <w:sz w:val="22"/>
        </w:rPr>
        <w:t xml:space="preserve">. </w:t>
      </w:r>
      <w:r>
        <w:rPr>
          <w:rFonts w:ascii="Times New Roman" w:hAnsi="Times New Roman"/>
          <w:sz w:val="22"/>
        </w:rPr>
        <w:t xml:space="preserve">Gogarten, less known outside Germany, was an influential exponent of "secular" theology. Influenced by Fichte, Luther, and Kierkegaard, he developed a distinctive interpretation of the I-Thou relationship, similar in some respects to Martin Buber's formulation. His theological critique focused on both Idealists and Barth, promoting a "theology of secularization" and defending Bultmann's "demythologizing." </w:t>
      </w:r>
    </w:p>
    <w:p w14:paraId="56211135" w14:textId="77777777" w:rsidR="00D913D9" w:rsidRDefault="00D913D9" w:rsidP="00D913D9">
      <w:pPr>
        <w:jc w:val="both"/>
      </w:pPr>
      <w:r w:rsidRPr="00D913D9">
        <w:rPr>
          <w:rFonts w:ascii="Times New Roman" w:hAnsi="Times New Roman"/>
          <w:b/>
          <w:bCs/>
          <w:sz w:val="22"/>
        </w:rPr>
        <w:t>The Christian Understanding of the World and Secularization</w:t>
      </w:r>
      <w:r>
        <w:rPr>
          <w:rFonts w:ascii="Times New Roman" w:hAnsi="Times New Roman"/>
          <w:b/>
          <w:bCs/>
          <w:sz w:val="22"/>
        </w:rPr>
        <w:t xml:space="preserve">. </w:t>
      </w:r>
      <w:r>
        <w:rPr>
          <w:rFonts w:ascii="Times New Roman" w:hAnsi="Times New Roman"/>
          <w:sz w:val="22"/>
        </w:rPr>
        <w:t xml:space="preserve"> Gogarten's view of history rejects both subjective Idealism, which involves interpreting meaning into history, and scientific positivism, which focuses on accumulating "objective" facts. Instead, he emphasizes that the reality of human history is constituted by interpersonal encounters with God, the individual, and the neighbor, highlighting relationships in everyday events rather than grand historical movements. This stands against abstract moral concepts like Catholic natural law. Gogarten's interpretation of the I-Thou relationship shares some similarities with Martin Buber's concept but is uniquely influenced by the biblical Creation account, emphasizing human existence between and in relation to the Creator and neighbor. He distinguishes this from the autonomous self, contrasting the solitary I with the Thou-I of biblical encounters, thus prioritizing the other—both God and community—as central. </w:t>
      </w:r>
      <w:r>
        <w:rPr>
          <w:rFonts w:ascii="Times New Roman" w:hAnsi="Times New Roman"/>
          <w:b/>
          <w:bCs/>
          <w:sz w:val="22"/>
        </w:rPr>
        <w:t xml:space="preserve">Being. </w:t>
      </w:r>
      <w:r>
        <w:rPr>
          <w:rFonts w:ascii="Times New Roman" w:hAnsi="Times New Roman"/>
          <w:sz w:val="22"/>
        </w:rPr>
        <w:t xml:space="preserve">Gogarten further elaborates concepts of being (Sein), focusing on being-from-the-other (Von-dem-Ander-sein), where individuals derive their being through relationships, and being-with-the-other (Mit-dem-Andern-sein), where genuine life involves communion with others. This framework opposes a self-centered existence (An-und-für-sich-sein), rejecting individualism and subjectivism. Over time, his terminoloy shifts from the "I-Thou relationship" to "responsibility," positing that secularization is the authentic outcome of Christianity's radical historicizing of human existence, equating to humanity's responsibility for the world. He distinguishes secularization, seen as humanity's adulthood and freedom from but responsibility for the world, from secularism, which he describes as an idolatrous sense of responsibility to worldly powers and ideologies, representing a surrender of freedom aligned with the "this world" of the New Testament. </w:t>
      </w:r>
      <w:r>
        <w:rPr>
          <w:rFonts w:ascii="Times New Roman" w:hAnsi="Times New Roman"/>
          <w:b/>
          <w:bCs/>
          <w:sz w:val="22"/>
        </w:rPr>
        <w:t xml:space="preserve">Christian Faith. </w:t>
      </w:r>
      <w:r>
        <w:rPr>
          <w:rFonts w:ascii="Times New Roman" w:hAnsi="Times New Roman"/>
          <w:sz w:val="22"/>
        </w:rPr>
        <w:t xml:space="preserve">In the context of Christian faith, Gogarten introduces a new understanding of human responsibility, where faith, called forth by God, inspires responsive obedience. This involves a sense of sonship and the concept of being a son of God, applicable to believers in and through Christ, which includes a new relationship to the world characterized by Lordship. This Lordship implies not being of the world but being responsible for it, ensuring it remains aligned with God's creation. Additionally, it presents a unique gift of freedom, characterizing sonship and Lordship as existing from the world while being the image of God, belonging to God in freedom. </w:t>
      </w:r>
    </w:p>
    <w:p w14:paraId="4D9E0B6D" w14:textId="77777777" w:rsidR="00BB600B" w:rsidRDefault="00BB600B" w:rsidP="00D913D9">
      <w:pPr>
        <w:jc w:val="both"/>
      </w:pPr>
      <w:r w:rsidRPr="00D913D9">
        <w:rPr>
          <w:rFonts w:ascii="Times New Roman" w:hAnsi="Times New Roman"/>
          <w:b/>
          <w:bCs/>
          <w:sz w:val="22"/>
        </w:rPr>
        <w:t>The Historicizing of Human Existence</w:t>
      </w:r>
      <w:r>
        <w:rPr>
          <w:rFonts w:ascii="Times New Roman" w:hAnsi="Times New Roman"/>
          <w:b/>
          <w:bCs/>
          <w:sz w:val="22"/>
        </w:rPr>
        <w:t xml:space="preserve">. </w:t>
      </w:r>
      <w:r>
        <w:rPr>
          <w:rFonts w:ascii="Times New Roman" w:hAnsi="Times New Roman"/>
          <w:sz w:val="22"/>
        </w:rPr>
        <w:t xml:space="preserve">Gogarten applies Luther's two realms of faith and works, suggesting faith – although not intruding in (the works of) science and reaon - should inform the limits of reason. This dominion is partial and does not pertain all of existence, which is secularism (being responsible for the whole world). </w:t>
      </w:r>
    </w:p>
    <w:p w14:paraId="43292106" w14:textId="77777777" w:rsidR="00BB600B" w:rsidRDefault="00BB600B" w:rsidP="00D913D9">
      <w:pPr>
        <w:jc w:val="both"/>
      </w:pPr>
      <w:r w:rsidRPr="00BB600B">
        <w:rPr>
          <w:rFonts w:ascii="Times New Roman" w:hAnsi="Times New Roman"/>
          <w:b/>
          <w:bCs/>
          <w:sz w:val="22"/>
        </w:rPr>
        <w:t>Demythologizing and History</w:t>
      </w:r>
      <w:r>
        <w:rPr>
          <w:rFonts w:ascii="Times New Roman" w:hAnsi="Times New Roman"/>
          <w:b/>
          <w:bCs/>
          <w:sz w:val="22"/>
        </w:rPr>
        <w:t xml:space="preserve">. </w:t>
      </w:r>
      <w:r>
        <w:rPr>
          <w:rFonts w:ascii="Times New Roman" w:hAnsi="Times New Roman"/>
          <w:sz w:val="22"/>
        </w:rPr>
        <w:t xml:space="preserve">Gogarten asserts that biblical events, while not historically factual in the scientific sense, are "Acts of God" that are suprahistorical and thus not subject to direct investigation. Bultmann employs historical criticism to analyze the </w:t>
      </w:r>
      <w:r w:rsidRPr="00BB600B">
        <w:rPr>
          <w:rFonts w:ascii="Times New Roman" w:hAnsi="Times New Roman"/>
          <w:i/>
          <w:iCs/>
          <w:sz w:val="22"/>
        </w:rPr>
        <w:t>weltanschauung</w:t>
      </w:r>
      <w:r>
        <w:rPr>
          <w:rFonts w:ascii="Times New Roman" w:hAnsi="Times New Roman"/>
          <w:sz w:val="22"/>
        </w:rPr>
        <w:t xml:space="preserve"> of the New Testament, distinguishing between its mythological Weltbild and the kerygma, or preaching about Jesus as the Christ. Gogarten challenges the notion of God acting "objectively" in history, seeing it as both a historical and theological issue. He aligns with Luther in emphasizing that faith should focus on God's intention for humanity as revealed in biblical facts, rather than on objectively verified facts. True faith, according to Gogarten, aligns with this divine intention. The modern secular world and the Bible share an understanding of the </w:t>
      </w:r>
      <w:r w:rsidRPr="00BB600B">
        <w:rPr>
          <w:rFonts w:ascii="Times New Roman" w:hAnsi="Times New Roman"/>
          <w:i/>
          <w:iCs/>
          <w:sz w:val="22"/>
        </w:rPr>
        <w:t>geschichtlichkeit</w:t>
      </w:r>
      <w:r>
        <w:rPr>
          <w:rFonts w:ascii="Times New Roman" w:hAnsi="Times New Roman"/>
          <w:sz w:val="22"/>
        </w:rPr>
        <w:t xml:space="preserve">, or historicity, of human existence, rather than an essential metaphysical conception. Thus, Bultmann's task of historical criticism remains relevant, yet Gogarten argues for a deeper understanding of the historical-theological task. He posits that God's action occurs within the life of the concrete historical person, emphasizing the </w:t>
      </w:r>
      <w:r w:rsidRPr="00BB600B">
        <w:rPr>
          <w:rFonts w:ascii="Times New Roman" w:hAnsi="Times New Roman"/>
          <w:i/>
          <w:iCs/>
          <w:sz w:val="22"/>
        </w:rPr>
        <w:t>geschichtlichkeit</w:t>
      </w:r>
      <w:r>
        <w:rPr>
          <w:rFonts w:ascii="Times New Roman" w:hAnsi="Times New Roman"/>
          <w:sz w:val="22"/>
        </w:rPr>
        <w:t xml:space="preserve"> of human existence. This occurs as kerygma, an ever-present proclamation, not as a report of past events. While faith is not subjective, as it involves confrontation with the Word of God from beyond oneself, it does create a new historical mode of being in the world: transforming from </w:t>
      </w:r>
      <w:r w:rsidRPr="00BB600B">
        <w:rPr>
          <w:rFonts w:ascii="Times New Roman" w:hAnsi="Times New Roman"/>
          <w:i/>
          <w:iCs/>
          <w:sz w:val="22"/>
        </w:rPr>
        <w:t>being-from-the-world</w:t>
      </w:r>
      <w:r>
        <w:rPr>
          <w:rFonts w:ascii="Times New Roman" w:hAnsi="Times New Roman"/>
          <w:sz w:val="22"/>
        </w:rPr>
        <w:t xml:space="preserve"> to </w:t>
      </w:r>
      <w:r w:rsidRPr="00BB600B">
        <w:rPr>
          <w:rFonts w:ascii="Times New Roman" w:hAnsi="Times New Roman"/>
          <w:i/>
          <w:iCs/>
          <w:sz w:val="22"/>
        </w:rPr>
        <w:t>being-with-the-other</w:t>
      </w:r>
      <w:r>
        <w:rPr>
          <w:rFonts w:ascii="Times New Roman" w:hAnsi="Times New Roman"/>
          <w:sz w:val="22"/>
        </w:rPr>
        <w:t>.</w:t>
      </w:r>
    </w:p>
    <w:p w14:paraId="1BE4C783" w14:textId="77777777" w:rsidR="00D913D9" w:rsidRDefault="00D913D9" w:rsidP="00D913D9">
      <w:pPr>
        <w:jc w:val="both"/>
      </w:pPr>
      <w:r w:rsidRPr="00D913D9">
        <w:rPr>
          <w:rFonts w:ascii="Times New Roman" w:hAnsi="Times New Roman"/>
          <w:b/>
          <w:bCs/>
          <w:sz w:val="22"/>
        </w:rPr>
        <w:lastRenderedPageBreak/>
        <w:t xml:space="preserve">Gogarten and Harvey Cox. </w:t>
      </w:r>
      <w:r>
        <w:rPr>
          <w:rFonts w:ascii="Times New Roman" w:hAnsi="Times New Roman"/>
          <w:sz w:val="22"/>
        </w:rPr>
        <w:t>Harvey Cox's "The Secular City" builds on Gogarten's view of secularization, highlighting the biblical worldview's role in disenchantment, desacralization, and deconsecration. While Cox presents a modern urban, technological ethos positively, Gogarten's perspective sees Christianity as offering prophetic insight into this context.</w:t>
      </w:r>
    </w:p>
    <w:p w14:paraId="32C6A862" w14:textId="77777777" w:rsidR="00135B7B" w:rsidRDefault="00135B7B" w:rsidP="00D913D9">
      <w:pPr>
        <w:jc w:val="both"/>
      </w:pPr>
    </w:p>
    <w:p w14:paraId="0A368F7F" w14:textId="77777777" w:rsidR="007061DD" w:rsidRDefault="007061DD">
      <w:pPr>
        <w:rPr>
          <w:b/>
          <w:bCs/>
        </w:rPr>
      </w:pPr>
      <w:r>
        <w:rPr>
          <w:rFonts w:ascii="Times New Roman" w:hAnsi="Times New Roman"/>
          <w:b/>
          <w:bCs/>
          <w:sz w:val="22"/>
        </w:rPr>
        <w:br w:type="page"/>
      </w:r>
    </w:p>
    <w:p w14:paraId="6A2BB115" w14:textId="77777777" w:rsidR="00135B7B" w:rsidRPr="00135B7B" w:rsidRDefault="00135B7B" w:rsidP="00D913D9">
      <w:pPr>
        <w:jc w:val="both"/>
        <w:rPr>
          <w:b/>
          <w:bCs/>
        </w:rPr>
      </w:pPr>
      <w:r>
        <w:rPr>
          <w:rFonts w:ascii="Times New Roman" w:hAnsi="Times New Roman"/>
          <w:b/>
          <w:bCs/>
          <w:sz w:val="22"/>
        </w:rPr>
        <w:lastRenderedPageBreak/>
        <w:t>Chapter Four: The Theologies of Karl Barth and Dietrich Bonhoeffer</w:t>
      </w:r>
    </w:p>
    <w:p w14:paraId="29356A71" w14:textId="77777777" w:rsidR="00135B7B" w:rsidRDefault="00135B7B" w:rsidP="00135B7B">
      <w:pPr>
        <w:jc w:val="both"/>
      </w:pPr>
      <w:r w:rsidRPr="00135B7B">
        <w:rPr>
          <w:rFonts w:ascii="Times New Roman" w:hAnsi="Times New Roman"/>
          <w:b/>
          <w:bCs/>
          <w:sz w:val="22"/>
        </w:rPr>
        <w:t>The Development of Karl Barth's Theology</w:t>
      </w:r>
      <w:r>
        <w:rPr>
          <w:rFonts w:ascii="Times New Roman" w:hAnsi="Times New Roman"/>
          <w:b/>
          <w:bCs/>
          <w:sz w:val="22"/>
        </w:rPr>
        <w:t xml:space="preserve">. </w:t>
      </w:r>
      <w:r>
        <w:rPr>
          <w:rFonts w:ascii="Times New Roman" w:hAnsi="Times New Roman"/>
          <w:sz w:val="22"/>
        </w:rPr>
        <w:t xml:space="preserve">Barth's theology underwent significant development between 1922 and 1930 as he sought to eliminate existential philosophical presuppositions and create a theology independent of external philosophical or anthropological influences. His pivotal work, </w:t>
      </w:r>
      <w:r w:rsidRPr="00135B7B">
        <w:rPr>
          <w:rFonts w:ascii="Times New Roman" w:hAnsi="Times New Roman"/>
          <w:i/>
          <w:iCs/>
          <w:sz w:val="22"/>
        </w:rPr>
        <w:t>Kirchliche Dogmatik</w:t>
      </w:r>
      <w:r>
        <w:rPr>
          <w:rFonts w:ascii="Times New Roman" w:hAnsi="Times New Roman"/>
          <w:sz w:val="22"/>
        </w:rPr>
        <w:t xml:space="preserve">, emphasizes the centrality of the Church in theology, distancing itself from the overly broad use of "Christian." Barth was influenced by Anselm, advocating that theology must originate from the beliefs of the Confessing Church: true understanding emerges when the literal scriptural text and its meaning converge. While his earlier </w:t>
      </w:r>
      <w:r w:rsidRPr="00135B7B">
        <w:rPr>
          <w:rFonts w:ascii="Times New Roman" w:hAnsi="Times New Roman"/>
          <w:i/>
          <w:iCs/>
          <w:sz w:val="22"/>
        </w:rPr>
        <w:t>Römerbrief</w:t>
      </w:r>
      <w:r>
        <w:rPr>
          <w:rFonts w:ascii="Times New Roman" w:hAnsi="Times New Roman"/>
          <w:sz w:val="22"/>
        </w:rPr>
        <w:t xml:space="preserve"> emphasized a dialectical revelation, his later works incorporate more realism, though the dialectical nature continues with a distinctive use of theological analogy.</w:t>
      </w:r>
    </w:p>
    <w:p w14:paraId="0141358A" w14:textId="77777777" w:rsidR="00135B7B" w:rsidRDefault="00135B7B" w:rsidP="00135B7B">
      <w:pPr>
        <w:jc w:val="both"/>
      </w:pPr>
      <w:r w:rsidRPr="00135B7B">
        <w:rPr>
          <w:rFonts w:ascii="Times New Roman" w:hAnsi="Times New Roman"/>
          <w:b/>
          <w:bCs/>
          <w:sz w:val="22"/>
        </w:rPr>
        <w:t>Political Theology and Christian Social Ethics</w:t>
      </w:r>
      <w:r>
        <w:rPr>
          <w:rFonts w:ascii="Times New Roman" w:hAnsi="Times New Roman"/>
          <w:b/>
          <w:bCs/>
          <w:sz w:val="22"/>
        </w:rPr>
        <w:t xml:space="preserve">. </w:t>
      </w:r>
      <w:r>
        <w:rPr>
          <w:rFonts w:ascii="Times New Roman" w:hAnsi="Times New Roman"/>
          <w:sz w:val="22"/>
        </w:rPr>
        <w:t xml:space="preserve">Barth actively opposed theologians who supported the Nazi regime, including separating from some within the </w:t>
      </w:r>
      <w:r w:rsidRPr="00135B7B">
        <w:rPr>
          <w:rFonts w:ascii="Times New Roman" w:hAnsi="Times New Roman"/>
          <w:i/>
          <w:iCs/>
          <w:sz w:val="22"/>
        </w:rPr>
        <w:t>Zwischen die Zeiten</w:t>
      </w:r>
      <w:r>
        <w:rPr>
          <w:rFonts w:ascii="Times New Roman" w:hAnsi="Times New Roman"/>
          <w:sz w:val="22"/>
        </w:rPr>
        <w:t xml:space="preserve"> group and challenging the "German Christians" who endorsed racist ideologies and anti-Semitism. His influential work, </w:t>
      </w:r>
      <w:r w:rsidRPr="00135B7B">
        <w:rPr>
          <w:rFonts w:ascii="Times New Roman" w:hAnsi="Times New Roman"/>
          <w:i/>
          <w:iCs/>
          <w:sz w:val="22"/>
        </w:rPr>
        <w:t>Theologische Existenz Heute</w:t>
      </w:r>
      <w:r>
        <w:rPr>
          <w:rFonts w:ascii="Times New Roman" w:hAnsi="Times New Roman"/>
          <w:sz w:val="22"/>
        </w:rPr>
        <w:t xml:space="preserve">, was even sent to Hitler, outlining his critical stance. In 1933, Barth, alongside Niemöller, organized opposition to the "German Christians." His authorship of the Barmen Declaration in 1934 marked a theological stand against idolatrous political ideologies, stressing the sovereignty of Jesus Christ's word. The Declaration's six articles articulate key positions: Christ as the sole source of divine authority, rejection of doctrines attributing areas of life to lords other than Christ, opposition to anti-Semitic teachings, reinforcement of church authority within its ministry, critique of state absolutism while acknowledging both Church and State fall under God's Word. Besides secular utilitarianism/calculationism, it was also against the Roman Catholic concept of natural law, Brunner’s natural theology, and Gogarten’s “order of creation.” </w:t>
      </w:r>
    </w:p>
    <w:p w14:paraId="3DAFA35C" w14:textId="77777777" w:rsidR="00135B7B" w:rsidRDefault="00135B7B" w:rsidP="00135B7B">
      <w:pPr>
        <w:jc w:val="both"/>
      </w:pPr>
      <w:r w:rsidRPr="00135B7B">
        <w:rPr>
          <w:rFonts w:ascii="Times New Roman" w:hAnsi="Times New Roman"/>
          <w:b/>
          <w:bCs/>
          <w:sz w:val="22"/>
        </w:rPr>
        <w:t>Ethical Framework and Theological Ethics</w:t>
      </w:r>
      <w:r>
        <w:rPr>
          <w:rFonts w:ascii="Times New Roman" w:hAnsi="Times New Roman"/>
          <w:b/>
          <w:bCs/>
          <w:sz w:val="22"/>
        </w:rPr>
        <w:t xml:space="preserve">. </w:t>
      </w:r>
      <w:r>
        <w:rPr>
          <w:rFonts w:ascii="Times New Roman" w:hAnsi="Times New Roman"/>
          <w:sz w:val="22"/>
        </w:rPr>
        <w:t>Barth’s ethical framework rejects the possibility of understanding God outside divine revelation in Jesus Christ, insisting that knowledge of God derives from God alone. According to Barth, ethics are not abstract principles but continuously new insights emerging from the concrete hearing of Christ’s Word in every context, constituting Barth's concept of ethical actualism, as opposed to situation ethics. This view stands against formulating broad theological stances on social or political matters (“before God everything is impure, therefore, nothing is especially impure”), instead advocating for a church free of ideologies to communicate a unique message of freedom and justice in the world. Barth maintained that theological ethics are guided not by circumstances but by God's gracious word.</w:t>
      </w:r>
    </w:p>
    <w:p w14:paraId="161ACB0E" w14:textId="77777777" w:rsidR="00135B7B" w:rsidRPr="00C01090" w:rsidRDefault="00135B7B" w:rsidP="00135B7B">
      <w:pPr>
        <w:jc w:val="both"/>
        <w:rPr>
          <w:b/>
          <w:bCs/>
        </w:rPr>
      </w:pPr>
      <w:r w:rsidRPr="00C01090">
        <w:rPr>
          <w:rFonts w:ascii="Times New Roman" w:hAnsi="Times New Roman"/>
          <w:b/>
          <w:bCs/>
          <w:sz w:val="22"/>
        </w:rPr>
        <w:t>The Major Themes of Barth's Church Dogmatics</w:t>
      </w:r>
    </w:p>
    <w:p w14:paraId="1CEC93BB" w14:textId="77777777" w:rsidR="007061DD" w:rsidRDefault="00135B7B" w:rsidP="007061DD">
      <w:pPr>
        <w:jc w:val="both"/>
      </w:pPr>
      <w:r w:rsidRPr="00C01090">
        <w:rPr>
          <w:rFonts w:ascii="Times New Roman" w:hAnsi="Times New Roman"/>
          <w:b/>
          <w:bCs/>
          <w:sz w:val="22"/>
        </w:rPr>
        <w:t>The Doctrine of the Word of God and Interpretation</w:t>
      </w:r>
      <w:r w:rsidR="00C01090">
        <w:rPr>
          <w:rFonts w:ascii="Times New Roman" w:hAnsi="Times New Roman"/>
          <w:b/>
          <w:bCs/>
          <w:sz w:val="22"/>
        </w:rPr>
        <w:t xml:space="preserve">. </w:t>
      </w:r>
      <w:r>
        <w:rPr>
          <w:rFonts w:ascii="Times New Roman" w:hAnsi="Times New Roman"/>
          <w:sz w:val="22"/>
        </w:rPr>
        <w:t>Barth outlines the Word of God as a singular reality manifesting in three forms: revealed in Jesus Christ, written in Holy Scripture, and proclaimed by the Church. The first form is the source for the latter two, which are human activities. Barth rejects a presuppositionless objectivity in biblical exegesis, advocating instead for a distinctive theological approach with two presuppositions:</w:t>
      </w:r>
      <w:r w:rsidR="00C01090">
        <w:rPr>
          <w:rFonts w:ascii="Times New Roman" w:hAnsi="Times New Roman"/>
          <w:sz w:val="22"/>
        </w:rPr>
        <w:t xml:space="preserve"> 1) </w:t>
      </w:r>
      <w:r>
        <w:rPr>
          <w:rFonts w:ascii="Times New Roman" w:hAnsi="Times New Roman"/>
          <w:sz w:val="22"/>
        </w:rPr>
        <w:t xml:space="preserve">the remembrance of how the Church has historically heard God's Word through the Bible, and </w:t>
      </w:r>
      <w:r w:rsidR="00C01090">
        <w:rPr>
          <w:rFonts w:ascii="Times New Roman" w:hAnsi="Times New Roman"/>
          <w:sz w:val="22"/>
        </w:rPr>
        <w:t xml:space="preserve">2) </w:t>
      </w:r>
      <w:r>
        <w:rPr>
          <w:rFonts w:ascii="Times New Roman" w:hAnsi="Times New Roman"/>
          <w:sz w:val="22"/>
        </w:rPr>
        <w:t>the expectation that the reader will also hear God's Word. This approach necessitates surrendering human autonomy, recognizing that biblical interpretation is not an equal dialogue but a subordination to the prophetic and apostolic testimony. Biblical interpretation involves three stages: understanding the literal words of Scripture through literary-historical methods, reflecting on Scripture’s declarations, and employing a scheme of thought driven by the text itself.</w:t>
      </w:r>
      <w:r w:rsidR="007061DD">
        <w:rPr>
          <w:rFonts w:ascii="Times New Roman" w:hAnsi="Times New Roman"/>
          <w:sz w:val="22"/>
        </w:rPr>
        <w:t xml:space="preserve"> </w:t>
      </w:r>
      <w:r w:rsidRPr="007061DD">
        <w:rPr>
          <w:rFonts w:ascii="Times New Roman" w:hAnsi="Times New Roman"/>
          <w:b/>
          <w:bCs/>
          <w:sz w:val="22"/>
        </w:rPr>
        <w:t>The Christological Concentration</w:t>
      </w:r>
      <w:r w:rsidR="007061DD">
        <w:rPr>
          <w:rFonts w:ascii="Times New Roman" w:hAnsi="Times New Roman"/>
          <w:b/>
          <w:bCs/>
          <w:sz w:val="22"/>
        </w:rPr>
        <w:t xml:space="preserve">. </w:t>
      </w:r>
      <w:r>
        <w:rPr>
          <w:rFonts w:ascii="Times New Roman" w:hAnsi="Times New Roman"/>
          <w:sz w:val="22"/>
        </w:rPr>
        <w:t xml:space="preserve">In </w:t>
      </w:r>
      <w:r w:rsidR="007061DD">
        <w:rPr>
          <w:rFonts w:ascii="Times New Roman" w:hAnsi="Times New Roman"/>
          <w:sz w:val="22"/>
        </w:rPr>
        <w:t xml:space="preserve">the </w:t>
      </w:r>
      <w:r w:rsidRPr="007061DD">
        <w:rPr>
          <w:rFonts w:ascii="Times New Roman" w:hAnsi="Times New Roman"/>
          <w:i/>
          <w:iCs/>
          <w:sz w:val="22"/>
        </w:rPr>
        <w:t>Römerbrief</w:t>
      </w:r>
      <w:r>
        <w:rPr>
          <w:rFonts w:ascii="Times New Roman" w:hAnsi="Times New Roman"/>
          <w:sz w:val="22"/>
        </w:rPr>
        <w:t xml:space="preserve">, Barth focused on the "Whole Otherness" of God, but </w:t>
      </w:r>
      <w:r w:rsidR="007061DD">
        <w:rPr>
          <w:rFonts w:ascii="Times New Roman" w:hAnsi="Times New Roman"/>
          <w:sz w:val="22"/>
        </w:rPr>
        <w:t xml:space="preserve">the </w:t>
      </w:r>
      <w:r w:rsidRPr="007061DD">
        <w:rPr>
          <w:rFonts w:ascii="Times New Roman" w:hAnsi="Times New Roman"/>
          <w:i/>
          <w:iCs/>
          <w:sz w:val="22"/>
        </w:rPr>
        <w:t>Church Dogmatics</w:t>
      </w:r>
      <w:r>
        <w:rPr>
          <w:rFonts w:ascii="Times New Roman" w:hAnsi="Times New Roman"/>
          <w:sz w:val="22"/>
        </w:rPr>
        <w:t xml:space="preserve"> marks a shift towards a Christological concentration. God and humanity cannot be understood apart from Christ, making Christ central to theological understanding. Christ is the sole foundation and objective of creation, framing anthropology; creation isn't the work of </w:t>
      </w:r>
      <w:r w:rsidRPr="007061DD">
        <w:rPr>
          <w:rFonts w:ascii="Times New Roman" w:hAnsi="Times New Roman"/>
          <w:i/>
          <w:iCs/>
          <w:sz w:val="22"/>
        </w:rPr>
        <w:t>Deus Absconditus</w:t>
      </w:r>
      <w:r>
        <w:rPr>
          <w:rFonts w:ascii="Times New Roman" w:hAnsi="Times New Roman"/>
          <w:sz w:val="22"/>
        </w:rPr>
        <w:t>, but the work of God as manifested in Christ. Christ, not Adam, is the human prototype, affirming a positive relationship between creation and God, as sin and evil embody ontological impossibilities nullified by</w:t>
      </w:r>
      <w:r w:rsidR="007061DD">
        <w:rPr>
          <w:rFonts w:ascii="Times New Roman" w:hAnsi="Times New Roman"/>
          <w:sz w:val="22"/>
        </w:rPr>
        <w:t xml:space="preserve"> the eternal covenant in</w:t>
      </w:r>
      <w:r>
        <w:rPr>
          <w:rFonts w:ascii="Times New Roman" w:hAnsi="Times New Roman"/>
          <w:sz w:val="22"/>
        </w:rPr>
        <w:t xml:space="preserve"> Christ</w:t>
      </w:r>
      <w:r w:rsidR="007061DD">
        <w:rPr>
          <w:rFonts w:ascii="Times New Roman" w:hAnsi="Times New Roman"/>
          <w:sz w:val="22"/>
        </w:rPr>
        <w:t xml:space="preserve">. </w:t>
      </w:r>
      <w:r w:rsidRPr="007061DD">
        <w:rPr>
          <w:rFonts w:ascii="Times New Roman" w:hAnsi="Times New Roman"/>
          <w:b/>
          <w:bCs/>
          <w:sz w:val="22"/>
        </w:rPr>
        <w:t>Doctrine of Election</w:t>
      </w:r>
      <w:r w:rsidR="007061DD">
        <w:rPr>
          <w:rFonts w:ascii="Times New Roman" w:hAnsi="Times New Roman"/>
          <w:b/>
          <w:bCs/>
          <w:sz w:val="22"/>
        </w:rPr>
        <w:t xml:space="preserve">. </w:t>
      </w:r>
      <w:r>
        <w:rPr>
          <w:rFonts w:ascii="Times New Roman" w:hAnsi="Times New Roman"/>
          <w:sz w:val="22"/>
        </w:rPr>
        <w:t xml:space="preserve">Traditionally, Reformed theology views election as predating Christ and shrouded in mystery, involving double predestination as </w:t>
      </w:r>
      <w:r w:rsidR="007061DD">
        <w:rPr>
          <w:rFonts w:ascii="Times New Roman" w:hAnsi="Times New Roman"/>
          <w:sz w:val="22"/>
        </w:rPr>
        <w:t>by the</w:t>
      </w:r>
      <w:r>
        <w:rPr>
          <w:rFonts w:ascii="Times New Roman" w:hAnsi="Times New Roman"/>
          <w:sz w:val="22"/>
        </w:rPr>
        <w:t xml:space="preserve"> </w:t>
      </w:r>
      <w:r w:rsidRPr="007061DD">
        <w:rPr>
          <w:rFonts w:ascii="Times New Roman" w:hAnsi="Times New Roman"/>
          <w:i/>
          <w:iCs/>
          <w:sz w:val="22"/>
        </w:rPr>
        <w:t>Deus Absconditus</w:t>
      </w:r>
      <w:r>
        <w:rPr>
          <w:rFonts w:ascii="Times New Roman" w:hAnsi="Times New Roman"/>
          <w:sz w:val="22"/>
        </w:rPr>
        <w:t xml:space="preserve">. Barth reconceives this by positioning Christ as both the "electing God" and the "elected human." In Jesus Christ, God commits Himself to humanity, enduring rejection while electing humanity to share in divine glory. This doctrine involves double predestination within Christ alone: God elects Himself for rejection and death </w:t>
      </w:r>
      <w:r>
        <w:rPr>
          <w:rFonts w:ascii="Times New Roman" w:hAnsi="Times New Roman"/>
          <w:sz w:val="22"/>
        </w:rPr>
        <w:lastRenderedPageBreak/>
        <w:t>(God's NO to Christ) and chooses sinful humanity for election and eternal life (God's YES to humanity). Here, Jesus Christ is both the elect and the reprobate for all humanity, conceptualizing predestination as the "non-rejection of man." This interpretation emphasizes the triumph of grace, but some critique it for potentially diminishing the seriousness of evil and divine judgment and limiting human freedom.</w:t>
      </w:r>
      <w:r w:rsidR="007061DD">
        <w:rPr>
          <w:rFonts w:ascii="Times New Roman" w:hAnsi="Times New Roman"/>
          <w:sz w:val="22"/>
        </w:rPr>
        <w:t xml:space="preserve"> </w:t>
      </w:r>
    </w:p>
    <w:p w14:paraId="3AEC36E3" w14:textId="77777777" w:rsidR="007061DD" w:rsidRDefault="007061DD" w:rsidP="007061DD">
      <w:pPr>
        <w:jc w:val="both"/>
      </w:pPr>
      <w:r w:rsidRPr="007061DD">
        <w:rPr>
          <w:rFonts w:ascii="Times New Roman" w:hAnsi="Times New Roman"/>
          <w:b/>
          <w:bCs/>
          <w:sz w:val="22"/>
        </w:rPr>
        <w:t>The Reception and Critique of Barth's Theology</w:t>
      </w:r>
      <w:r>
        <w:rPr>
          <w:rFonts w:ascii="Times New Roman" w:hAnsi="Times New Roman"/>
          <w:b/>
          <w:bCs/>
          <w:sz w:val="22"/>
        </w:rPr>
        <w:t xml:space="preserve">. </w:t>
      </w:r>
      <w:r>
        <w:rPr>
          <w:rFonts w:ascii="Times New Roman" w:hAnsi="Times New Roman"/>
          <w:sz w:val="22"/>
        </w:rPr>
        <w:t xml:space="preserve">Barth's influence on theology was profound, yet he remains a contentious figure subject to continual scrutiny and criticism. His work is often misunderstood or caricatured, partly due to his shifts in theological direction, his polemical style, and the sheer scale of his Church Dogmatics, which many critics do not fully engage with. </w:t>
      </w:r>
      <w:r w:rsidRPr="007061DD">
        <w:rPr>
          <w:rFonts w:ascii="Times New Roman" w:hAnsi="Times New Roman"/>
          <w:b/>
          <w:bCs/>
          <w:sz w:val="22"/>
        </w:rPr>
        <w:t>Criticism of Theology and Philosophy</w:t>
      </w:r>
      <w:r>
        <w:rPr>
          <w:rFonts w:ascii="Times New Roman" w:hAnsi="Times New Roman"/>
          <w:b/>
          <w:bCs/>
          <w:sz w:val="22"/>
        </w:rPr>
        <w:t xml:space="preserve">. </w:t>
      </w:r>
      <w:r>
        <w:rPr>
          <w:rFonts w:ascii="Times New Roman" w:hAnsi="Times New Roman"/>
          <w:sz w:val="22"/>
        </w:rPr>
        <w:t xml:space="preserve">One primary criticism concerns the relationship between theology and philosophy. Barth's concept of "divine actualism" portrays humans as passive and God as the sole active agent in the event of revelation. Critics argue that revelation is mediated through finite, human means, suggesting that philosophy and science should play a larger role in theological discourse, a point emphasized by theologian Wolfhart Pannenberg. </w:t>
      </w:r>
      <w:r w:rsidRPr="007061DD">
        <w:rPr>
          <w:rFonts w:ascii="Times New Roman" w:hAnsi="Times New Roman"/>
          <w:b/>
          <w:bCs/>
          <w:sz w:val="22"/>
        </w:rPr>
        <w:t>Criticism of Revelation and History</w:t>
      </w:r>
      <w:r>
        <w:rPr>
          <w:rFonts w:ascii="Times New Roman" w:hAnsi="Times New Roman"/>
          <w:b/>
          <w:bCs/>
          <w:sz w:val="22"/>
        </w:rPr>
        <w:t xml:space="preserve">. </w:t>
      </w:r>
      <w:r>
        <w:rPr>
          <w:rFonts w:ascii="Times New Roman" w:hAnsi="Times New Roman"/>
          <w:sz w:val="22"/>
        </w:rPr>
        <w:t xml:space="preserve">Another critique targets the relationship between revelation and history. Barth's notion of "sacred history," or </w:t>
      </w:r>
      <w:r w:rsidRPr="007061DD">
        <w:rPr>
          <w:rFonts w:ascii="Times New Roman" w:hAnsi="Times New Roman"/>
          <w:i/>
          <w:iCs/>
          <w:sz w:val="22"/>
        </w:rPr>
        <w:t>Heilsgeschichte</w:t>
      </w:r>
      <w:r>
        <w:rPr>
          <w:rFonts w:ascii="Times New Roman" w:hAnsi="Times New Roman"/>
          <w:sz w:val="22"/>
        </w:rPr>
        <w:t xml:space="preserve">, blends the supernatural and miraculous with historical events, discernible only through faith. Critics like R. R. Niebuhr question whether such a view strips events like the resurrection of their revelatory power, arguing that revealing history must meaningfully engage with empirical reality. </w:t>
      </w:r>
      <w:r w:rsidRPr="007061DD">
        <w:rPr>
          <w:rFonts w:ascii="Times New Roman" w:hAnsi="Times New Roman"/>
          <w:b/>
          <w:bCs/>
          <w:sz w:val="22"/>
        </w:rPr>
        <w:t>Criticism of the Relationship Between God and the World</w:t>
      </w:r>
      <w:r>
        <w:rPr>
          <w:rFonts w:ascii="Times New Roman" w:hAnsi="Times New Roman"/>
          <w:b/>
          <w:bCs/>
          <w:sz w:val="22"/>
        </w:rPr>
        <w:t xml:space="preserve">. </w:t>
      </w:r>
      <w:r>
        <w:rPr>
          <w:rFonts w:ascii="Times New Roman" w:hAnsi="Times New Roman"/>
          <w:sz w:val="22"/>
        </w:rPr>
        <w:t>Finally, Barth faces criticism for his portrayal of the dialectical relationship between God and the world. His focus on God's prevenient action in Christ is said to undervalue human agency and fails to adequately explain the continuity of God's revealing activity within the world. These critiques underscore tension in Barth's theology regarding divine action and human engagement with the divine narrative.</w:t>
      </w:r>
    </w:p>
    <w:p w14:paraId="13028706" w14:textId="77777777" w:rsidR="007061DD" w:rsidRDefault="007061DD" w:rsidP="007061DD">
      <w:pPr>
        <w:jc w:val="both"/>
      </w:pPr>
    </w:p>
    <w:p w14:paraId="3376C9EC" w14:textId="77777777" w:rsidR="001F00CD" w:rsidRDefault="001F00CD">
      <w:r>
        <w:rPr>
          <w:rFonts w:ascii="Times New Roman" w:hAnsi="Times New Roman"/>
          <w:sz w:val="22"/>
        </w:rPr>
        <w:br w:type="page"/>
      </w:r>
    </w:p>
    <w:p w14:paraId="1A41661F" w14:textId="7928F61E" w:rsidR="007061DD" w:rsidRPr="007061DD" w:rsidRDefault="007061DD" w:rsidP="007061DD">
      <w:pPr>
        <w:jc w:val="both"/>
        <w:rPr>
          <w:b/>
          <w:bCs/>
        </w:rPr>
      </w:pPr>
      <w:r w:rsidRPr="007061DD">
        <w:rPr>
          <w:rFonts w:ascii="Times New Roman" w:hAnsi="Times New Roman"/>
          <w:b/>
          <w:bCs/>
          <w:sz w:val="22"/>
        </w:rPr>
        <w:lastRenderedPageBreak/>
        <w:t>Dietrich Bonhoeffer</w:t>
      </w:r>
      <w:r>
        <w:rPr>
          <w:rFonts w:ascii="Times New Roman" w:hAnsi="Times New Roman"/>
          <w:b/>
          <w:bCs/>
          <w:sz w:val="22"/>
        </w:rPr>
        <w:t xml:space="preserve">. </w:t>
      </w:r>
    </w:p>
    <w:p w14:paraId="59F77A38" w14:textId="77777777" w:rsidR="007061DD" w:rsidRDefault="007061DD" w:rsidP="007061DD">
      <w:pPr>
        <w:jc w:val="both"/>
      </w:pPr>
      <w:r w:rsidRPr="007061DD">
        <w:rPr>
          <w:rFonts w:ascii="Times New Roman" w:hAnsi="Times New Roman"/>
          <w:b/>
          <w:bCs/>
          <w:sz w:val="22"/>
        </w:rPr>
        <w:t>Early Life and Theological Development</w:t>
      </w:r>
      <w:r>
        <w:rPr>
          <w:rFonts w:ascii="Times New Roman" w:hAnsi="Times New Roman"/>
          <w:b/>
          <w:bCs/>
          <w:sz w:val="22"/>
        </w:rPr>
        <w:t xml:space="preserve">. </w:t>
      </w:r>
      <w:r>
        <w:rPr>
          <w:rFonts w:ascii="Times New Roman" w:hAnsi="Times New Roman"/>
          <w:sz w:val="22"/>
        </w:rPr>
        <w:t>Bonhoeffer studied under Adolf Harnack but maintained independence from liberal theology. During his time at Union Theological Seminary in New York, he was deeply affected by the racial injustices faced by black Americans, which informed his social activism upon returning to Germany. He preached against idolatrous leadership and Hitler, which led to his ban from teaching in 1936. His seminal work, The Cost of Discipleship (</w:t>
      </w:r>
      <w:r>
        <w:rPr>
          <w:rFonts w:ascii="Times New Roman" w:hAnsi="Times New Roman"/>
          <w:i/>
          <w:iCs/>
          <w:sz w:val="22"/>
        </w:rPr>
        <w:t>Die Nachfolge</w:t>
      </w:r>
      <w:r>
        <w:rPr>
          <w:rFonts w:ascii="Times New Roman" w:hAnsi="Times New Roman"/>
          <w:sz w:val="22"/>
        </w:rPr>
        <w:t xml:space="preserve">), was published in 1937. In 1938, he was expelled from Berlin and began connecting with leaders of the conspiracy against Hitler. By 1940, Bonhoeffer was forbidden from public speaking, and his involvement with the resistance led to his arrest in 1943. Following the failed assassination attempt on Hitler in 1944, evidence of his involvement surfaced, leading to his execution on April 9, 1945. </w:t>
      </w:r>
      <w:r w:rsidRPr="007061DD">
        <w:rPr>
          <w:rFonts w:ascii="Times New Roman" w:hAnsi="Times New Roman"/>
          <w:b/>
          <w:bCs/>
          <w:sz w:val="22"/>
        </w:rPr>
        <w:t>Bonhoeffer's Early Writings and Relationship with Karl Barth</w:t>
      </w:r>
      <w:r>
        <w:rPr>
          <w:rFonts w:ascii="Times New Roman" w:hAnsi="Times New Roman"/>
          <w:b/>
          <w:bCs/>
          <w:sz w:val="22"/>
        </w:rPr>
        <w:t>.</w:t>
      </w:r>
      <w:r w:rsidR="00A23F81">
        <w:rPr>
          <w:rFonts w:ascii="Times New Roman" w:hAnsi="Times New Roman"/>
          <w:b/>
          <w:bCs/>
          <w:sz w:val="22"/>
        </w:rPr>
        <w:t xml:space="preserve"> </w:t>
      </w:r>
      <w:r>
        <w:rPr>
          <w:rFonts w:ascii="Times New Roman" w:hAnsi="Times New Roman"/>
          <w:sz w:val="22"/>
        </w:rPr>
        <w:t xml:space="preserve">Bonhoeffer's </w:t>
      </w:r>
      <w:r w:rsidRPr="00A23F81">
        <w:rPr>
          <w:rFonts w:ascii="Times New Roman" w:hAnsi="Times New Roman"/>
          <w:i/>
          <w:iCs/>
          <w:sz w:val="22"/>
        </w:rPr>
        <w:t>Sanctorum Communio</w:t>
      </w:r>
      <w:r>
        <w:rPr>
          <w:rFonts w:ascii="Times New Roman" w:hAnsi="Times New Roman"/>
          <w:sz w:val="22"/>
        </w:rPr>
        <w:t xml:space="preserve"> integrates theology, drawn from Barth, with sociological insights from Weber and Troeltsch to develop an ecclesiology that highlights the social character of the Church with profound theological implications. He argues that Christian concepts like sin are only comprehensible within the social context of the Church. Bonhoeffer was critical of grounding theology in Neo-Kantian epistemology, like Barth's revelation focus, or </w:t>
      </w:r>
      <w:r w:rsidR="00A23F81">
        <w:rPr>
          <w:rFonts w:ascii="Times New Roman" w:hAnsi="Times New Roman"/>
          <w:sz w:val="22"/>
        </w:rPr>
        <w:t xml:space="preserve">in </w:t>
      </w:r>
      <w:r>
        <w:rPr>
          <w:rFonts w:ascii="Times New Roman" w:hAnsi="Times New Roman"/>
          <w:sz w:val="22"/>
        </w:rPr>
        <w:t>existential situations, like Heidegger and Bultmann, advocating instead for a view of "Christ existing as community." This approach emphasizes the role of the Church as a collective person in mediating God's love through Jesus Christ.</w:t>
      </w:r>
      <w:r w:rsidR="00A23F81">
        <w:rPr>
          <w:rFonts w:ascii="Times New Roman" w:hAnsi="Times New Roman"/>
          <w:sz w:val="22"/>
        </w:rPr>
        <w:t xml:space="preserve"> </w:t>
      </w:r>
      <w:r>
        <w:rPr>
          <w:rFonts w:ascii="Times New Roman" w:hAnsi="Times New Roman"/>
          <w:sz w:val="22"/>
        </w:rPr>
        <w:t xml:space="preserve">In </w:t>
      </w:r>
      <w:r w:rsidRPr="00A23F81">
        <w:rPr>
          <w:rFonts w:ascii="Times New Roman" w:hAnsi="Times New Roman"/>
          <w:i/>
          <w:iCs/>
          <w:sz w:val="22"/>
        </w:rPr>
        <w:t>Act and Being</w:t>
      </w:r>
      <w:r>
        <w:rPr>
          <w:rFonts w:ascii="Times New Roman" w:hAnsi="Times New Roman"/>
          <w:sz w:val="22"/>
        </w:rPr>
        <w:t>, Bonhoeffer critiques transcendentalism, pointing to the danger of God's otherness overshadowing His presence and freedom for humanity. He challenges the ontological perspectives that objectify God within institutional frameworks, insisting instead that the Church is the manifestation of Christ's existence in community.</w:t>
      </w:r>
      <w:r w:rsidR="00A23F81">
        <w:rPr>
          <w:rFonts w:ascii="Times New Roman" w:hAnsi="Times New Roman"/>
          <w:sz w:val="22"/>
        </w:rPr>
        <w:t xml:space="preserve"> </w:t>
      </w:r>
      <w:r w:rsidRPr="00A23F81">
        <w:rPr>
          <w:rFonts w:ascii="Times New Roman" w:hAnsi="Times New Roman"/>
          <w:b/>
          <w:bCs/>
          <w:sz w:val="22"/>
        </w:rPr>
        <w:t>Critique and Relationship with Karl Barth</w:t>
      </w:r>
      <w:r w:rsidR="00A23F81">
        <w:rPr>
          <w:rFonts w:ascii="Times New Roman" w:hAnsi="Times New Roman"/>
          <w:b/>
          <w:bCs/>
          <w:sz w:val="22"/>
        </w:rPr>
        <w:t xml:space="preserve">. </w:t>
      </w:r>
      <w:r>
        <w:rPr>
          <w:rFonts w:ascii="Times New Roman" w:hAnsi="Times New Roman"/>
          <w:sz w:val="22"/>
        </w:rPr>
        <w:t>While Barth was a mentor, Bonhoeffer critiqued his views, particularly Barth's emphasis on God's complete otherness and actualism, which</w:t>
      </w:r>
      <w:r w:rsidR="00A23F81">
        <w:rPr>
          <w:rFonts w:ascii="Times New Roman" w:hAnsi="Times New Roman"/>
          <w:sz w:val="22"/>
        </w:rPr>
        <w:t>,</w:t>
      </w:r>
      <w:r>
        <w:rPr>
          <w:rFonts w:ascii="Times New Roman" w:hAnsi="Times New Roman"/>
          <w:sz w:val="22"/>
        </w:rPr>
        <w:t xml:space="preserve"> he felt</w:t>
      </w:r>
      <w:r w:rsidR="00A23F81">
        <w:rPr>
          <w:rFonts w:ascii="Times New Roman" w:hAnsi="Times New Roman"/>
          <w:sz w:val="22"/>
        </w:rPr>
        <w:t>,</w:t>
      </w:r>
      <w:r>
        <w:rPr>
          <w:rFonts w:ascii="Times New Roman" w:hAnsi="Times New Roman"/>
          <w:sz w:val="22"/>
        </w:rPr>
        <w:t xml:space="preserve"> undermined the continuity between God and humanity. Bonhoeffer argued for a view where God's presence and aseity are realized through vicarious action, being "for others" in Jesus Christ within the Church. He</w:t>
      </w:r>
      <w:r w:rsidR="00A23F81">
        <w:rPr>
          <w:rFonts w:ascii="Times New Roman" w:hAnsi="Times New Roman"/>
          <w:sz w:val="22"/>
        </w:rPr>
        <w:t xml:space="preserve"> affirmed the </w:t>
      </w:r>
      <w:r w:rsidR="00A23F81">
        <w:rPr>
          <w:rFonts w:ascii="Times New Roman" w:hAnsi="Times New Roman"/>
          <w:i/>
          <w:iCs/>
          <w:sz w:val="22"/>
        </w:rPr>
        <w:t>finitum incapax infinit</w:t>
      </w:r>
      <w:r w:rsidR="00A23F81">
        <w:rPr>
          <w:rFonts w:ascii="Times New Roman" w:hAnsi="Times New Roman"/>
          <w:sz w:val="22"/>
        </w:rPr>
        <w:t xml:space="preserve"> but gave it a Lutheran twist: in</w:t>
      </w:r>
      <w:r>
        <w:rPr>
          <w:rFonts w:ascii="Times New Roman" w:hAnsi="Times New Roman"/>
          <w:sz w:val="22"/>
        </w:rPr>
        <w:t xml:space="preserve"> Christ, the finite becomes capable of containing the infinite.</w:t>
      </w:r>
    </w:p>
    <w:p w14:paraId="061890B6" w14:textId="77777777" w:rsidR="00A23F81" w:rsidRDefault="00A23F81" w:rsidP="007061DD">
      <w:pPr>
        <w:jc w:val="both"/>
      </w:pPr>
    </w:p>
    <w:p w14:paraId="77744BD6" w14:textId="77777777" w:rsidR="00324E28" w:rsidRDefault="00A23F81" w:rsidP="00A23F81">
      <w:pPr>
        <w:jc w:val="both"/>
      </w:pPr>
      <w:r w:rsidRPr="00A23F81">
        <w:rPr>
          <w:rFonts w:ascii="Times New Roman" w:hAnsi="Times New Roman"/>
          <w:b/>
          <w:bCs/>
          <w:sz w:val="22"/>
        </w:rPr>
        <w:t>The Christological Concentration</w:t>
      </w:r>
      <w:r>
        <w:rPr>
          <w:rFonts w:ascii="Times New Roman" w:hAnsi="Times New Roman"/>
          <w:b/>
          <w:bCs/>
          <w:sz w:val="22"/>
        </w:rPr>
        <w:t xml:space="preserve">. </w:t>
      </w:r>
    </w:p>
    <w:p w14:paraId="438E5A03" w14:textId="77777777" w:rsidR="00A23F81" w:rsidRDefault="00324E28" w:rsidP="00A23F81">
      <w:pPr>
        <w:jc w:val="both"/>
      </w:pPr>
      <w:r w:rsidRPr="00324E28">
        <w:rPr>
          <w:rFonts w:ascii="Times New Roman" w:hAnsi="Times New Roman"/>
          <w:sz w:val="22"/>
        </w:rPr>
        <w:t>Bonhoeffer's Christology is founded on the notion of Christ as a living presence today, manifest in word, sacrament, and community, affirming His historical and social presence. This contemporaneity requires acknowledgment of Jesus as fully human and fully God, embodied in the God-man, Jesus Christ. The scandal and offense of the cross represent the form of the incarnation, witnessed in Christ’s humiliation. Both the humiliation and exaltation of Christ are to be understood together as veiling yet revealing modes of God's existence in the incarnate, crucified one, underscoring the truth of the Chalcedonian formula. These aspects pose challenges not only to historical scholarship but also to Church proclamation, which often separates the present-historical Christ from the historical Jesus of Nazareth</w:t>
      </w:r>
      <w:r>
        <w:rPr>
          <w:rFonts w:ascii="Times New Roman" w:hAnsi="Times New Roman"/>
          <w:sz w:val="22"/>
        </w:rPr>
        <w:t xml:space="preserve"> (e.g., Christ’s sinlessness, empty tomb, and miracles)</w:t>
      </w:r>
      <w:r w:rsidRPr="00324E28">
        <w:rPr>
          <w:rFonts w:ascii="Times New Roman" w:hAnsi="Times New Roman"/>
          <w:sz w:val="22"/>
        </w:rPr>
        <w:t>.</w:t>
      </w:r>
      <w:r w:rsidR="00A23F81">
        <w:rPr>
          <w:rFonts w:ascii="Times New Roman" w:hAnsi="Times New Roman"/>
          <w:sz w:val="22"/>
        </w:rPr>
        <w:t xml:space="preserve"> </w:t>
      </w:r>
      <w:r w:rsidR="00A23F81" w:rsidRPr="00A23F81">
        <w:rPr>
          <w:rFonts w:ascii="Times New Roman" w:hAnsi="Times New Roman"/>
          <w:b/>
          <w:bCs/>
          <w:sz w:val="22"/>
        </w:rPr>
        <w:t>Discipleship and Ethics</w:t>
      </w:r>
      <w:r w:rsidR="00A23F81">
        <w:rPr>
          <w:rFonts w:ascii="Times New Roman" w:hAnsi="Times New Roman"/>
          <w:b/>
          <w:bCs/>
          <w:sz w:val="22"/>
        </w:rPr>
        <w:t xml:space="preserve">. </w:t>
      </w:r>
      <w:r w:rsidR="00A23F81">
        <w:rPr>
          <w:rFonts w:ascii="Times New Roman" w:hAnsi="Times New Roman"/>
          <w:sz w:val="22"/>
        </w:rPr>
        <w:t xml:space="preserve">Bonhoeffer rejects the Lutheran "two realms" doctrine, promoting engagement with the world for its betterment rather than dual allegiance or withdrawal. The </w:t>
      </w:r>
      <w:r w:rsidR="00A23F81" w:rsidRPr="00324E28">
        <w:rPr>
          <w:rFonts w:ascii="Times New Roman" w:hAnsi="Times New Roman"/>
          <w:i/>
          <w:iCs/>
          <w:sz w:val="22"/>
        </w:rPr>
        <w:t>Cost of Discipleship</w:t>
      </w:r>
      <w:r w:rsidR="00A23F81">
        <w:rPr>
          <w:rFonts w:ascii="Times New Roman" w:hAnsi="Times New Roman"/>
          <w:sz w:val="22"/>
        </w:rPr>
        <w:t xml:space="preserve"> outlines true discipleship through the Sermon on the Mount and counters a Lutheran tendency to sever justification from discipleship, warning against "cheap grace." He asserts that grace is costly, requiring followers to abandon worldly ties and endure adversity, emphasizing conformity to Christ's image not as an aspirational ideal but as Christ's form seeking manifestation in believers.</w:t>
      </w:r>
      <w:r>
        <w:rPr>
          <w:rFonts w:ascii="Times New Roman" w:hAnsi="Times New Roman"/>
          <w:sz w:val="22"/>
        </w:rPr>
        <w:t xml:space="preserve"> When we are assimilated to the form of Christ in its entirety, we have recovered our true humanity lost in the fall.</w:t>
      </w:r>
      <w:r w:rsidR="00A23F81">
        <w:rPr>
          <w:rFonts w:ascii="Times New Roman" w:hAnsi="Times New Roman"/>
          <w:sz w:val="22"/>
        </w:rPr>
        <w:t xml:space="preserve"> Concerning ethics, Bonhoeffer shifted from passive to active resistance against the Nazi regime, advocating for a Christian presence that affirms Christ's lordship over all aspects of life without dividing faith and worldliness.</w:t>
      </w:r>
      <w:r>
        <w:rPr>
          <w:rFonts w:ascii="Times New Roman" w:hAnsi="Times New Roman"/>
          <w:sz w:val="22"/>
        </w:rPr>
        <w:t xml:space="preserve"> </w:t>
      </w:r>
      <w:r w:rsidR="00A23F81" w:rsidRPr="00324E28">
        <w:rPr>
          <w:rFonts w:ascii="Times New Roman" w:hAnsi="Times New Roman"/>
          <w:b/>
          <w:bCs/>
          <w:sz w:val="22"/>
        </w:rPr>
        <w:t>The World of Age and a Religionless Christianity</w:t>
      </w:r>
      <w:r>
        <w:rPr>
          <w:rFonts w:ascii="Times New Roman" w:hAnsi="Times New Roman"/>
          <w:b/>
          <w:bCs/>
          <w:sz w:val="22"/>
        </w:rPr>
        <w:t xml:space="preserve">. </w:t>
      </w:r>
      <w:r w:rsidR="00A23F81">
        <w:rPr>
          <w:rFonts w:ascii="Times New Roman" w:hAnsi="Times New Roman"/>
          <w:sz w:val="22"/>
        </w:rPr>
        <w:t xml:space="preserve">Bonhoeffer critiques the immaturity in Christian dependency on metaphysical abstractions and individualistic practices centered on personal salvation. He argues that God should not be viewed as a metaphysical hypothesis or psychological </w:t>
      </w:r>
      <w:r>
        <w:rPr>
          <w:rFonts w:ascii="Times New Roman" w:hAnsi="Times New Roman"/>
          <w:sz w:val="22"/>
        </w:rPr>
        <w:t>stopgap</w:t>
      </w:r>
      <w:r w:rsidR="00A23F81">
        <w:rPr>
          <w:rFonts w:ascii="Times New Roman" w:hAnsi="Times New Roman"/>
          <w:sz w:val="22"/>
        </w:rPr>
        <w:t xml:space="preserve">, but instead as encountered in the concrete, communal life of love and service. This approach advocates a "this-worldly" transcendence, where God's presence is found in the tangible reality of living for others. Despite proposing a nonreligious Christianity, Bonhoeffer insists on retaining the Church's cultic practices </w:t>
      </w:r>
      <w:r w:rsidR="00A23F81">
        <w:rPr>
          <w:rFonts w:ascii="Times New Roman" w:hAnsi="Times New Roman"/>
          <w:sz w:val="22"/>
        </w:rPr>
        <w:lastRenderedPageBreak/>
        <w:t>and traditional doctrines as part of the "secret discipline," preserving Christian identity through humility and silence from an indifferent public.</w:t>
      </w:r>
      <w:r>
        <w:rPr>
          <w:rFonts w:ascii="Times New Roman" w:hAnsi="Times New Roman"/>
          <w:sz w:val="22"/>
        </w:rPr>
        <w:t xml:space="preserve"> </w:t>
      </w:r>
      <w:r w:rsidR="00A23F81" w:rsidRPr="00324E28">
        <w:rPr>
          <w:rFonts w:ascii="Times New Roman" w:hAnsi="Times New Roman"/>
          <w:b/>
          <w:bCs/>
          <w:sz w:val="22"/>
        </w:rPr>
        <w:t>Bonhoeffer's Legacy</w:t>
      </w:r>
      <w:r>
        <w:rPr>
          <w:rFonts w:ascii="Times New Roman" w:hAnsi="Times New Roman"/>
          <w:b/>
          <w:bCs/>
          <w:sz w:val="22"/>
        </w:rPr>
        <w:t xml:space="preserve">. </w:t>
      </w:r>
      <w:r w:rsidR="00A23F81">
        <w:rPr>
          <w:rFonts w:ascii="Times New Roman" w:hAnsi="Times New Roman"/>
          <w:sz w:val="22"/>
        </w:rPr>
        <w:t xml:space="preserve">Bonhoeffer's </w:t>
      </w:r>
      <w:r w:rsidR="00A23F81" w:rsidRPr="00324E28">
        <w:rPr>
          <w:rFonts w:ascii="Times New Roman" w:hAnsi="Times New Roman"/>
          <w:i/>
          <w:iCs/>
          <w:sz w:val="22"/>
        </w:rPr>
        <w:t>Letters from Prison</w:t>
      </w:r>
      <w:r w:rsidR="00A23F81">
        <w:rPr>
          <w:rFonts w:ascii="Times New Roman" w:hAnsi="Times New Roman"/>
          <w:sz w:val="22"/>
        </w:rPr>
        <w:t xml:space="preserve"> and </w:t>
      </w:r>
      <w:r w:rsidR="00A23F81" w:rsidRPr="00324E28">
        <w:rPr>
          <w:rFonts w:ascii="Times New Roman" w:hAnsi="Times New Roman"/>
          <w:i/>
          <w:iCs/>
          <w:sz w:val="22"/>
        </w:rPr>
        <w:t>Nachfolge</w:t>
      </w:r>
      <w:r w:rsidR="00A23F81">
        <w:rPr>
          <w:rFonts w:ascii="Times New Roman" w:hAnsi="Times New Roman"/>
          <w:sz w:val="22"/>
        </w:rPr>
        <w:t xml:space="preserve"> are among his most influential works, sustaining interest in his theological approach, particularly his "Christology from below" and theology of the crucified God, later explored by theologians like Moltmann and Jüngel. His legacy persists as a challenging yet illuminating voice in modern theological and ethical discourse</w:t>
      </w:r>
      <w:r w:rsidR="00664BC5">
        <w:rPr>
          <w:rFonts w:ascii="Times New Roman" w:hAnsi="Times New Roman"/>
          <w:sz w:val="22"/>
        </w:rPr>
        <w:t>.</w:t>
      </w:r>
    </w:p>
    <w:p w14:paraId="471FF5F0" w14:textId="77777777" w:rsidR="00664BC5" w:rsidRDefault="00664BC5" w:rsidP="00A23F81">
      <w:pPr>
        <w:jc w:val="both"/>
      </w:pPr>
    </w:p>
    <w:p w14:paraId="302AD1A7" w14:textId="77777777" w:rsidR="00664BC5" w:rsidRDefault="00664BC5" w:rsidP="00664BC5">
      <w:pPr>
        <w:jc w:val="both"/>
      </w:pPr>
    </w:p>
    <w:p w14:paraId="31635426" w14:textId="77777777" w:rsidR="001F00CD" w:rsidRDefault="001F00CD">
      <w:pPr>
        <w:rPr>
          <w:b/>
          <w:bCs/>
        </w:rPr>
      </w:pPr>
      <w:r>
        <w:rPr>
          <w:rFonts w:ascii="Times New Roman" w:hAnsi="Times New Roman"/>
          <w:b/>
          <w:bCs/>
          <w:sz w:val="22"/>
        </w:rPr>
        <w:br w:type="page"/>
      </w:r>
    </w:p>
    <w:p w14:paraId="75B9C8DC" w14:textId="6F2D214C" w:rsidR="00BA2B5D" w:rsidRPr="00BA2B5D" w:rsidRDefault="00BA2B5D" w:rsidP="00BA2B5D">
      <w:pPr>
        <w:jc w:val="both"/>
        <w:rPr>
          <w:b/>
          <w:bCs/>
        </w:rPr>
      </w:pPr>
      <w:r w:rsidRPr="00BA2B5D">
        <w:rPr>
          <w:rFonts w:ascii="Times New Roman" w:hAnsi="Times New Roman"/>
          <w:b/>
          <w:bCs/>
          <w:sz w:val="22"/>
        </w:rPr>
        <w:lastRenderedPageBreak/>
        <w:t>Chapter Seven: The New Theology and Transcendental Thomism</w:t>
      </w:r>
      <w:r>
        <w:rPr>
          <w:rFonts w:ascii="Times New Roman" w:hAnsi="Times New Roman"/>
          <w:b/>
          <w:bCs/>
          <w:sz w:val="22"/>
        </w:rPr>
        <w:t>.</w:t>
      </w:r>
    </w:p>
    <w:p w14:paraId="735B8DEA" w14:textId="77777777" w:rsidR="00BA2B5D" w:rsidRDefault="00BA2B5D" w:rsidP="00BA2B5D">
      <w:pPr>
        <w:jc w:val="both"/>
      </w:pPr>
      <w:r>
        <w:rPr>
          <w:rFonts w:ascii="Times New Roman" w:hAnsi="Times New Roman"/>
          <w:sz w:val="22"/>
        </w:rPr>
        <w:t xml:space="preserve">Thomas Aquinas was declared the official philosophy of the Roman Catholic Church, leading to the dominance of Neo-Scholasticism, which schools were required to teach. However, the </w:t>
      </w:r>
      <w:r w:rsidRPr="00BA2B5D">
        <w:rPr>
          <w:rFonts w:ascii="Times New Roman" w:hAnsi="Times New Roman"/>
          <w:i/>
          <w:iCs/>
          <w:sz w:val="22"/>
        </w:rPr>
        <w:t>nouvelle théologie</w:t>
      </w:r>
      <w:r>
        <w:rPr>
          <w:rFonts w:ascii="Times New Roman" w:hAnsi="Times New Roman"/>
          <w:sz w:val="22"/>
        </w:rPr>
        <w:t xml:space="preserve"> emerged as a response, emphasizing the study of the "historical" Thomas as a theologian influenced by Neo-Platonism and Augustinianism, rather than the philosophical and Aristotelian Thomas. This new perspective portrayed Thomas as using an a priori approach to knowledge and faith. </w:t>
      </w:r>
      <w:r w:rsidRPr="00BA2B5D">
        <w:rPr>
          <w:rFonts w:ascii="Times New Roman" w:hAnsi="Times New Roman"/>
          <w:b/>
          <w:bCs/>
          <w:sz w:val="22"/>
        </w:rPr>
        <w:t>Neo-Scholasticism as a Phenomenon of Modernity</w:t>
      </w:r>
      <w:r>
        <w:rPr>
          <w:rFonts w:ascii="Times New Roman" w:hAnsi="Times New Roman"/>
          <w:b/>
          <w:bCs/>
          <w:sz w:val="22"/>
        </w:rPr>
        <w:t xml:space="preserve">. </w:t>
      </w:r>
      <w:r>
        <w:rPr>
          <w:rFonts w:ascii="Times New Roman" w:hAnsi="Times New Roman"/>
          <w:sz w:val="22"/>
        </w:rPr>
        <w:t xml:space="preserve">Neo-Scholasticism aimed to counter naturalism, deism, and Romanticism by establishing a rational foundation for supernatural revelation. It distinguished natural theology from revelation, viewing grace as distinct from nature and stressing the importance of reason over subjective feelings, with nature conceived as a closed system. </w:t>
      </w:r>
      <w:r w:rsidRPr="00BA2B5D">
        <w:rPr>
          <w:rFonts w:ascii="Times New Roman" w:hAnsi="Times New Roman"/>
          <w:b/>
          <w:bCs/>
          <w:sz w:val="22"/>
        </w:rPr>
        <w:t>Henri de Lubac and the Nouvelle Théologie</w:t>
      </w:r>
      <w:r>
        <w:rPr>
          <w:rFonts w:ascii="Times New Roman" w:hAnsi="Times New Roman"/>
          <w:b/>
          <w:bCs/>
          <w:sz w:val="22"/>
        </w:rPr>
        <w:t xml:space="preserve">. </w:t>
      </w:r>
      <w:r>
        <w:rPr>
          <w:rFonts w:ascii="Times New Roman" w:hAnsi="Times New Roman"/>
          <w:sz w:val="22"/>
        </w:rPr>
        <w:t xml:space="preserve">Henri de Lubac played a key role in the revival of Catholic theology during the 1940s and 1950s in France, marked by renewed interest in patristic theology. His work, particularly "Le Súrnaturel," argued for the integral relationship between nature and grace, challenging the Neo-Scholastic dualism and impacting the nexus between culture, apologetics, and theology. </w:t>
      </w:r>
      <w:r w:rsidRPr="00BA2B5D">
        <w:rPr>
          <w:rFonts w:ascii="Times New Roman" w:hAnsi="Times New Roman"/>
          <w:b/>
          <w:bCs/>
          <w:sz w:val="22"/>
        </w:rPr>
        <w:t>Interpretation of the Senses of Scripture</w:t>
      </w:r>
      <w:r>
        <w:rPr>
          <w:rFonts w:ascii="Times New Roman" w:hAnsi="Times New Roman"/>
          <w:b/>
          <w:bCs/>
          <w:sz w:val="22"/>
        </w:rPr>
        <w:t xml:space="preserve">. </w:t>
      </w:r>
      <w:r>
        <w:rPr>
          <w:rFonts w:ascii="Times New Roman" w:hAnsi="Times New Roman"/>
          <w:sz w:val="22"/>
        </w:rPr>
        <w:t>The nouvelle théologie promoted the integration of Scripture's spiritual and literal senses, reflecting the unity of nature and grace. It emphasized the interdependence and dynamic continuity of the literal, allegorical, moral, and analogical senses, arguing that no single interpretation exhausts Scripture's richness.</w:t>
      </w:r>
    </w:p>
    <w:p w14:paraId="1A603CBA" w14:textId="77777777" w:rsidR="00BA2B5D" w:rsidRDefault="00BA2B5D" w:rsidP="00BA2B5D">
      <w:pPr>
        <w:jc w:val="both"/>
      </w:pPr>
    </w:p>
    <w:p w14:paraId="790662A4" w14:textId="77777777" w:rsidR="00BA2B5D" w:rsidRDefault="00BA2B5D" w:rsidP="00374B6B">
      <w:pPr>
        <w:jc w:val="both"/>
      </w:pPr>
      <w:r w:rsidRPr="00BA2B5D">
        <w:rPr>
          <w:rFonts w:ascii="Times New Roman" w:hAnsi="Times New Roman"/>
          <w:b/>
          <w:bCs/>
          <w:sz w:val="22"/>
        </w:rPr>
        <w:t>Karl Rahner</w:t>
      </w:r>
      <w:r w:rsidR="00374B6B">
        <w:rPr>
          <w:rFonts w:ascii="Times New Roman" w:hAnsi="Times New Roman"/>
          <w:b/>
          <w:bCs/>
          <w:sz w:val="22"/>
        </w:rPr>
        <w:t>,</w:t>
      </w:r>
      <w:r>
        <w:rPr>
          <w:rFonts w:ascii="Times New Roman" w:hAnsi="Times New Roman"/>
          <w:sz w:val="22"/>
        </w:rPr>
        <w:t xml:space="preserve"> a Jesuit theologian, explored metaphysics and epistemology in works like "Spirit in the World" and "Hearers of the Word," questioning how humans can know the metaphysical, specifically God, who transcends sensory perception. Influenced by Thomas Aquinas and Dionysius, Rahner emphasized the analogy of being, proposing that human intellect understands its limits and yearns for what transcends the world. In "Hearers of the Word," Rahner develops this into a philosophy of religion that views revelation as a transcendental experience beyond mere propositional knowledge. </w:t>
      </w:r>
      <w:r w:rsidRPr="00BA2B5D">
        <w:rPr>
          <w:rFonts w:ascii="Times New Roman" w:hAnsi="Times New Roman"/>
          <w:b/>
          <w:bCs/>
          <w:sz w:val="22"/>
        </w:rPr>
        <w:t>The Religious Dimension of Human Experience</w:t>
      </w:r>
      <w:r>
        <w:rPr>
          <w:rFonts w:ascii="Times New Roman" w:hAnsi="Times New Roman"/>
          <w:b/>
          <w:bCs/>
          <w:sz w:val="22"/>
        </w:rPr>
        <w:t xml:space="preserve">. </w:t>
      </w:r>
      <w:r>
        <w:rPr>
          <w:rFonts w:ascii="Times New Roman" w:hAnsi="Times New Roman"/>
          <w:sz w:val="22"/>
        </w:rPr>
        <w:t xml:space="preserve">Rahner mirrored Schleiermacher by situating human self-transcendence as pointing toward the </w:t>
      </w:r>
      <w:r>
        <w:rPr>
          <w:rFonts w:ascii="Times New Roman" w:hAnsi="Times New Roman"/>
          <w:i/>
          <w:iCs/>
          <w:sz w:val="22"/>
        </w:rPr>
        <w:t>whither</w:t>
      </w:r>
      <w:r>
        <w:rPr>
          <w:rFonts w:ascii="Times New Roman" w:hAnsi="Times New Roman"/>
          <w:sz w:val="22"/>
        </w:rPr>
        <w:t xml:space="preserve"> (rather than </w:t>
      </w:r>
      <w:r>
        <w:rPr>
          <w:rFonts w:ascii="Times New Roman" w:hAnsi="Times New Roman"/>
          <w:i/>
          <w:iCs/>
          <w:sz w:val="22"/>
        </w:rPr>
        <w:t>whence</w:t>
      </w:r>
      <w:r>
        <w:rPr>
          <w:rFonts w:ascii="Times New Roman" w:hAnsi="Times New Roman"/>
          <w:sz w:val="22"/>
        </w:rPr>
        <w:t>) of existence, an absolute mystery. His method of correlation investigates the relationship between transcendental human experiences and historical meaning.</w:t>
      </w:r>
      <w:r w:rsidR="00B82D17">
        <w:rPr>
          <w:rFonts w:ascii="Times New Roman" w:hAnsi="Times New Roman"/>
          <w:sz w:val="22"/>
        </w:rPr>
        <w:t xml:space="preserve"> </w:t>
      </w:r>
      <w:r w:rsidRPr="00B82D17">
        <w:rPr>
          <w:rFonts w:ascii="Times New Roman" w:hAnsi="Times New Roman"/>
          <w:b/>
          <w:bCs/>
          <w:sz w:val="22"/>
        </w:rPr>
        <w:t>The Supernatural Existential</w:t>
      </w:r>
      <w:r w:rsidR="00B82D17">
        <w:rPr>
          <w:rFonts w:ascii="Times New Roman" w:hAnsi="Times New Roman"/>
          <w:b/>
          <w:bCs/>
          <w:sz w:val="22"/>
        </w:rPr>
        <w:t xml:space="preserve">. </w:t>
      </w:r>
      <w:r>
        <w:rPr>
          <w:rFonts w:ascii="Times New Roman" w:hAnsi="Times New Roman"/>
          <w:sz w:val="22"/>
        </w:rPr>
        <w:t>Rahner's theology sees human nature as historically and concretely created with a supernatural existential goal, characterized by an innate, pre-reflective orientation toward the divine</w:t>
      </w:r>
      <w:r w:rsidR="00B82D17">
        <w:rPr>
          <w:rFonts w:ascii="Times New Roman" w:hAnsi="Times New Roman"/>
          <w:sz w:val="22"/>
        </w:rPr>
        <w:t xml:space="preserve"> (pre-apprehension)</w:t>
      </w:r>
      <w:r>
        <w:rPr>
          <w:rFonts w:ascii="Times New Roman" w:hAnsi="Times New Roman"/>
          <w:sz w:val="22"/>
        </w:rPr>
        <w:t>. This framework interprets human experience and revelation through a historical lens, applying the concept existentially to humans, distinct from nature.</w:t>
      </w:r>
      <w:r w:rsidR="00B82D17">
        <w:rPr>
          <w:rFonts w:ascii="Times New Roman" w:hAnsi="Times New Roman"/>
          <w:sz w:val="22"/>
        </w:rPr>
        <w:t xml:space="preserve"> </w:t>
      </w:r>
      <w:r w:rsidRPr="00B82D17">
        <w:rPr>
          <w:rFonts w:ascii="Times New Roman" w:hAnsi="Times New Roman"/>
          <w:b/>
          <w:bCs/>
          <w:sz w:val="22"/>
        </w:rPr>
        <w:t>Revelation as Transcendental and as Categorical</w:t>
      </w:r>
      <w:r w:rsidR="00B82D17">
        <w:rPr>
          <w:rFonts w:ascii="Times New Roman" w:hAnsi="Times New Roman"/>
          <w:b/>
          <w:bCs/>
          <w:sz w:val="22"/>
        </w:rPr>
        <w:t xml:space="preserve">. </w:t>
      </w:r>
      <w:r>
        <w:rPr>
          <w:rFonts w:ascii="Times New Roman" w:hAnsi="Times New Roman"/>
          <w:sz w:val="22"/>
        </w:rPr>
        <w:t>Transcendental revelation refers to the innate capacity for God's presence and grace, exemplified in "anonymous Christians" who exhibit implicit religiosity. Categorical revelation concretizes and historicizes this divine grace.</w:t>
      </w:r>
      <w:r w:rsidR="00B82D17">
        <w:rPr>
          <w:rFonts w:ascii="Times New Roman" w:hAnsi="Times New Roman"/>
          <w:sz w:val="22"/>
        </w:rPr>
        <w:t xml:space="preserve"> </w:t>
      </w:r>
      <w:r w:rsidRPr="00B82D17">
        <w:rPr>
          <w:rFonts w:ascii="Times New Roman" w:hAnsi="Times New Roman"/>
          <w:b/>
          <w:bCs/>
          <w:sz w:val="22"/>
        </w:rPr>
        <w:t>Rahner's Theological Method</w:t>
      </w:r>
      <w:r w:rsidR="00B82D17">
        <w:rPr>
          <w:rFonts w:ascii="Times New Roman" w:hAnsi="Times New Roman"/>
          <w:b/>
          <w:bCs/>
          <w:sz w:val="22"/>
        </w:rPr>
        <w:t xml:space="preserve">. </w:t>
      </w:r>
      <w:r w:rsidR="00B82D17" w:rsidRPr="00B82D17">
        <w:rPr>
          <w:rFonts w:ascii="Times New Roman" w:hAnsi="Times New Roman"/>
          <w:sz w:val="22"/>
        </w:rPr>
        <w:t>Rahner's theological method prominently features a "method of correlation," which draws a comparison to Paul Tillich's approach. Tillich posits that "the ambiguities of being, reason, existence, history, and life give rise to the questions that find their correlation in the symbols of God, revelation, Christ, the Kingdom, and Spirit." In contrast, Rahner centers his method of correlation not on these ambiguities, but on the experience of divine grace present within the human experience of self-transcendence.</w:t>
      </w:r>
      <w:r w:rsidR="00B82D17">
        <w:rPr>
          <w:rFonts w:ascii="Times New Roman" w:hAnsi="Times New Roman"/>
          <w:sz w:val="22"/>
        </w:rPr>
        <w:t xml:space="preserve"> </w:t>
      </w:r>
      <w:r w:rsidRPr="00B82D17">
        <w:rPr>
          <w:rFonts w:ascii="Times New Roman" w:hAnsi="Times New Roman"/>
          <w:b/>
          <w:bCs/>
          <w:sz w:val="22"/>
        </w:rPr>
        <w:t>The Symbol</w:t>
      </w:r>
      <w:r w:rsidR="00B82D17" w:rsidRPr="00B82D17">
        <w:rPr>
          <w:rFonts w:ascii="Times New Roman" w:hAnsi="Times New Roman"/>
          <w:b/>
          <w:bCs/>
          <w:sz w:val="22"/>
        </w:rPr>
        <w:t>.</w:t>
      </w:r>
      <w:r w:rsidR="00B82D17">
        <w:rPr>
          <w:rFonts w:ascii="Times New Roman" w:hAnsi="Times New Roman"/>
          <w:sz w:val="22"/>
        </w:rPr>
        <w:t xml:space="preserve"> </w:t>
      </w:r>
      <w:r>
        <w:rPr>
          <w:rFonts w:ascii="Times New Roman" w:hAnsi="Times New Roman"/>
          <w:sz w:val="22"/>
        </w:rPr>
        <w:t>Rahner distinguishes real symbols from mere signs, considering them expressions and actualizations of reality. In this view, creation is God's self-communication, with Jesus Christ as the pinnacle of such expression. This notion extends to the Trinity, Incarnation, anthropology, salvation history, the Church, and anonymous Christianity, presenting Christianity as a universal symbol of God's grace. Rahner's integration of anthropology, theology, and Christology raises critical issues within his broader theological framework.</w:t>
      </w:r>
    </w:p>
    <w:p w14:paraId="05031AD4" w14:textId="77777777" w:rsidR="00374B6B" w:rsidRDefault="00374B6B" w:rsidP="00374B6B">
      <w:pPr>
        <w:jc w:val="both"/>
      </w:pPr>
    </w:p>
    <w:p w14:paraId="6328E40C" w14:textId="77777777" w:rsidR="00374B6B" w:rsidRDefault="00374B6B" w:rsidP="00374B6B">
      <w:pPr>
        <w:jc w:val="both"/>
      </w:pPr>
      <w:r w:rsidRPr="00374B6B">
        <w:rPr>
          <w:rFonts w:ascii="Times New Roman" w:hAnsi="Times New Roman"/>
          <w:b/>
          <w:bCs/>
          <w:sz w:val="22"/>
        </w:rPr>
        <w:t>Edward Schillebeeckx</w:t>
      </w:r>
      <w:r>
        <w:rPr>
          <w:rFonts w:ascii="Times New Roman" w:hAnsi="Times New Roman"/>
          <w:b/>
          <w:bCs/>
          <w:sz w:val="22"/>
        </w:rPr>
        <w:t xml:space="preserve">, </w:t>
      </w:r>
      <w:r>
        <w:rPr>
          <w:rFonts w:ascii="Times New Roman" w:hAnsi="Times New Roman"/>
          <w:sz w:val="22"/>
        </w:rPr>
        <w:t xml:space="preserve">a Dominican theologian, began his career with a phenomenological approach, emphasizing personal experience in theological exploration. </w:t>
      </w:r>
      <w:r w:rsidRPr="00374B6B">
        <w:rPr>
          <w:rFonts w:ascii="Times New Roman" w:hAnsi="Times New Roman"/>
          <w:b/>
          <w:bCs/>
          <w:sz w:val="22"/>
        </w:rPr>
        <w:t>Sacramental Theology</w:t>
      </w:r>
      <w:r>
        <w:rPr>
          <w:rFonts w:ascii="Times New Roman" w:hAnsi="Times New Roman"/>
          <w:b/>
          <w:bCs/>
          <w:sz w:val="22"/>
        </w:rPr>
        <w:t xml:space="preserve">. </w:t>
      </w:r>
      <w:r>
        <w:rPr>
          <w:rFonts w:ascii="Times New Roman" w:hAnsi="Times New Roman"/>
          <w:sz w:val="22"/>
        </w:rPr>
        <w:t xml:space="preserve">Schillebeeckx viewed sacraments as personal communion between God and individuals, translating traditional scholastic concepts of causality into a more experiential and phenomenological account and their efficacy. His approach is decidedly more personalistic, focusing on encounter, rather than the mechanical and causal views characteristic of scholastic traditions. </w:t>
      </w:r>
      <w:r w:rsidRPr="00374B6B">
        <w:rPr>
          <w:rFonts w:ascii="Times New Roman" w:hAnsi="Times New Roman"/>
          <w:b/>
          <w:bCs/>
          <w:sz w:val="22"/>
        </w:rPr>
        <w:t>Jesus as Eschatological Prophet</w:t>
      </w:r>
      <w:r>
        <w:rPr>
          <w:rFonts w:ascii="Times New Roman" w:hAnsi="Times New Roman"/>
          <w:b/>
          <w:bCs/>
          <w:sz w:val="22"/>
        </w:rPr>
        <w:t xml:space="preserve">. </w:t>
      </w:r>
      <w:r>
        <w:rPr>
          <w:rFonts w:ascii="Times New Roman" w:hAnsi="Times New Roman"/>
          <w:sz w:val="22"/>
        </w:rPr>
        <w:t xml:space="preserve">Schillebeeckx transitioned from a </w:t>
      </w:r>
      <w:r>
        <w:rPr>
          <w:rFonts w:ascii="Times New Roman" w:hAnsi="Times New Roman"/>
          <w:sz w:val="22"/>
        </w:rPr>
        <w:lastRenderedPageBreak/>
        <w:t xml:space="preserve">phenomenological approach to historical, hermeneutical, and political methods, largely due to the insights from the study of the Historical Jesus. He emphasized the importance of history and interpretation over starting with phenomena. His work traces four historical creeds: 1) the maranatha/parousia creed focusing on Jesus's proclamation of God's reign; 2) the divine man creed emphasizing Jesus's miracles; 3) Jesus as a teacher of wisdom; and 4) the Easter creed (Paul) starting with Jesus's death and resurrection. </w:t>
      </w:r>
      <w:r w:rsidRPr="00374B6B">
        <w:rPr>
          <w:rFonts w:ascii="Times New Roman" w:hAnsi="Times New Roman"/>
          <w:b/>
          <w:bCs/>
          <w:sz w:val="22"/>
        </w:rPr>
        <w:t>Method of Correlation</w:t>
      </w:r>
      <w:r>
        <w:rPr>
          <w:rFonts w:ascii="Times New Roman" w:hAnsi="Times New Roman"/>
          <w:b/>
          <w:bCs/>
          <w:sz w:val="22"/>
        </w:rPr>
        <w:t xml:space="preserve">. </w:t>
      </w:r>
      <w:r>
        <w:rPr>
          <w:rFonts w:ascii="Times New Roman" w:hAnsi="Times New Roman"/>
          <w:sz w:val="22"/>
        </w:rPr>
        <w:t xml:space="preserve">The double correlation method adopted by Schillebeeckx is patterned on the Thomistic analogy of proportion, which differs from the stronger similitude in the analogy of attribution. This approach examines how early Christians' faith and experiences relate proportionally to </w:t>
      </w:r>
      <w:r w:rsidRPr="00374B6B">
        <w:rPr>
          <w:rFonts w:ascii="Times New Roman" w:hAnsi="Times New Roman"/>
          <w:b/>
          <w:bCs/>
          <w:sz w:val="22"/>
        </w:rPr>
        <w:t>their</w:t>
      </w:r>
      <w:r>
        <w:rPr>
          <w:rFonts w:ascii="Times New Roman" w:hAnsi="Times New Roman"/>
          <w:sz w:val="22"/>
        </w:rPr>
        <w:t xml:space="preserve"> cultural context, offering parallels to the relationship between contemporary Christianity and </w:t>
      </w:r>
      <w:r w:rsidRPr="00374B6B">
        <w:rPr>
          <w:rFonts w:ascii="Times New Roman" w:hAnsi="Times New Roman"/>
          <w:b/>
          <w:bCs/>
          <w:sz w:val="22"/>
        </w:rPr>
        <w:t>current</w:t>
      </w:r>
      <w:r>
        <w:rPr>
          <w:rFonts w:ascii="Times New Roman" w:hAnsi="Times New Roman"/>
          <w:sz w:val="22"/>
        </w:rPr>
        <w:t xml:space="preserve"> cultural settings. </w:t>
      </w:r>
      <w:r w:rsidRPr="00374B6B">
        <w:rPr>
          <w:rFonts w:ascii="Times New Roman" w:hAnsi="Times New Roman"/>
          <w:b/>
          <w:bCs/>
          <w:sz w:val="22"/>
        </w:rPr>
        <w:t>The Conflict over Ministry</w:t>
      </w:r>
      <w:r>
        <w:rPr>
          <w:rFonts w:ascii="Times New Roman" w:hAnsi="Times New Roman"/>
          <w:b/>
          <w:bCs/>
          <w:sz w:val="22"/>
        </w:rPr>
        <w:t xml:space="preserve">. </w:t>
      </w:r>
      <w:r>
        <w:rPr>
          <w:rFonts w:ascii="Times New Roman" w:hAnsi="Times New Roman"/>
          <w:sz w:val="22"/>
        </w:rPr>
        <w:t xml:space="preserve">Schillebeeckx's book </w:t>
      </w:r>
      <w:r w:rsidRPr="00374B6B">
        <w:rPr>
          <w:rFonts w:ascii="Times New Roman" w:hAnsi="Times New Roman"/>
          <w:i/>
          <w:iCs/>
          <w:sz w:val="22"/>
        </w:rPr>
        <w:t>Ministry: Leadership in the Community of Jesus Christ</w:t>
      </w:r>
      <w:r>
        <w:rPr>
          <w:rFonts w:ascii="Times New Roman" w:hAnsi="Times New Roman"/>
          <w:sz w:val="22"/>
        </w:rPr>
        <w:t xml:space="preserve"> sparked controversy within the Roman Catholic Church. He identified a significant shift in ministry understanding from the first to the second millennium. Due to the current priest shortage, he advocated that laypersons should be allowed to perform the Eucharist, reflecting early Christian practices as noted by Tertullian. He discussed historical shifts from functional and ministerial roles to more cultic and ontological understandings, and from a model of equal discipleship to a hierarchical church resulting from Christianity becoming a state church.</w:t>
      </w:r>
    </w:p>
    <w:p w14:paraId="32C18092" w14:textId="77777777" w:rsidR="00374B6B" w:rsidRDefault="00374B6B" w:rsidP="00374B6B">
      <w:pPr>
        <w:jc w:val="both"/>
      </w:pPr>
    </w:p>
    <w:p w14:paraId="7A0938A9" w14:textId="77777777" w:rsidR="001F00CD" w:rsidRDefault="001F00CD">
      <w:pPr>
        <w:rPr>
          <w:b/>
          <w:bCs/>
        </w:rPr>
      </w:pPr>
      <w:r>
        <w:rPr>
          <w:rFonts w:ascii="Times New Roman" w:hAnsi="Times New Roman"/>
          <w:b/>
          <w:bCs/>
          <w:sz w:val="22"/>
        </w:rPr>
        <w:br w:type="page"/>
      </w:r>
    </w:p>
    <w:p w14:paraId="446E1D35" w14:textId="4AA01317" w:rsidR="00374B6B" w:rsidRDefault="00374B6B" w:rsidP="00374B6B">
      <w:pPr>
        <w:jc w:val="both"/>
        <w:rPr>
          <w:b/>
          <w:bCs/>
        </w:rPr>
      </w:pPr>
      <w:r w:rsidRPr="00374B6B">
        <w:rPr>
          <w:rFonts w:ascii="Times New Roman" w:hAnsi="Times New Roman"/>
          <w:b/>
          <w:bCs/>
          <w:sz w:val="22"/>
        </w:rPr>
        <w:lastRenderedPageBreak/>
        <w:t>Chapter Eight. Vatican II and the Aggiornamento of Roman Catholic Theology</w:t>
      </w:r>
      <w:r>
        <w:rPr>
          <w:rFonts w:ascii="Times New Roman" w:hAnsi="Times New Roman"/>
          <w:b/>
          <w:bCs/>
          <w:sz w:val="22"/>
        </w:rPr>
        <w:t>.</w:t>
      </w:r>
    </w:p>
    <w:p w14:paraId="4F634E9F" w14:textId="77777777" w:rsidR="00374B6B" w:rsidRDefault="00374B6B" w:rsidP="00374B6B">
      <w:pPr>
        <w:jc w:val="both"/>
      </w:pPr>
      <w:r w:rsidRPr="00374B6B">
        <w:rPr>
          <w:rFonts w:ascii="Times New Roman" w:hAnsi="Times New Roman"/>
          <w:b/>
          <w:bCs/>
          <w:sz w:val="22"/>
        </w:rPr>
        <w:t>Hans Urs von Balthasar</w:t>
      </w:r>
      <w:r>
        <w:rPr>
          <w:rFonts w:ascii="Times New Roman" w:hAnsi="Times New Roman"/>
          <w:b/>
          <w:bCs/>
          <w:sz w:val="22"/>
        </w:rPr>
        <w:t>.</w:t>
      </w:r>
      <w:r>
        <w:rPr>
          <w:rFonts w:ascii="Times New Roman" w:hAnsi="Times New Roman"/>
          <w:sz w:val="22"/>
        </w:rPr>
        <w:t xml:space="preserve"> </w:t>
      </w:r>
    </w:p>
    <w:p w14:paraId="2FCC17D5" w14:textId="77777777" w:rsidR="00374B6B" w:rsidRDefault="00374B6B" w:rsidP="00374B6B">
      <w:pPr>
        <w:jc w:val="both"/>
      </w:pPr>
      <w:r w:rsidRPr="00374B6B">
        <w:rPr>
          <w:rFonts w:ascii="Times New Roman" w:hAnsi="Times New Roman"/>
          <w:b/>
          <w:bCs/>
          <w:sz w:val="22"/>
        </w:rPr>
        <w:t xml:space="preserve">Analogy of Being and Karl Barth. </w:t>
      </w:r>
      <w:r>
        <w:rPr>
          <w:rFonts w:ascii="Times New Roman" w:hAnsi="Times New Roman"/>
          <w:sz w:val="22"/>
        </w:rPr>
        <w:t xml:space="preserve">Von Balthasar agreed with Karl Barth's critique of Liberal Protestantism due to its turn toward the subject. However, he diverged on Barth's rejection of the analogy of being, which Barth viewed as a fundamental Roman Catholic principle, considering it the invention of the anti-Christ. For von Balthasar, there is a correlation between natural and supernatural realms, as highlighted by the </w:t>
      </w:r>
      <w:r w:rsidRPr="00374B6B">
        <w:rPr>
          <w:rFonts w:ascii="Times New Roman" w:hAnsi="Times New Roman"/>
          <w:i/>
          <w:iCs/>
          <w:sz w:val="22"/>
        </w:rPr>
        <w:t>nouvelle théologie</w:t>
      </w:r>
      <w:r>
        <w:rPr>
          <w:rFonts w:ascii="Times New Roman" w:hAnsi="Times New Roman"/>
          <w:sz w:val="22"/>
        </w:rPr>
        <w:t xml:space="preserve"> and Henri de Lubac. God's creation establishes a relational foundation for communion between God and humanity, which is the basis for the analogy of being. </w:t>
      </w:r>
      <w:r w:rsidRPr="00374B6B">
        <w:rPr>
          <w:rFonts w:ascii="Times New Roman" w:hAnsi="Times New Roman"/>
          <w:b/>
          <w:bCs/>
          <w:sz w:val="22"/>
        </w:rPr>
        <w:t xml:space="preserve">Theological Aesthetics. </w:t>
      </w:r>
      <w:r>
        <w:rPr>
          <w:rFonts w:ascii="Times New Roman" w:hAnsi="Times New Roman"/>
          <w:sz w:val="22"/>
        </w:rPr>
        <w:t xml:space="preserve">Von Balthasar proposed aesthetics as a point of contact with Christianity for positivists and atheists. </w:t>
      </w:r>
      <w:r w:rsidRPr="00374B6B">
        <w:rPr>
          <w:rFonts w:ascii="Times New Roman" w:hAnsi="Times New Roman"/>
          <w:b/>
          <w:bCs/>
          <w:sz w:val="22"/>
        </w:rPr>
        <w:t>From Theo-Drama to Theo-Logic.</w:t>
      </w:r>
      <w:r>
        <w:rPr>
          <w:rFonts w:ascii="Times New Roman" w:hAnsi="Times New Roman"/>
          <w:b/>
          <w:bCs/>
          <w:sz w:val="22"/>
        </w:rPr>
        <w:t xml:space="preserve"> </w:t>
      </w:r>
      <w:r>
        <w:rPr>
          <w:rFonts w:ascii="Times New Roman" w:hAnsi="Times New Roman"/>
          <w:sz w:val="22"/>
        </w:rPr>
        <w:t>In his works, the theodrama spans the Triduum of Good Friday, Holy Saturday, and Easter Sunday, asserting that these events deeply affect God's very being. The theodrama is grounded in the idea that God acts to embrace the tragedy of human existence. Von Balthasar employs aesthetic categories such as Gestalt, form, and symbol, as well as concepts of play, role, and narrative, rendering the dramatic structure as Trinitarian: the Father as author, the Son as actor, and the Spirit as director, with humanity playing its part within the divine drama in response to God-given missions and callings. Theo-Logic deals with truth and complements the exploration of the beautiful (</w:t>
      </w:r>
      <w:r w:rsidRPr="009C1B47">
        <w:rPr>
          <w:rFonts w:ascii="Times New Roman" w:hAnsi="Times New Roman"/>
          <w:b/>
          <w:bCs/>
          <w:sz w:val="22"/>
        </w:rPr>
        <w:t>Theological Aesthetics</w:t>
      </w:r>
      <w:r>
        <w:rPr>
          <w:rFonts w:ascii="Times New Roman" w:hAnsi="Times New Roman"/>
          <w:sz w:val="22"/>
        </w:rPr>
        <w:t>), the good (</w:t>
      </w:r>
      <w:r w:rsidRPr="009C1B47">
        <w:rPr>
          <w:rFonts w:ascii="Times New Roman" w:hAnsi="Times New Roman"/>
          <w:b/>
          <w:bCs/>
          <w:sz w:val="22"/>
        </w:rPr>
        <w:t>Theodrama</w:t>
      </w:r>
      <w:r>
        <w:rPr>
          <w:rFonts w:ascii="Times New Roman" w:hAnsi="Times New Roman"/>
          <w:sz w:val="22"/>
        </w:rPr>
        <w:t>), and the truth (</w:t>
      </w:r>
      <w:r w:rsidRPr="009C1B47">
        <w:rPr>
          <w:rFonts w:ascii="Times New Roman" w:hAnsi="Times New Roman"/>
          <w:b/>
          <w:bCs/>
          <w:sz w:val="22"/>
        </w:rPr>
        <w:t>Theo-Logic</w:t>
      </w:r>
      <w:r>
        <w:rPr>
          <w:rFonts w:ascii="Times New Roman" w:hAnsi="Times New Roman"/>
          <w:sz w:val="22"/>
        </w:rPr>
        <w:t xml:space="preserve">). God's kenosis in Christ's crucifixion is a manifestation of love, referred to as </w:t>
      </w:r>
      <w:r w:rsidRPr="009C1B47">
        <w:rPr>
          <w:rFonts w:ascii="Times New Roman" w:hAnsi="Times New Roman"/>
          <w:i/>
          <w:iCs/>
          <w:sz w:val="22"/>
        </w:rPr>
        <w:t>analogia caritatis</w:t>
      </w:r>
      <w:r>
        <w:rPr>
          <w:rFonts w:ascii="Times New Roman" w:hAnsi="Times New Roman"/>
          <w:sz w:val="22"/>
        </w:rPr>
        <w:t>, revealing the beauty, goodness, and truth of reality.</w:t>
      </w:r>
    </w:p>
    <w:p w14:paraId="43BB19B3" w14:textId="77777777" w:rsidR="009C1B47" w:rsidRDefault="009C1B47" w:rsidP="00374B6B">
      <w:pPr>
        <w:jc w:val="both"/>
      </w:pPr>
    </w:p>
    <w:p w14:paraId="7BD5C143" w14:textId="77777777" w:rsidR="009C1B47" w:rsidRPr="009C1B47" w:rsidRDefault="009C1B47" w:rsidP="009C1B47">
      <w:pPr>
        <w:jc w:val="both"/>
        <w:rPr>
          <w:b/>
          <w:bCs/>
        </w:rPr>
      </w:pPr>
      <w:r w:rsidRPr="009C1B47">
        <w:rPr>
          <w:rFonts w:ascii="Times New Roman" w:hAnsi="Times New Roman"/>
          <w:b/>
          <w:bCs/>
          <w:sz w:val="22"/>
        </w:rPr>
        <w:t>Joseph Cardinal Ratzinger.</w:t>
      </w:r>
    </w:p>
    <w:p w14:paraId="5264345B" w14:textId="77777777" w:rsidR="009C1B47" w:rsidRDefault="009C1B47" w:rsidP="009C1B47">
      <w:pPr>
        <w:jc w:val="both"/>
      </w:pPr>
      <w:r w:rsidRPr="009C1B47">
        <w:rPr>
          <w:rFonts w:ascii="Times New Roman" w:hAnsi="Times New Roman"/>
          <w:b/>
          <w:bCs/>
          <w:sz w:val="22"/>
        </w:rPr>
        <w:t xml:space="preserve">From Church as People of God to Church as Body of Christ. </w:t>
      </w:r>
      <w:r>
        <w:rPr>
          <w:rFonts w:ascii="Times New Roman" w:hAnsi="Times New Roman"/>
          <w:sz w:val="22"/>
        </w:rPr>
        <w:t xml:space="preserve">Ratzinger argues that Christians should not be understood merely as the People of God, as this perspective inadequately reflects the Christological and sacramental dimensions of the Church. Instead, he emphasizes the Church as the Body of Christ. </w:t>
      </w:r>
      <w:r w:rsidRPr="009C1B47">
        <w:rPr>
          <w:rFonts w:ascii="Times New Roman" w:hAnsi="Times New Roman"/>
          <w:b/>
          <w:bCs/>
          <w:sz w:val="22"/>
        </w:rPr>
        <w:t xml:space="preserve">The Optimism and Modernism of Vatican II. </w:t>
      </w:r>
      <w:r w:rsidRPr="009C1B47">
        <w:rPr>
          <w:rFonts w:ascii="Times New Roman" w:hAnsi="Times New Roman"/>
          <w:sz w:val="22"/>
        </w:rPr>
        <w:t>Ratzinger</w:t>
      </w:r>
      <w:r>
        <w:rPr>
          <w:rFonts w:ascii="Times New Roman" w:hAnsi="Times New Roman"/>
          <w:sz w:val="22"/>
        </w:rPr>
        <w:t xml:space="preserve"> critiques </w:t>
      </w:r>
      <w:r w:rsidRPr="009C1B47">
        <w:rPr>
          <w:rFonts w:ascii="Times New Roman" w:hAnsi="Times New Roman"/>
          <w:i/>
          <w:iCs/>
          <w:sz w:val="22"/>
        </w:rPr>
        <w:t>Gaudium et Spes</w:t>
      </w:r>
      <w:r>
        <w:rPr>
          <w:rFonts w:ascii="Times New Roman" w:hAnsi="Times New Roman"/>
          <w:sz w:val="22"/>
        </w:rPr>
        <w:t xml:space="preserve">, asserting that it views the Church and the world as counterparts, leading to a portrayal of the Church as a closed entity with a ghetto mentality. He criticizes Vatican II's call for solidarity with humanity and cooperation with the world as excessively accommodating and optimistic. </w:t>
      </w:r>
      <w:r w:rsidRPr="009C1B47">
        <w:rPr>
          <w:rFonts w:ascii="Times New Roman" w:hAnsi="Times New Roman"/>
          <w:b/>
          <w:bCs/>
          <w:sz w:val="22"/>
        </w:rPr>
        <w:t xml:space="preserve">Theology of the Cross or Theology of Incarnation. </w:t>
      </w:r>
      <w:r>
        <w:rPr>
          <w:rFonts w:ascii="Times New Roman" w:hAnsi="Times New Roman"/>
          <w:sz w:val="22"/>
        </w:rPr>
        <w:t xml:space="preserve">Favoring Bonaventure and Augustine over Thomas Aquinas, Ratzinger emphasizes the distinction between the theology of incarnation and the theology of the cross. The Theology of Incarnation, associated with Rahner and Teilhard de Chardin, proposes that grace perfects nature, leading to a static, optimistic view of human sin as minor. In contrast, the Theology of the Cross emphasizes the disparity between worldly wisdom, seen as folly, and divine wisdom. Ratzinger argues that the Theology of the Cross urges a dynamic, anti-world conception of Christianity, viewing it as a continual challenge to human self-assurance, including the Church itself. He believes both theological perspectives should be considered as correcting polarities. </w:t>
      </w:r>
      <w:r w:rsidRPr="009C1B47">
        <w:rPr>
          <w:rFonts w:ascii="Times New Roman" w:hAnsi="Times New Roman"/>
          <w:b/>
          <w:bCs/>
          <w:sz w:val="22"/>
        </w:rPr>
        <w:t>Religious Pluralism and Moral Relativism.</w:t>
      </w:r>
      <w:r>
        <w:rPr>
          <w:rFonts w:ascii="Times New Roman" w:hAnsi="Times New Roman"/>
          <w:sz w:val="22"/>
        </w:rPr>
        <w:t xml:space="preserve"> Following the collapse of communism in Eastern Europe, Ratzinger moved his critique from liberation theology and Marxist ideology to moral relativism. He identifies relativism as the philosophical underpinning of democracy, asserting that it “</w:t>
      </w:r>
      <w:r w:rsidRPr="009C1B47">
        <w:rPr>
          <w:rFonts w:ascii="Times New Roman" w:hAnsi="Times New Roman"/>
          <w:sz w:val="22"/>
        </w:rPr>
        <w:t>not only robs faith of its claim to truth, but does not provide a vision of human dignity that should be the foundation of democracy.</w:t>
      </w:r>
      <w:r>
        <w:rPr>
          <w:rFonts w:ascii="Times New Roman" w:hAnsi="Times New Roman"/>
          <w:sz w:val="22"/>
        </w:rPr>
        <w:t>”</w:t>
      </w:r>
    </w:p>
    <w:p w14:paraId="69395B0D" w14:textId="77777777" w:rsidR="009C1B47" w:rsidRDefault="009C1B47" w:rsidP="009C1B47">
      <w:pPr>
        <w:jc w:val="both"/>
      </w:pPr>
    </w:p>
    <w:p w14:paraId="103BDB3A" w14:textId="77777777" w:rsidR="001F00CD" w:rsidRDefault="001F00CD">
      <w:pPr>
        <w:rPr>
          <w:b/>
          <w:bCs/>
        </w:rPr>
      </w:pPr>
      <w:r>
        <w:rPr>
          <w:rFonts w:ascii="Times New Roman" w:hAnsi="Times New Roman"/>
          <w:b/>
          <w:bCs/>
          <w:sz w:val="22"/>
        </w:rPr>
        <w:br w:type="page"/>
      </w:r>
    </w:p>
    <w:p w14:paraId="5866F350" w14:textId="4ECFAD65" w:rsidR="009C1B47" w:rsidRPr="009C1B47" w:rsidRDefault="009C1B47" w:rsidP="009C1B47">
      <w:pPr>
        <w:jc w:val="both"/>
        <w:rPr>
          <w:b/>
          <w:bCs/>
        </w:rPr>
      </w:pPr>
      <w:r w:rsidRPr="009C1B47">
        <w:rPr>
          <w:rFonts w:ascii="Times New Roman" w:hAnsi="Times New Roman"/>
          <w:b/>
          <w:bCs/>
          <w:sz w:val="22"/>
        </w:rPr>
        <w:lastRenderedPageBreak/>
        <w:t>Chapter Nine. Political Theology and Latin American Liberation Theologies</w:t>
      </w:r>
      <w:r>
        <w:rPr>
          <w:rFonts w:ascii="Times New Roman" w:hAnsi="Times New Roman"/>
          <w:b/>
          <w:bCs/>
          <w:sz w:val="22"/>
        </w:rPr>
        <w:t>.</w:t>
      </w:r>
    </w:p>
    <w:p w14:paraId="00912BFE" w14:textId="77777777" w:rsidR="009C1B47" w:rsidRPr="009C1B47" w:rsidRDefault="009C1B47" w:rsidP="009C1B47">
      <w:pPr>
        <w:jc w:val="both"/>
        <w:rPr>
          <w:b/>
          <w:bCs/>
        </w:rPr>
      </w:pPr>
      <w:r w:rsidRPr="009C1B47">
        <w:rPr>
          <w:rFonts w:ascii="Times New Roman" w:hAnsi="Times New Roman"/>
          <w:b/>
          <w:bCs/>
          <w:sz w:val="22"/>
        </w:rPr>
        <w:t>Political Theology.</w:t>
      </w:r>
    </w:p>
    <w:p w14:paraId="5C516046" w14:textId="77777777" w:rsidR="009C1B47" w:rsidRDefault="009C1B47" w:rsidP="009C1B47">
      <w:pPr>
        <w:jc w:val="both"/>
      </w:pPr>
      <w:r w:rsidRPr="009C1B47">
        <w:rPr>
          <w:rFonts w:ascii="Times New Roman" w:hAnsi="Times New Roman"/>
          <w:b/>
          <w:bCs/>
          <w:sz w:val="22"/>
        </w:rPr>
        <w:t>The Post-World War II Context.</w:t>
      </w:r>
      <w:r>
        <w:rPr>
          <w:rFonts w:ascii="Times New Roman" w:hAnsi="Times New Roman"/>
          <w:b/>
          <w:bCs/>
          <w:sz w:val="22"/>
        </w:rPr>
        <w:t xml:space="preserve"> </w:t>
      </w:r>
      <w:r>
        <w:rPr>
          <w:rFonts w:ascii="Times New Roman" w:hAnsi="Times New Roman"/>
          <w:sz w:val="22"/>
        </w:rPr>
        <w:t xml:space="preserve">Political theology emerged in Germany after World War II, emphasizing a future orientation, hope for societal transformation, and the public impact of religion. Johann B. Metz and Jürgen Moltmann, both of whom experienced the war as teenagers, share common features in their work. These include their interpretation of religion's cultural and social positioning, critiques of earlier twentieth-century theologies, and a retrieval and application of eschatology to social and political life. Two significant currents influenced political theology: the retrieval of biblical eschatology, as seen in the work of Ernst Käsemann, and the push for churches to engage in social and political critique, advocated by Ernst Bloch. </w:t>
      </w:r>
      <w:r w:rsidRPr="009C1B47">
        <w:rPr>
          <w:rFonts w:ascii="Times New Roman" w:hAnsi="Times New Roman"/>
          <w:b/>
          <w:bCs/>
          <w:sz w:val="22"/>
        </w:rPr>
        <w:t>Interpretation of the Situation: The Privatization of Religion.</w:t>
      </w:r>
      <w:r>
        <w:rPr>
          <w:rFonts w:ascii="Times New Roman" w:hAnsi="Times New Roman"/>
          <w:b/>
          <w:bCs/>
          <w:sz w:val="22"/>
        </w:rPr>
        <w:t xml:space="preserve"> </w:t>
      </w:r>
      <w:r w:rsidRPr="004C7526">
        <w:rPr>
          <w:rFonts w:ascii="Times New Roman" w:hAnsi="Times New Roman"/>
          <w:sz w:val="22"/>
        </w:rPr>
        <w:t>T</w:t>
      </w:r>
      <w:r>
        <w:rPr>
          <w:rFonts w:ascii="Times New Roman" w:hAnsi="Times New Roman"/>
          <w:sz w:val="22"/>
        </w:rPr>
        <w:t xml:space="preserve">he impact of technocratic rationalism, which objectifies nature, and market capitalism, which reduces religion to a market commodity, is critiqued. These forces lead to the privatization and reification of religion. </w:t>
      </w:r>
      <w:r w:rsidR="004C7526">
        <w:rPr>
          <w:rFonts w:ascii="Times New Roman" w:hAnsi="Times New Roman"/>
          <w:sz w:val="22"/>
        </w:rPr>
        <w:t>The result is that</w:t>
      </w:r>
      <w:r>
        <w:rPr>
          <w:rFonts w:ascii="Times New Roman" w:hAnsi="Times New Roman"/>
          <w:sz w:val="22"/>
        </w:rPr>
        <w:t xml:space="preserve"> the Christian religion is dismissed as the integrating center of modern society, relieved of its duty to represent society's highest goals.</w:t>
      </w:r>
      <w:r w:rsidR="004C7526">
        <w:rPr>
          <w:rFonts w:ascii="Times New Roman" w:hAnsi="Times New Roman"/>
          <w:sz w:val="22"/>
        </w:rPr>
        <w:t xml:space="preserve"> </w:t>
      </w:r>
      <w:r w:rsidRPr="004C7526">
        <w:rPr>
          <w:rFonts w:ascii="Times New Roman" w:hAnsi="Times New Roman"/>
          <w:b/>
          <w:bCs/>
          <w:sz w:val="22"/>
        </w:rPr>
        <w:t>The Critique of a Dominant Existential Theology.</w:t>
      </w:r>
      <w:r w:rsidR="004C7526">
        <w:rPr>
          <w:rFonts w:ascii="Times New Roman" w:hAnsi="Times New Roman"/>
          <w:b/>
          <w:bCs/>
          <w:sz w:val="22"/>
        </w:rPr>
        <w:t xml:space="preserve"> </w:t>
      </w:r>
      <w:r>
        <w:rPr>
          <w:rFonts w:ascii="Times New Roman" w:hAnsi="Times New Roman"/>
          <w:sz w:val="22"/>
        </w:rPr>
        <w:t>Moltmann challenges the subjectification of individuals (as seen in Bultmann's theology) and of God (as in Barth's viewpoint), along with the two-kingdom doctrine, which failed to resist Nazism. Metz also critiques Rahner's transcendental theology for its inability to address critical political issues, such as the Holocaust.</w:t>
      </w:r>
      <w:r w:rsidR="004C7526">
        <w:rPr>
          <w:rFonts w:ascii="Times New Roman" w:hAnsi="Times New Roman"/>
          <w:sz w:val="22"/>
        </w:rPr>
        <w:t xml:space="preserve"> </w:t>
      </w:r>
      <w:r w:rsidRPr="004C7526">
        <w:rPr>
          <w:rFonts w:ascii="Times New Roman" w:hAnsi="Times New Roman"/>
          <w:b/>
          <w:bCs/>
          <w:sz w:val="22"/>
        </w:rPr>
        <w:t>The Emphasis on Eschatology.</w:t>
      </w:r>
      <w:r w:rsidR="004C7526">
        <w:rPr>
          <w:rFonts w:ascii="Times New Roman" w:hAnsi="Times New Roman"/>
          <w:b/>
          <w:bCs/>
          <w:sz w:val="22"/>
        </w:rPr>
        <w:t xml:space="preserve"> </w:t>
      </w:r>
      <w:r>
        <w:rPr>
          <w:rFonts w:ascii="Times New Roman" w:hAnsi="Times New Roman"/>
          <w:sz w:val="22"/>
        </w:rPr>
        <w:t>Both Metz and Moltmann place eschatology at the center of their theological frameworks. They view the promise inherent in eschatology as a commitment that requires action, highlighting its performative nature and its implications for the future of history.</w:t>
      </w:r>
    </w:p>
    <w:p w14:paraId="38E755B1" w14:textId="77777777" w:rsidR="004C7526" w:rsidRDefault="004C7526" w:rsidP="009C1B47">
      <w:pPr>
        <w:jc w:val="both"/>
      </w:pPr>
    </w:p>
    <w:p w14:paraId="1DCF3AB3" w14:textId="77777777" w:rsidR="004C7526" w:rsidRDefault="004C7526" w:rsidP="004C7526">
      <w:pPr>
        <w:jc w:val="both"/>
      </w:pPr>
      <w:r w:rsidRPr="004C7526">
        <w:rPr>
          <w:rFonts w:ascii="Times New Roman" w:hAnsi="Times New Roman"/>
          <w:b/>
          <w:bCs/>
          <w:sz w:val="22"/>
        </w:rPr>
        <w:t>Johann Metz</w:t>
      </w:r>
      <w:r>
        <w:rPr>
          <w:rFonts w:ascii="Times New Roman" w:hAnsi="Times New Roman"/>
          <w:sz w:val="22"/>
        </w:rPr>
        <w:t xml:space="preserve"> initially sought to interpret secularization in a positive light but later viewed it negatively as privatization of religion. He emphasized the freedom and autonomy of individuals in the modern world, attributing the desacralization of nature and the rise of modern technology to Christian belief in the goodness of creation. </w:t>
      </w:r>
      <w:r w:rsidRPr="004C7526">
        <w:rPr>
          <w:rFonts w:ascii="Times New Roman" w:hAnsi="Times New Roman"/>
          <w:b/>
          <w:bCs/>
          <w:sz w:val="22"/>
        </w:rPr>
        <w:t>Political Theology as Fundamental Theology.</w:t>
      </w:r>
      <w:r>
        <w:rPr>
          <w:rFonts w:ascii="Times New Roman" w:hAnsi="Times New Roman"/>
          <w:b/>
          <w:bCs/>
          <w:sz w:val="22"/>
        </w:rPr>
        <w:t xml:space="preserve"> </w:t>
      </w:r>
      <w:r>
        <w:rPr>
          <w:rFonts w:ascii="Times New Roman" w:hAnsi="Times New Roman"/>
          <w:sz w:val="22"/>
        </w:rPr>
        <w:t xml:space="preserve">Metz developed political theology as a practical fundamental theology focused on the "subject," which he insisted must not be separated from social and political contexts, unlike transcendental theology. He highlighted the correlation between the ideas of God and the human subject, viewing the "subject" not as an isolated individual but as a member of a community before God. Thus, the subject is religiously and socially constituted, situating political theology as a form of fundamental theology. </w:t>
      </w:r>
      <w:r w:rsidRPr="004C7526">
        <w:rPr>
          <w:rFonts w:ascii="Times New Roman" w:hAnsi="Times New Roman"/>
          <w:b/>
          <w:bCs/>
          <w:sz w:val="22"/>
        </w:rPr>
        <w:t>The Critique of Bourgeois Religion.</w:t>
      </w:r>
      <w:r>
        <w:rPr>
          <w:rFonts w:ascii="Times New Roman" w:hAnsi="Times New Roman"/>
          <w:b/>
          <w:bCs/>
          <w:sz w:val="22"/>
        </w:rPr>
        <w:t xml:space="preserve"> </w:t>
      </w:r>
      <w:r>
        <w:rPr>
          <w:rFonts w:ascii="Times New Roman" w:hAnsi="Times New Roman"/>
          <w:sz w:val="22"/>
        </w:rPr>
        <w:t xml:space="preserve">Metz argued that by engaging with the suffering and poverty of the Third World, churches within bourgeois society could overcome their own bourgeois obsessions. He advocated for a "church" of the people, as opposed to a capital-C "Church" of the people, aligning with Latin American liberation theologians' focus on base communities. This vision promotes a polycentric church that moves beyond institutional constraints to become a "basic-community church." </w:t>
      </w:r>
      <w:r w:rsidRPr="004C7526">
        <w:rPr>
          <w:rFonts w:ascii="Times New Roman" w:hAnsi="Times New Roman"/>
          <w:b/>
          <w:bCs/>
          <w:sz w:val="22"/>
        </w:rPr>
        <w:t>The Memory of Suffering and the Holocaust.</w:t>
      </w:r>
      <w:r>
        <w:rPr>
          <w:rFonts w:ascii="Times New Roman" w:hAnsi="Times New Roman"/>
          <w:b/>
          <w:bCs/>
          <w:sz w:val="22"/>
        </w:rPr>
        <w:t xml:space="preserve"> </w:t>
      </w:r>
      <w:r>
        <w:rPr>
          <w:rFonts w:ascii="Times New Roman" w:hAnsi="Times New Roman"/>
          <w:sz w:val="22"/>
        </w:rPr>
        <w:t xml:space="preserve">Metz's narrative theology does not seek simplistic explanations, easy reconciliations, or theoretical solutions to suffering. Instead, it retains the memory of suffering and amplifies the voices of victims, providing a critical and dangerous memory that challenges the present. </w:t>
      </w:r>
      <w:r w:rsidRPr="004C7526">
        <w:rPr>
          <w:rFonts w:ascii="Times New Roman" w:hAnsi="Times New Roman"/>
          <w:b/>
          <w:bCs/>
          <w:sz w:val="22"/>
        </w:rPr>
        <w:t>Assessment: Political without Politics.</w:t>
      </w:r>
      <w:r>
        <w:rPr>
          <w:rFonts w:ascii="Times New Roman" w:hAnsi="Times New Roman"/>
          <w:b/>
          <w:bCs/>
          <w:sz w:val="22"/>
        </w:rPr>
        <w:t xml:space="preserve"> </w:t>
      </w:r>
      <w:r>
        <w:rPr>
          <w:rFonts w:ascii="Times New Roman" w:hAnsi="Times New Roman"/>
          <w:sz w:val="22"/>
        </w:rPr>
        <w:t>Initially, Metz faced criticism for allegedly recreating a union between church and state. Later critiques, particularly from liberation theologians, pointed out that his political theology lacked clear political stances and did not develop a comprehensive political ethics.</w:t>
      </w:r>
    </w:p>
    <w:p w14:paraId="320B9EE0" w14:textId="77777777" w:rsidR="004C7526" w:rsidRDefault="004C7526" w:rsidP="004C7526">
      <w:pPr>
        <w:jc w:val="both"/>
      </w:pPr>
    </w:p>
    <w:p w14:paraId="02DAB38C" w14:textId="77777777" w:rsidR="004C7526" w:rsidRPr="004C7526" w:rsidRDefault="004C7526" w:rsidP="004C7526">
      <w:pPr>
        <w:jc w:val="both"/>
        <w:rPr>
          <w:b/>
          <w:bCs/>
        </w:rPr>
      </w:pPr>
      <w:r w:rsidRPr="004C7526">
        <w:rPr>
          <w:rFonts w:ascii="Times New Roman" w:hAnsi="Times New Roman"/>
          <w:b/>
          <w:bCs/>
          <w:sz w:val="22"/>
        </w:rPr>
        <w:t>Jürgen Moltmann.</w:t>
      </w:r>
    </w:p>
    <w:p w14:paraId="1B26AFDE" w14:textId="77777777" w:rsidR="004C7526" w:rsidRDefault="004C7526" w:rsidP="004C7526">
      <w:pPr>
        <w:jc w:val="both"/>
      </w:pPr>
      <w:r w:rsidRPr="004C7526">
        <w:rPr>
          <w:rFonts w:ascii="Times New Roman" w:hAnsi="Times New Roman"/>
          <w:b/>
          <w:bCs/>
          <w:sz w:val="22"/>
        </w:rPr>
        <w:t>Promise and Hope.</w:t>
      </w:r>
      <w:r>
        <w:rPr>
          <w:rFonts w:ascii="Times New Roman" w:hAnsi="Times New Roman"/>
          <w:b/>
          <w:bCs/>
          <w:sz w:val="22"/>
        </w:rPr>
        <w:t xml:space="preserve"> </w:t>
      </w:r>
      <w:r>
        <w:rPr>
          <w:rFonts w:ascii="Times New Roman" w:hAnsi="Times New Roman"/>
          <w:sz w:val="22"/>
        </w:rPr>
        <w:t xml:space="preserve">Moltmann, in his "Theology of Hope," challenges previous theological views that understood God as an "epiphany of eternal presence," proposing instead that revelation is a promise and history constitutes a mission. He contrasts the Greek worldview, which places a transcendent, unchangeable God above worldly suffering, with the faith of Israel, in which God accompanies his people and fulfills historical promises. For Moltmann, eschatology serves as the universal horizon of all Christian theology, establishing that the death and resurrection of Jesus are crucial because they affirm God's faithfulness to promises and anticipate the eschatological new creation. </w:t>
      </w:r>
      <w:r w:rsidRPr="004C7526">
        <w:rPr>
          <w:rFonts w:ascii="Times New Roman" w:hAnsi="Times New Roman"/>
          <w:b/>
          <w:bCs/>
          <w:sz w:val="22"/>
        </w:rPr>
        <w:t>The Crucified God and the Doctrine of the Trinity.</w:t>
      </w:r>
      <w:r>
        <w:rPr>
          <w:rFonts w:ascii="Times New Roman" w:hAnsi="Times New Roman"/>
          <w:b/>
          <w:bCs/>
          <w:sz w:val="22"/>
        </w:rPr>
        <w:t xml:space="preserve"> </w:t>
      </w:r>
      <w:r>
        <w:rPr>
          <w:rFonts w:ascii="Times New Roman" w:hAnsi="Times New Roman"/>
          <w:sz w:val="22"/>
        </w:rPr>
        <w:t xml:space="preserve">Eight years after "Theology of Hope," Moltmann published "The Crucified God," in which the </w:t>
      </w:r>
      <w:r>
        <w:rPr>
          <w:rFonts w:ascii="Times New Roman" w:hAnsi="Times New Roman"/>
          <w:sz w:val="22"/>
        </w:rPr>
        <w:lastRenderedPageBreak/>
        <w:t xml:space="preserve">crucifixion of Jesus becomes the decisive event and criterion for his theology. It marks a shift from emphasizing God's eschatological promise to highlighting God's suffering solidarity with human suffering, while maintaining a critique of political religion. In "The Trinity and the Kingdom of God," Moltmann presents a Trinitarian understanding that integrates the immanent and economic Trinity, asserting that the crucifixion and resurrection are not external to the Trinity but internal to the divine life itself, </w:t>
      </w:r>
      <w:r w:rsidRPr="004C7526">
        <w:rPr>
          <w:rFonts w:ascii="Times New Roman" w:hAnsi="Times New Roman"/>
          <w:b/>
          <w:bCs/>
          <w:sz w:val="22"/>
        </w:rPr>
        <w:t>constituting</w:t>
      </w:r>
      <w:r>
        <w:rPr>
          <w:rFonts w:ascii="Times New Roman" w:hAnsi="Times New Roman"/>
          <w:sz w:val="22"/>
        </w:rPr>
        <w:t xml:space="preserve"> the Trinitarian relations. He challenges Greek influences that deny God's capacity for change and suffering: “</w:t>
      </w:r>
      <w:r w:rsidRPr="004C7526">
        <w:rPr>
          <w:rFonts w:ascii="Times New Roman" w:hAnsi="Times New Roman"/>
          <w:sz w:val="22"/>
        </w:rPr>
        <w:t>God suffers in God's very self. God's love is not simply a giving generosity that flows in one direction; rather, God's love is such that it is affected by God's Creation, by its history, and by God's involvement in the history of Creation</w:t>
      </w:r>
      <w:r>
        <w:rPr>
          <w:rFonts w:ascii="Times New Roman" w:hAnsi="Times New Roman"/>
          <w:sz w:val="22"/>
        </w:rPr>
        <w:t>.” Because God’s very self is constituted by the relationships of equality and love (the social Trinity)</w:t>
      </w:r>
      <w:r w:rsidR="00300328">
        <w:rPr>
          <w:rFonts w:ascii="Times New Roman" w:hAnsi="Times New Roman"/>
          <w:sz w:val="22"/>
        </w:rPr>
        <w:t xml:space="preserve">, God’s relation to the world is not one of dominion, </w:t>
      </w:r>
      <w:r>
        <w:rPr>
          <w:rFonts w:ascii="Times New Roman" w:hAnsi="Times New Roman"/>
          <w:sz w:val="22"/>
        </w:rPr>
        <w:t>countering monotheism that might justify political domination and suppression. God's love is dynamic, deeply affected by creation, and the Cross illustrates God's loving solidarity with suffering, demonstrating a dialectical panentheistic view in which God embraces even the godless.</w:t>
      </w:r>
      <w:r w:rsidR="00300328">
        <w:rPr>
          <w:rFonts w:ascii="Times New Roman" w:hAnsi="Times New Roman"/>
          <w:sz w:val="22"/>
        </w:rPr>
        <w:t xml:space="preserve"> “God does not merely enter into the finitude of men and women; he enters into the situation of their sin and God-forsakenness as well. … To recognize God in the cross of Christ means to recognize the cross, inextricable suffering, death, and hopeless rejection in God.” </w:t>
      </w:r>
      <w:r w:rsidRPr="00300328">
        <w:rPr>
          <w:rFonts w:ascii="Times New Roman" w:hAnsi="Times New Roman"/>
          <w:b/>
          <w:bCs/>
          <w:sz w:val="22"/>
        </w:rPr>
        <w:t>Later Works.</w:t>
      </w:r>
      <w:r w:rsidR="00300328">
        <w:rPr>
          <w:rFonts w:ascii="Times New Roman" w:hAnsi="Times New Roman"/>
          <w:b/>
          <w:bCs/>
          <w:sz w:val="22"/>
        </w:rPr>
        <w:t xml:space="preserve"> </w:t>
      </w:r>
      <w:r w:rsidRPr="00300328">
        <w:rPr>
          <w:rFonts w:ascii="Times New Roman" w:hAnsi="Times New Roman"/>
          <w:sz w:val="22"/>
        </w:rPr>
        <w:t>In</w:t>
      </w:r>
      <w:r>
        <w:rPr>
          <w:rFonts w:ascii="Times New Roman" w:hAnsi="Times New Roman"/>
          <w:sz w:val="22"/>
        </w:rPr>
        <w:t xml:space="preserve"> "The Way of Jesus Christ: Christology in Messianic Dimensions," Moltmann focuses more on the life of Jesus and discipleship. "The Coming of God: Christian Eschatology" ties earlier themes from the "Theology of Hope" to classic eschatological issues like death, immortality, and resurrection, and addresses various forms of millenarianism while affirming the universality of salvation.</w:t>
      </w:r>
      <w:r w:rsidR="00300328">
        <w:rPr>
          <w:rFonts w:ascii="Times New Roman" w:hAnsi="Times New Roman"/>
          <w:sz w:val="22"/>
        </w:rPr>
        <w:t xml:space="preserve"> </w:t>
      </w:r>
      <w:r w:rsidRPr="00300328">
        <w:rPr>
          <w:rFonts w:ascii="Times New Roman" w:hAnsi="Times New Roman"/>
          <w:b/>
          <w:bCs/>
          <w:sz w:val="22"/>
        </w:rPr>
        <w:t>Critical Issues.</w:t>
      </w:r>
      <w:r w:rsidR="00300328">
        <w:rPr>
          <w:rFonts w:ascii="Times New Roman" w:hAnsi="Times New Roman"/>
          <w:b/>
          <w:bCs/>
          <w:sz w:val="22"/>
        </w:rPr>
        <w:t xml:space="preserve"> </w:t>
      </w:r>
      <w:r>
        <w:rPr>
          <w:rFonts w:ascii="Times New Roman" w:hAnsi="Times New Roman"/>
          <w:sz w:val="22"/>
        </w:rPr>
        <w:t xml:space="preserve">Moltmann faced criticism from liberal theologians who viewed his eschatology as overly transcendent, advocating instead for a more realized eschatology. Rahner critiqued Moltmann's affirmation of God's suffering for not resolving the problem of theodicy. By incorporating suffering into God's very self, Moltmann </w:t>
      </w:r>
      <w:r w:rsidR="00300328">
        <w:rPr>
          <w:rFonts w:ascii="Times New Roman" w:hAnsi="Times New Roman"/>
          <w:sz w:val="22"/>
        </w:rPr>
        <w:t>could be seen as valorizing suffering.</w:t>
      </w:r>
    </w:p>
    <w:p w14:paraId="36359F5C" w14:textId="77777777" w:rsidR="00B2686E" w:rsidRDefault="00B2686E" w:rsidP="004C7526">
      <w:pPr>
        <w:jc w:val="both"/>
      </w:pPr>
    </w:p>
    <w:p w14:paraId="422F5062" w14:textId="77777777" w:rsidR="00B2686E" w:rsidRPr="00B2686E" w:rsidRDefault="00B2686E" w:rsidP="00B2686E">
      <w:pPr>
        <w:jc w:val="both"/>
        <w:rPr>
          <w:b/>
          <w:bCs/>
        </w:rPr>
      </w:pPr>
      <w:r w:rsidRPr="00B2686E">
        <w:rPr>
          <w:rFonts w:ascii="Times New Roman" w:hAnsi="Times New Roman"/>
          <w:b/>
          <w:bCs/>
          <w:sz w:val="22"/>
        </w:rPr>
        <w:t>Latin American Liberation Theology.</w:t>
      </w:r>
    </w:p>
    <w:p w14:paraId="2C2B8FC7" w14:textId="77777777" w:rsidR="00B2686E" w:rsidRDefault="00B2686E" w:rsidP="00B2686E">
      <w:pPr>
        <w:jc w:val="both"/>
      </w:pPr>
      <w:r w:rsidRPr="00B2686E">
        <w:rPr>
          <w:rFonts w:ascii="Times New Roman" w:hAnsi="Times New Roman"/>
          <w:b/>
          <w:bCs/>
          <w:sz w:val="22"/>
        </w:rPr>
        <w:t>The Context: From Development to Liberation.</w:t>
      </w:r>
      <w:r>
        <w:rPr>
          <w:rFonts w:ascii="Times New Roman" w:hAnsi="Times New Roman"/>
          <w:b/>
          <w:bCs/>
          <w:sz w:val="22"/>
        </w:rPr>
        <w:t xml:space="preserve"> </w:t>
      </w:r>
      <w:r>
        <w:rPr>
          <w:rFonts w:ascii="Times New Roman" w:hAnsi="Times New Roman"/>
          <w:sz w:val="22"/>
        </w:rPr>
        <w:t xml:space="preserve">Developmentalism aimed to push Third-World countries toward economic, industrial, social, and cultural growth. However, it failed to tackle the fundamental causes of problems and did not lead to institutional reform. As gradual reform proved ineffective, Liberation Theology emerged, advocating not conservative or developmentalist/evolutionary changes but rather revolutionary, radical social and economic transformation. </w:t>
      </w:r>
      <w:r w:rsidRPr="00B2686E">
        <w:rPr>
          <w:rFonts w:ascii="Times New Roman" w:hAnsi="Times New Roman"/>
          <w:b/>
          <w:bCs/>
          <w:sz w:val="22"/>
        </w:rPr>
        <w:t>Interpretation of the Situation: Dependency.</w:t>
      </w:r>
      <w:r>
        <w:rPr>
          <w:rFonts w:ascii="Times New Roman" w:hAnsi="Times New Roman"/>
          <w:b/>
          <w:bCs/>
          <w:sz w:val="22"/>
        </w:rPr>
        <w:t xml:space="preserve"> </w:t>
      </w:r>
      <w:r>
        <w:rPr>
          <w:rFonts w:ascii="Times New Roman" w:hAnsi="Times New Roman"/>
          <w:sz w:val="22"/>
        </w:rPr>
        <w:t xml:space="preserve">Liberation theology views liberation as freedom from dependency conditions. It posits that the poverty in the Southern Hemisphere stems from its dependence on Northern countries, particularly through the supply of raw materials from the South to the North. </w:t>
      </w:r>
      <w:r w:rsidRPr="00B2686E">
        <w:rPr>
          <w:rFonts w:ascii="Times New Roman" w:hAnsi="Times New Roman"/>
          <w:b/>
          <w:bCs/>
          <w:sz w:val="22"/>
        </w:rPr>
        <w:t>Previous Theology.</w:t>
      </w:r>
      <w:r>
        <w:rPr>
          <w:rFonts w:ascii="Times New Roman" w:hAnsi="Times New Roman"/>
          <w:b/>
          <w:bCs/>
          <w:sz w:val="22"/>
        </w:rPr>
        <w:t xml:space="preserve"> </w:t>
      </w:r>
      <w:r>
        <w:rPr>
          <w:rFonts w:ascii="Times New Roman" w:hAnsi="Times New Roman"/>
          <w:sz w:val="22"/>
        </w:rPr>
        <w:t xml:space="preserve">Liberation theology abandons the traditional distinction between grace and nature, intertwining the Church's sociopolitical mission with its religious mission. It also rejects the separation between clergy and laity. </w:t>
      </w:r>
      <w:r w:rsidRPr="00B2686E">
        <w:rPr>
          <w:rFonts w:ascii="Times New Roman" w:hAnsi="Times New Roman"/>
          <w:b/>
          <w:bCs/>
          <w:sz w:val="22"/>
        </w:rPr>
        <w:t>Eschatology.</w:t>
      </w:r>
      <w:r>
        <w:rPr>
          <w:rFonts w:ascii="Times New Roman" w:hAnsi="Times New Roman"/>
          <w:b/>
          <w:bCs/>
          <w:sz w:val="22"/>
        </w:rPr>
        <w:t xml:space="preserve"> </w:t>
      </w:r>
      <w:r>
        <w:rPr>
          <w:rFonts w:ascii="Times New Roman" w:hAnsi="Times New Roman"/>
          <w:sz w:val="22"/>
        </w:rPr>
        <w:t>Contrary to Metz and Moltmann, liberation theology argues that the Kingdom of God should not be viewed solely as a judgmental contrast to present society and its institutions. It criticizes their emphasis on the transcendence and otherness of the Kingdom as excessive. Liberation theology interprets the Kingdom of God using categories that relate the imperfect present to the perfect future, suggesting that where love, peace, and justice prevail on earth, the Kingdom of God is being realized, albeit in an incomplete and imperfect manner. It maintains that supernatural salvation perfects, rather than nullifies, the natural order.</w:t>
      </w:r>
    </w:p>
    <w:p w14:paraId="1E378668" w14:textId="77777777" w:rsidR="00B2686E" w:rsidRDefault="00B2686E" w:rsidP="00B2686E">
      <w:pPr>
        <w:jc w:val="both"/>
      </w:pPr>
    </w:p>
    <w:p w14:paraId="532C17B3" w14:textId="77777777" w:rsidR="00B2686E" w:rsidRPr="00B2686E" w:rsidRDefault="00B2686E" w:rsidP="00B2686E">
      <w:pPr>
        <w:jc w:val="both"/>
        <w:rPr>
          <w:b/>
          <w:bCs/>
        </w:rPr>
      </w:pPr>
      <w:r w:rsidRPr="00B2686E">
        <w:rPr>
          <w:rFonts w:ascii="Times New Roman" w:hAnsi="Times New Roman"/>
          <w:b/>
          <w:bCs/>
          <w:sz w:val="22"/>
        </w:rPr>
        <w:t>Gustavo Gutiérrez.</w:t>
      </w:r>
    </w:p>
    <w:p w14:paraId="5D9618A6" w14:textId="77777777" w:rsidR="00B2686E" w:rsidRDefault="00B2686E" w:rsidP="00B2686E">
      <w:pPr>
        <w:jc w:val="both"/>
      </w:pPr>
      <w:r w:rsidRPr="00B2686E">
        <w:rPr>
          <w:rFonts w:ascii="Times New Roman" w:hAnsi="Times New Roman"/>
          <w:b/>
          <w:bCs/>
          <w:sz w:val="22"/>
        </w:rPr>
        <w:t>Gutiérrez's Interpretation of the Historical Jesus.</w:t>
      </w:r>
      <w:r>
        <w:rPr>
          <w:rFonts w:ascii="Times New Roman" w:hAnsi="Times New Roman"/>
          <w:b/>
          <w:bCs/>
          <w:sz w:val="22"/>
        </w:rPr>
        <w:t xml:space="preserve"> </w:t>
      </w:r>
      <w:r>
        <w:rPr>
          <w:rFonts w:ascii="Times New Roman" w:hAnsi="Times New Roman"/>
          <w:sz w:val="22"/>
        </w:rPr>
        <w:t xml:space="preserve">Gutiérrez argues that Jesus's preaching, lifestyle, and eschatological message, although religious, carry political implications. Liberation theology remains true to the historical Jesus by addressing these political dimensions without conflating religion and politics entirely. Contrary to claims, Jesus was not part of the Zealot movement; his vision of the Kingdom of God is universal and extends beyond the narrow, nationalistic focus of the Zealots. The gospel possesses social and political implications yet transcends political confines. </w:t>
      </w:r>
      <w:r w:rsidRPr="00B2686E">
        <w:rPr>
          <w:rFonts w:ascii="Times New Roman" w:hAnsi="Times New Roman"/>
          <w:b/>
          <w:bCs/>
          <w:sz w:val="22"/>
        </w:rPr>
        <w:t>The Nature of the Church.</w:t>
      </w:r>
      <w:r>
        <w:rPr>
          <w:rFonts w:ascii="Times New Roman" w:hAnsi="Times New Roman"/>
          <w:b/>
          <w:bCs/>
          <w:sz w:val="22"/>
        </w:rPr>
        <w:t xml:space="preserve"> </w:t>
      </w:r>
      <w:r>
        <w:rPr>
          <w:rFonts w:ascii="Times New Roman" w:hAnsi="Times New Roman"/>
          <w:sz w:val="22"/>
        </w:rPr>
        <w:t xml:space="preserve">Gutiérrez sees the Church as a manifestation of God's saving plan for the world, where God's grace symbolically and explicitly resides. Drawing parallels with Rahner's concept of anonymous Christianity, he argues that </w:t>
      </w:r>
      <w:r w:rsidRPr="00B2686E">
        <w:rPr>
          <w:rFonts w:ascii="Times New Roman" w:hAnsi="Times New Roman"/>
          <w:sz w:val="22"/>
        </w:rPr>
        <w:t xml:space="preserve">God's grace that </w:t>
      </w:r>
      <w:r w:rsidRPr="00B2686E">
        <w:rPr>
          <w:rFonts w:ascii="Times New Roman" w:hAnsi="Times New Roman"/>
          <w:sz w:val="22"/>
        </w:rPr>
        <w:lastRenderedPageBreak/>
        <w:t>is present in the world has its symbolic and explicit presence in the Church and in the history of salvation.</w:t>
      </w:r>
      <w:r>
        <w:rPr>
          <w:rFonts w:ascii="Times New Roman" w:hAnsi="Times New Roman"/>
          <w:sz w:val="22"/>
        </w:rPr>
        <w:t xml:space="preserve"> </w:t>
      </w:r>
      <w:r w:rsidRPr="00B2686E">
        <w:rPr>
          <w:rFonts w:ascii="Times New Roman" w:hAnsi="Times New Roman"/>
          <w:b/>
          <w:bCs/>
          <w:sz w:val="22"/>
        </w:rPr>
        <w:t>The Meaning of Liberation and Salvation.</w:t>
      </w:r>
      <w:r>
        <w:rPr>
          <w:rFonts w:ascii="Times New Roman" w:hAnsi="Times New Roman"/>
          <w:b/>
          <w:bCs/>
          <w:sz w:val="22"/>
        </w:rPr>
        <w:t xml:space="preserve"> </w:t>
      </w:r>
      <w:r>
        <w:rPr>
          <w:rFonts w:ascii="Times New Roman" w:hAnsi="Times New Roman"/>
          <w:sz w:val="22"/>
        </w:rPr>
        <w:t xml:space="preserve">In Gutiérrez's view, liberation is closely linked to salvation, with political action intertwined with religious faith. This connection operates on three levels: religious faith (hope), utopian vision (imagination), and political action (social analysis). </w:t>
      </w:r>
      <w:r w:rsidRPr="00B2686E">
        <w:rPr>
          <w:rFonts w:ascii="Times New Roman" w:hAnsi="Times New Roman"/>
          <w:b/>
          <w:bCs/>
          <w:sz w:val="22"/>
        </w:rPr>
        <w:t>Questions.</w:t>
      </w:r>
      <w:r>
        <w:rPr>
          <w:rFonts w:ascii="Times New Roman" w:hAnsi="Times New Roman"/>
          <w:b/>
          <w:bCs/>
          <w:sz w:val="22"/>
        </w:rPr>
        <w:t xml:space="preserve"> </w:t>
      </w:r>
      <w:r>
        <w:rPr>
          <w:rFonts w:ascii="Times New Roman" w:hAnsi="Times New Roman"/>
          <w:sz w:val="22"/>
        </w:rPr>
        <w:t>Pannenberg raises a point that the deepest servitude and need for liberation lie in humanity's bondage to sin and death, not just social injustice, achievable only through Christ's death and faith in God and his kingdom. Similarly, Reinhold Niebuhr's ethical realism and awareness of human sin pose a contrast to the optimistic anthropology and ethics of liberation theology, arguing it does not adequately address human sinfulness and power dynamics.</w:t>
      </w:r>
    </w:p>
    <w:p w14:paraId="623C8459" w14:textId="77777777" w:rsidR="00B2686E" w:rsidRDefault="00B2686E" w:rsidP="00B2686E">
      <w:pPr>
        <w:jc w:val="both"/>
      </w:pPr>
    </w:p>
    <w:p w14:paraId="46AE47B0" w14:textId="77777777" w:rsidR="00B2686E" w:rsidRPr="00B2686E" w:rsidRDefault="00B2686E" w:rsidP="00B2686E">
      <w:pPr>
        <w:jc w:val="both"/>
        <w:rPr>
          <w:b/>
          <w:bCs/>
        </w:rPr>
      </w:pPr>
      <w:r w:rsidRPr="00B2686E">
        <w:rPr>
          <w:rFonts w:ascii="Times New Roman" w:hAnsi="Times New Roman"/>
          <w:b/>
          <w:bCs/>
          <w:sz w:val="22"/>
        </w:rPr>
        <w:t>Juan Luis Segundo.</w:t>
      </w:r>
    </w:p>
    <w:p w14:paraId="2701005C" w14:textId="77777777" w:rsidR="00B2686E" w:rsidRDefault="00B2686E" w:rsidP="00B2686E">
      <w:pPr>
        <w:jc w:val="both"/>
      </w:pPr>
      <w:r w:rsidRPr="00B2686E">
        <w:rPr>
          <w:rFonts w:ascii="Times New Roman" w:hAnsi="Times New Roman"/>
          <w:b/>
          <w:bCs/>
          <w:sz w:val="22"/>
        </w:rPr>
        <w:t>Faith and Ideology.</w:t>
      </w:r>
      <w:r>
        <w:rPr>
          <w:rFonts w:ascii="Times New Roman" w:hAnsi="Times New Roman"/>
          <w:b/>
          <w:bCs/>
          <w:sz w:val="22"/>
        </w:rPr>
        <w:t xml:space="preserve"> </w:t>
      </w:r>
      <w:r>
        <w:rPr>
          <w:rFonts w:ascii="Times New Roman" w:hAnsi="Times New Roman"/>
          <w:sz w:val="22"/>
        </w:rPr>
        <w:t xml:space="preserve">Segundo critiques Metz and Moltmann for positioning faith outside the realm of ideology. He defines "ideology" in two ways: a neutral sense encompassing everything beyond scientific precision (the suprascientific or superstructural realm), and a negative sense referring to cognitive mechanisms that disguise or justify existing modes of production, benefiting those who profit from them, in line with Marxist thought. In understanding the relationship between faith and ideology, Segundo views ideology as a person's fundamental system of values, goods, and goals. Traditionally, faith has been contrasted or opposed to ideology in both senses. </w:t>
      </w:r>
      <w:r w:rsidRPr="00B2686E">
        <w:rPr>
          <w:rFonts w:ascii="Times New Roman" w:hAnsi="Times New Roman"/>
          <w:b/>
          <w:bCs/>
          <w:sz w:val="22"/>
        </w:rPr>
        <w:t>The Hermeneutical Circle.</w:t>
      </w:r>
      <w:r>
        <w:rPr>
          <w:rFonts w:ascii="Times New Roman" w:hAnsi="Times New Roman"/>
          <w:b/>
          <w:bCs/>
          <w:sz w:val="22"/>
        </w:rPr>
        <w:t xml:space="preserve"> </w:t>
      </w:r>
      <w:r>
        <w:rPr>
          <w:rFonts w:ascii="Times New Roman" w:hAnsi="Times New Roman"/>
          <w:sz w:val="22"/>
        </w:rPr>
        <w:t xml:space="preserve">Segundo outlines four steps in his hermeneutical circle. </w:t>
      </w:r>
      <w:r>
        <w:rPr>
          <w:rFonts w:ascii="Times New Roman" w:hAnsi="Times New Roman"/>
          <w:i/>
          <w:iCs/>
          <w:sz w:val="22"/>
        </w:rPr>
        <w:t>First</w:t>
      </w:r>
      <w:r>
        <w:rPr>
          <w:rFonts w:ascii="Times New Roman" w:hAnsi="Times New Roman"/>
          <w:sz w:val="22"/>
        </w:rPr>
        <w:t xml:space="preserve">, our way of experiencing reality, particularly the reality of the poor in Latin America, triggers ideological suspicion, which becomes the starting point for liberation theology. </w:t>
      </w:r>
      <w:r w:rsidRPr="00B2686E">
        <w:rPr>
          <w:rFonts w:ascii="Times New Roman" w:hAnsi="Times New Roman"/>
          <w:i/>
          <w:iCs/>
          <w:sz w:val="22"/>
        </w:rPr>
        <w:t>Second</w:t>
      </w:r>
      <w:r>
        <w:rPr>
          <w:rFonts w:ascii="Times New Roman" w:hAnsi="Times New Roman"/>
          <w:sz w:val="22"/>
        </w:rPr>
        <w:t xml:space="preserve">, this suspicion is applied to the ideological superstructure as a whole and to theology, highlighting the class interests of the rich and powerful elite. </w:t>
      </w:r>
      <w:r w:rsidRPr="00B2686E">
        <w:rPr>
          <w:rFonts w:ascii="Times New Roman" w:hAnsi="Times New Roman"/>
          <w:i/>
          <w:iCs/>
          <w:sz w:val="22"/>
        </w:rPr>
        <w:t>Third</w:t>
      </w:r>
      <w:r>
        <w:rPr>
          <w:rFonts w:ascii="Times New Roman" w:hAnsi="Times New Roman"/>
          <w:sz w:val="22"/>
        </w:rPr>
        <w:t xml:space="preserve">, there emerges a new way of experiencing theological reality, leading to exegetical suspicion of traditional biblical interpretations that have overlooked important data. </w:t>
      </w:r>
      <w:r w:rsidRPr="00B2686E">
        <w:rPr>
          <w:rFonts w:ascii="Times New Roman" w:hAnsi="Times New Roman"/>
          <w:i/>
          <w:iCs/>
          <w:sz w:val="22"/>
        </w:rPr>
        <w:t>Fourth</w:t>
      </w:r>
      <w:r>
        <w:rPr>
          <w:rFonts w:ascii="Times New Roman" w:hAnsi="Times New Roman"/>
          <w:sz w:val="22"/>
        </w:rPr>
        <w:t xml:space="preserve">, a new hermeneutic is developed, which involves interpreting Scripture with new elements from the perspective of the poor and oppressed. </w:t>
      </w:r>
      <w:r w:rsidRPr="00B2686E">
        <w:rPr>
          <w:rFonts w:ascii="Times New Roman" w:hAnsi="Times New Roman"/>
          <w:b/>
          <w:bCs/>
          <w:sz w:val="22"/>
        </w:rPr>
        <w:t>A Critical Question: The Difference from Feminist Theology.</w:t>
      </w:r>
      <w:r>
        <w:rPr>
          <w:rFonts w:ascii="Times New Roman" w:hAnsi="Times New Roman"/>
          <w:b/>
          <w:bCs/>
          <w:sz w:val="22"/>
        </w:rPr>
        <w:t xml:space="preserve"> </w:t>
      </w:r>
      <w:r>
        <w:rPr>
          <w:rFonts w:ascii="Times New Roman" w:hAnsi="Times New Roman"/>
          <w:sz w:val="22"/>
        </w:rPr>
        <w:t>Liberation theology begins with Scripture, albeit from a renewed perspective, while feminist theology often views the Bible with suspicion, considering it a patriarchal text that conveys "Bad News" for women.</w:t>
      </w:r>
    </w:p>
    <w:p w14:paraId="6C777F98" w14:textId="77777777" w:rsidR="00716B72" w:rsidRDefault="00716B72" w:rsidP="00B2686E">
      <w:pPr>
        <w:jc w:val="both"/>
      </w:pPr>
    </w:p>
    <w:p w14:paraId="76D40C58" w14:textId="77777777" w:rsidR="001F00CD" w:rsidRDefault="001F00CD">
      <w:pPr>
        <w:rPr>
          <w:b/>
          <w:bCs/>
        </w:rPr>
      </w:pPr>
      <w:r>
        <w:rPr>
          <w:rFonts w:ascii="Times New Roman" w:hAnsi="Times New Roman"/>
          <w:b/>
          <w:bCs/>
          <w:sz w:val="22"/>
        </w:rPr>
        <w:br w:type="page"/>
      </w:r>
    </w:p>
    <w:p w14:paraId="3F66D092" w14:textId="63560A3F" w:rsidR="00716B72" w:rsidRPr="00716B72" w:rsidRDefault="00716B72" w:rsidP="00716B72">
      <w:pPr>
        <w:jc w:val="both"/>
        <w:rPr>
          <w:b/>
          <w:bCs/>
        </w:rPr>
      </w:pPr>
      <w:r w:rsidRPr="00716B72">
        <w:rPr>
          <w:rFonts w:ascii="Times New Roman" w:hAnsi="Times New Roman"/>
          <w:b/>
          <w:bCs/>
          <w:sz w:val="22"/>
        </w:rPr>
        <w:lastRenderedPageBreak/>
        <w:t>Chapter Ten</w:t>
      </w:r>
      <w:r>
        <w:rPr>
          <w:rFonts w:ascii="Times New Roman" w:hAnsi="Times New Roman"/>
          <w:b/>
          <w:bCs/>
          <w:sz w:val="22"/>
        </w:rPr>
        <w:t>.</w:t>
      </w:r>
      <w:r w:rsidRPr="00716B72">
        <w:rPr>
          <w:rFonts w:ascii="Times New Roman" w:hAnsi="Times New Roman"/>
          <w:b/>
          <w:bCs/>
          <w:sz w:val="22"/>
        </w:rPr>
        <w:t xml:space="preserve"> Process Theology</w:t>
      </w:r>
      <w:r>
        <w:rPr>
          <w:rFonts w:ascii="Times New Roman" w:hAnsi="Times New Roman"/>
          <w:b/>
          <w:bCs/>
          <w:sz w:val="22"/>
        </w:rPr>
        <w:t>.</w:t>
      </w:r>
    </w:p>
    <w:p w14:paraId="665C4F86" w14:textId="77777777" w:rsidR="00716B72" w:rsidRDefault="00716B72" w:rsidP="00716B72">
      <w:pPr>
        <w:jc w:val="both"/>
      </w:pPr>
      <w:r w:rsidRPr="00716B72">
        <w:rPr>
          <w:rFonts w:ascii="Times New Roman" w:hAnsi="Times New Roman"/>
          <w:b/>
          <w:bCs/>
          <w:sz w:val="22"/>
        </w:rPr>
        <w:t>Background.</w:t>
      </w:r>
      <w:r>
        <w:rPr>
          <w:rFonts w:ascii="Times New Roman" w:hAnsi="Times New Roman"/>
          <w:b/>
          <w:bCs/>
          <w:sz w:val="22"/>
        </w:rPr>
        <w:t xml:space="preserve"> </w:t>
      </w:r>
      <w:r>
        <w:rPr>
          <w:rFonts w:ascii="Times New Roman" w:hAnsi="Times New Roman"/>
          <w:sz w:val="22"/>
        </w:rPr>
        <w:t xml:space="preserve">Process Theology can be traced to Buddhist doctrines of becoming and the dependent origination of all things, as well as Heraclitus's concept of eternal flux and the world's constant becoming. Influences also include the Romantic philosophy of Schelling and Hegel, which see development, process, and change as fundamental to reality. Schelling posited that the reality of evil is irreconcilable with the notion of a perfect being as the universe's source. </w:t>
      </w:r>
    </w:p>
    <w:p w14:paraId="7E63A363" w14:textId="77777777" w:rsidR="00716B72" w:rsidRDefault="00716B72" w:rsidP="00716B72">
      <w:pPr>
        <w:jc w:val="both"/>
      </w:pPr>
      <w:r w:rsidRPr="00716B72">
        <w:rPr>
          <w:rFonts w:ascii="Times New Roman" w:hAnsi="Times New Roman"/>
          <w:b/>
          <w:bCs/>
          <w:sz w:val="22"/>
        </w:rPr>
        <w:t>Pierre Teilhard de Chardin</w:t>
      </w:r>
      <w:r>
        <w:rPr>
          <w:rFonts w:ascii="Times New Roman" w:hAnsi="Times New Roman"/>
          <w:b/>
          <w:bCs/>
          <w:sz w:val="22"/>
        </w:rPr>
        <w:t>,</w:t>
      </w:r>
      <w:r>
        <w:rPr>
          <w:rFonts w:ascii="Times New Roman" w:hAnsi="Times New Roman"/>
          <w:sz w:val="22"/>
        </w:rPr>
        <w:t xml:space="preserve"> a geologist and paleontologist, wrote religious works that were only published posthumously due to Church restrictions. His notable texts include "The Phenomenon of Man," "The Divine Milieu," "Letters from a Traveller," "The Future of Man," and "Hymn of the Universe." Teilhard proposed a creative vision harmonizing science and religion through an evolutionary theology that views the cosmos as driven by a fundamental energy undergoing development. This continuous process unfolds through three critical stages: inorganic matter (solidified earth crust), life (biosphere), and mind (noosphere). Teilhard noted that the evolutionary process is inexorably guided toward humanity and will continue to evolve toward a higher consciousness known as </w:t>
      </w:r>
      <w:r w:rsidRPr="00716B72">
        <w:rPr>
          <w:rFonts w:ascii="Times New Roman" w:hAnsi="Times New Roman"/>
          <w:i/>
          <w:iCs/>
          <w:sz w:val="22"/>
        </w:rPr>
        <w:t>noogenesis</w:t>
      </w:r>
      <w:r>
        <w:rPr>
          <w:rFonts w:ascii="Times New Roman" w:hAnsi="Times New Roman"/>
          <w:sz w:val="22"/>
        </w:rPr>
        <w:t xml:space="preserve">. In its first, already completed, phase, is characterized by </w:t>
      </w:r>
      <w:r w:rsidRPr="00716B72">
        <w:rPr>
          <w:rFonts w:ascii="Times New Roman" w:hAnsi="Times New Roman"/>
          <w:i/>
          <w:iCs/>
          <w:sz w:val="22"/>
        </w:rPr>
        <w:t>centrifugal</w:t>
      </w:r>
      <w:r>
        <w:rPr>
          <w:rFonts w:ascii="Times New Roman" w:hAnsi="Times New Roman"/>
          <w:sz w:val="22"/>
        </w:rPr>
        <w:t xml:space="preserve"> forces, increasing individuality and freedom, while socialization only advanced slowly. The second phase, characterized by </w:t>
      </w:r>
      <w:r w:rsidRPr="00716B72">
        <w:rPr>
          <w:rFonts w:ascii="Times New Roman" w:hAnsi="Times New Roman"/>
          <w:i/>
          <w:iCs/>
          <w:sz w:val="22"/>
        </w:rPr>
        <w:t>centripetal</w:t>
      </w:r>
      <w:r>
        <w:rPr>
          <w:rFonts w:ascii="Times New Roman" w:hAnsi="Times New Roman"/>
          <w:sz w:val="22"/>
        </w:rPr>
        <w:t xml:space="preserve"> forces, looks to foster greater communication and socialization globally, eventually leading to planetary unification and the future convergence at the Omega Point. </w:t>
      </w:r>
      <w:r w:rsidRPr="00716B72">
        <w:rPr>
          <w:rFonts w:ascii="Times New Roman" w:hAnsi="Times New Roman"/>
          <w:b/>
          <w:bCs/>
          <w:sz w:val="22"/>
        </w:rPr>
        <w:t>Omega Point.</w:t>
      </w:r>
      <w:r>
        <w:rPr>
          <w:rFonts w:ascii="Times New Roman" w:hAnsi="Times New Roman"/>
          <w:b/>
          <w:bCs/>
          <w:sz w:val="22"/>
        </w:rPr>
        <w:t xml:space="preserve"> </w:t>
      </w:r>
      <w:r w:rsidRPr="00716B72">
        <w:rPr>
          <w:rFonts w:ascii="Times New Roman" w:hAnsi="Times New Roman"/>
          <w:sz w:val="22"/>
        </w:rPr>
        <w:t>The</w:t>
      </w:r>
      <w:r>
        <w:rPr>
          <w:rFonts w:ascii="Times New Roman" w:hAnsi="Times New Roman"/>
          <w:b/>
          <w:bCs/>
          <w:sz w:val="22"/>
        </w:rPr>
        <w:t xml:space="preserve"> </w:t>
      </w:r>
      <w:r>
        <w:rPr>
          <w:rFonts w:ascii="Times New Roman" w:hAnsi="Times New Roman"/>
          <w:sz w:val="22"/>
        </w:rPr>
        <w:t xml:space="preserve">Omega Point represents the culmination of the evolutionary process, where all entities attain a suprapersonal unity in God, characterized by </w:t>
      </w:r>
      <w:r w:rsidRPr="00716B72">
        <w:rPr>
          <w:rFonts w:ascii="Times New Roman" w:hAnsi="Times New Roman"/>
          <w:i/>
          <w:iCs/>
          <w:sz w:val="22"/>
        </w:rPr>
        <w:t>agape</w:t>
      </w:r>
      <w:r>
        <w:rPr>
          <w:rFonts w:ascii="Times New Roman" w:hAnsi="Times New Roman"/>
          <w:sz w:val="22"/>
        </w:rPr>
        <w:t>, or self-transcending love. There is ambiguity regarding whether Omega Point is God or merely signifies perfect unity with God. Omega is closely linked to the divine Logos, guiding cosmic evolution towards its ultimate goal or telos, with the incarnate Christ offering a glimpse of Omega. Teilhard's view includes</w:t>
      </w:r>
      <w:r w:rsidRPr="00716B72">
        <w:rPr>
          <w:rFonts w:ascii="Times New Roman" w:hAnsi="Times New Roman"/>
          <w:b/>
          <w:bCs/>
          <w:sz w:val="22"/>
        </w:rPr>
        <w:t xml:space="preserve"> ambiguity</w:t>
      </w:r>
      <w:r>
        <w:rPr>
          <w:rFonts w:ascii="Times New Roman" w:hAnsi="Times New Roman"/>
          <w:sz w:val="22"/>
        </w:rPr>
        <w:t>, as he shares with other Process Theologians (cf. Pannenberg – although not a process theologian) the idea that the future remains open and dependent on human actions, posing a contrast to the fixed nature of Omega Point as the evolutionary endpoint. Nonetheless, he believes God provides humanity with the lure of creative advance as a persuasive agency, emphasizing interdependence.</w:t>
      </w:r>
    </w:p>
    <w:p w14:paraId="4F8019C1" w14:textId="77777777" w:rsidR="00716B72" w:rsidRDefault="00716B72" w:rsidP="00716B72">
      <w:pPr>
        <w:jc w:val="both"/>
      </w:pPr>
    </w:p>
    <w:p w14:paraId="0068E6A5" w14:textId="77777777" w:rsidR="00716B72" w:rsidRDefault="00716B72" w:rsidP="00716B72">
      <w:pPr>
        <w:jc w:val="both"/>
      </w:pPr>
      <w:r w:rsidRPr="00716B72">
        <w:rPr>
          <w:rFonts w:ascii="Times New Roman" w:hAnsi="Times New Roman"/>
          <w:b/>
          <w:bCs/>
          <w:sz w:val="22"/>
        </w:rPr>
        <w:t>Alfred North Whitehead</w:t>
      </w:r>
      <w:r>
        <w:rPr>
          <w:rFonts w:ascii="Times New Roman" w:hAnsi="Times New Roman"/>
          <w:b/>
          <w:bCs/>
          <w:sz w:val="22"/>
        </w:rPr>
        <w:t xml:space="preserve">, </w:t>
      </w:r>
      <w:r>
        <w:rPr>
          <w:rFonts w:ascii="Times New Roman" w:hAnsi="Times New Roman"/>
          <w:sz w:val="22"/>
        </w:rPr>
        <w:t xml:space="preserve">an English mathematician and philosopher, is regarded as the most significant process theologian of the 20th century. Similar to Enlightenment rationalists who sought to align Christian theology with Newtonian cosmology, Whitehead aimed to develop theism that harmonizes with Darwinian biology and Einsteinian physics. Later in his career, Whitehead's reflections on nature and science converged into a comprehensive metaphysical philosophy, articulated in works like "Science and the Modern World," "Religion in the Making," "Symbolism, Its Meaning and Effect," "Process and Reality" (his magnum opus), and "Adventures in Ideas." Whitehead's thought centers on viewing time and process as essential to all </w:t>
      </w:r>
      <w:r w:rsidRPr="00716B72">
        <w:rPr>
          <w:rFonts w:ascii="Times New Roman" w:hAnsi="Times New Roman"/>
          <w:b/>
          <w:bCs/>
          <w:sz w:val="22"/>
        </w:rPr>
        <w:t>reality</w:t>
      </w:r>
      <w:r>
        <w:rPr>
          <w:rFonts w:ascii="Times New Roman" w:hAnsi="Times New Roman"/>
          <w:sz w:val="22"/>
        </w:rPr>
        <w:t xml:space="preserve">. Reality is dynamic, organic, and social, rather than static and discrete. He describes process as the movement of interrelated and interdependent entities and societies, termed "concrescence"—the growing together of diverse entities into a complex unity. Whitehead identifies four key factors in his metaphysical framework: </w:t>
      </w:r>
    </w:p>
    <w:p w14:paraId="53650023" w14:textId="77777777" w:rsidR="00716B72" w:rsidRDefault="00716B72" w:rsidP="00716B72">
      <w:pPr>
        <w:pStyle w:val="ListParagraph"/>
        <w:numPr>
          <w:ilvl w:val="0"/>
          <w:numId w:val="9"/>
        </w:numPr>
        <w:jc w:val="both"/>
      </w:pPr>
      <w:r w:rsidRPr="00716B72">
        <w:rPr>
          <w:rFonts w:ascii="Times New Roman" w:hAnsi="Times New Roman"/>
          <w:b/>
          <w:bCs/>
          <w:sz w:val="22"/>
        </w:rPr>
        <w:t>Creativity</w:t>
      </w:r>
      <w:r>
        <w:rPr>
          <w:rFonts w:ascii="Times New Roman" w:hAnsi="Times New Roman"/>
          <w:sz w:val="22"/>
        </w:rPr>
        <w:t>: The world advances to novelty; creativity itself is not an entity but becomes real through the actual entities exemplifying it.</w:t>
      </w:r>
    </w:p>
    <w:p w14:paraId="64C32165" w14:textId="77777777" w:rsidR="00716B72" w:rsidRDefault="00716B72" w:rsidP="00716B72">
      <w:pPr>
        <w:pStyle w:val="ListParagraph"/>
        <w:numPr>
          <w:ilvl w:val="0"/>
          <w:numId w:val="9"/>
        </w:numPr>
        <w:jc w:val="both"/>
      </w:pPr>
      <w:r w:rsidRPr="00716B72">
        <w:rPr>
          <w:rFonts w:ascii="Times New Roman" w:hAnsi="Times New Roman"/>
          <w:b/>
          <w:bCs/>
          <w:sz w:val="22"/>
        </w:rPr>
        <w:t>Actual Entities</w:t>
      </w:r>
      <w:r>
        <w:rPr>
          <w:rFonts w:ascii="Times New Roman" w:hAnsi="Times New Roman"/>
          <w:sz w:val="22"/>
        </w:rPr>
        <w:t>: These are the final components of the world. They appropriate or "prehend" the past, realize their own unique subjective form or aim, and eventually perish, becoming an objective datum for other entities.</w:t>
      </w:r>
    </w:p>
    <w:p w14:paraId="2CE51063" w14:textId="77777777" w:rsidR="00716B72" w:rsidRDefault="00716B72" w:rsidP="00716B72">
      <w:pPr>
        <w:pStyle w:val="ListParagraph"/>
        <w:numPr>
          <w:ilvl w:val="0"/>
          <w:numId w:val="9"/>
        </w:numPr>
        <w:jc w:val="both"/>
      </w:pPr>
      <w:r w:rsidRPr="00716B72">
        <w:rPr>
          <w:rFonts w:ascii="Times New Roman" w:hAnsi="Times New Roman"/>
          <w:b/>
          <w:bCs/>
          <w:sz w:val="22"/>
        </w:rPr>
        <w:t>Eternal Objects/Pure Potentials</w:t>
      </w:r>
      <w:r>
        <w:rPr>
          <w:rFonts w:ascii="Times New Roman" w:hAnsi="Times New Roman"/>
          <w:sz w:val="22"/>
        </w:rPr>
        <w:t>: These are abstractions from concrete objects, serving as potentials actualized in the world. For example, a color might be an eternal object.</w:t>
      </w:r>
    </w:p>
    <w:p w14:paraId="6AB260A2" w14:textId="77777777" w:rsidR="00716B72" w:rsidRDefault="00716B72" w:rsidP="00716B72">
      <w:pPr>
        <w:pStyle w:val="ListParagraph"/>
        <w:numPr>
          <w:ilvl w:val="0"/>
          <w:numId w:val="9"/>
        </w:numPr>
        <w:jc w:val="both"/>
      </w:pPr>
      <w:r w:rsidRPr="00716B72">
        <w:rPr>
          <w:rFonts w:ascii="Times New Roman" w:hAnsi="Times New Roman"/>
          <w:b/>
          <w:bCs/>
          <w:sz w:val="22"/>
        </w:rPr>
        <w:t>God</w:t>
      </w:r>
      <w:r>
        <w:rPr>
          <w:rFonts w:ascii="Times New Roman" w:hAnsi="Times New Roman"/>
          <w:sz w:val="22"/>
        </w:rPr>
        <w:t>: Although God is an actual entity, God is everlasting and immutable, grounding eternal objects in actuality and providing actual entities with their initial aim. God cannot be fully known.</w:t>
      </w:r>
    </w:p>
    <w:p w14:paraId="5832094E" w14:textId="77777777" w:rsidR="00716B72" w:rsidRDefault="00716B72" w:rsidP="00716B72">
      <w:pPr>
        <w:jc w:val="both"/>
      </w:pPr>
      <w:r>
        <w:rPr>
          <w:rFonts w:ascii="Times New Roman" w:hAnsi="Times New Roman"/>
          <w:sz w:val="22"/>
        </w:rPr>
        <w:t xml:space="preserve">Whitehead's notion of God is dipolar, consisting of </w:t>
      </w:r>
      <w:r w:rsidRPr="00716B72">
        <w:rPr>
          <w:rFonts w:ascii="Times New Roman" w:hAnsi="Times New Roman"/>
          <w:i/>
          <w:iCs/>
          <w:sz w:val="22"/>
        </w:rPr>
        <w:t>primordial</w:t>
      </w:r>
      <w:r>
        <w:rPr>
          <w:rFonts w:ascii="Times New Roman" w:hAnsi="Times New Roman"/>
          <w:sz w:val="22"/>
        </w:rPr>
        <w:t xml:space="preserve"> and </w:t>
      </w:r>
      <w:r w:rsidRPr="00716B72">
        <w:rPr>
          <w:rFonts w:ascii="Times New Roman" w:hAnsi="Times New Roman"/>
          <w:i/>
          <w:iCs/>
          <w:sz w:val="22"/>
        </w:rPr>
        <w:t>consequent</w:t>
      </w:r>
      <w:r>
        <w:rPr>
          <w:rFonts w:ascii="Times New Roman" w:hAnsi="Times New Roman"/>
          <w:sz w:val="22"/>
        </w:rPr>
        <w:t xml:space="preserve"> natures. The primordial nature involves the conceptual structure that orders and grades eternal objects. The consequent nature concerns how God is affected by the world's concrete entities. According to Whitehead, the creation of the world necessitates interdependence with God. God is viewed not as the creator in the traditional sense but </w:t>
      </w:r>
      <w:r>
        <w:rPr>
          <w:rFonts w:ascii="Times New Roman" w:hAnsi="Times New Roman"/>
          <w:sz w:val="22"/>
        </w:rPr>
        <w:lastRenderedPageBreak/>
        <w:t xml:space="preserve">as the savior of the world. Finite actual entities achieve a kind of objective immortality in God, granted freedom to reject this, as God is not omnipotent. </w:t>
      </w:r>
      <w:r w:rsidRPr="00716B72">
        <w:rPr>
          <w:rFonts w:ascii="Times New Roman" w:hAnsi="Times New Roman"/>
          <w:b/>
          <w:bCs/>
          <w:sz w:val="22"/>
        </w:rPr>
        <w:t>Assessment of Whitehead's Theism.</w:t>
      </w:r>
      <w:r>
        <w:rPr>
          <w:rFonts w:ascii="Times New Roman" w:hAnsi="Times New Roman"/>
          <w:b/>
          <w:bCs/>
          <w:sz w:val="22"/>
        </w:rPr>
        <w:t xml:space="preserve"> </w:t>
      </w:r>
      <w:r>
        <w:rPr>
          <w:rFonts w:ascii="Times New Roman" w:hAnsi="Times New Roman"/>
          <w:sz w:val="22"/>
        </w:rPr>
        <w:t>Whitehead posits the real potentiality of God, marking a complete departure from traditional theism, which views God as pure actuality. In Whitehead's view, God is not the absolute efficient cause of the world but is seen as a creator due to the immanence of his primordial nature in the world, serving as the principle of its order and purpose.</w:t>
      </w:r>
    </w:p>
    <w:p w14:paraId="129BE91A" w14:textId="77777777" w:rsidR="00C474BE" w:rsidRDefault="00C474BE" w:rsidP="00716B72">
      <w:pPr>
        <w:jc w:val="both"/>
      </w:pPr>
    </w:p>
    <w:p w14:paraId="20D74AC6" w14:textId="77777777" w:rsidR="001F00CD" w:rsidRDefault="001F00CD">
      <w:pPr>
        <w:rPr>
          <w:b/>
          <w:bCs/>
        </w:rPr>
      </w:pPr>
      <w:r>
        <w:rPr>
          <w:rFonts w:ascii="Times New Roman" w:hAnsi="Times New Roman"/>
          <w:b/>
          <w:bCs/>
          <w:sz w:val="22"/>
        </w:rPr>
        <w:br w:type="page"/>
      </w:r>
    </w:p>
    <w:p w14:paraId="024A5647" w14:textId="3FEA76AB" w:rsidR="00C474BE" w:rsidRPr="00C474BE" w:rsidRDefault="00C474BE" w:rsidP="00C474BE">
      <w:pPr>
        <w:jc w:val="both"/>
        <w:rPr>
          <w:b/>
          <w:bCs/>
        </w:rPr>
      </w:pPr>
      <w:r w:rsidRPr="00C474BE">
        <w:rPr>
          <w:rFonts w:ascii="Times New Roman" w:hAnsi="Times New Roman"/>
          <w:b/>
          <w:bCs/>
          <w:sz w:val="22"/>
        </w:rPr>
        <w:lastRenderedPageBreak/>
        <w:t>Chapter Eleven. History and Hermeneutics</w:t>
      </w:r>
    </w:p>
    <w:p w14:paraId="78DC8E5F" w14:textId="77777777" w:rsidR="00C474BE" w:rsidRDefault="00C474BE" w:rsidP="00C474BE">
      <w:pPr>
        <w:jc w:val="both"/>
      </w:pPr>
      <w:r w:rsidRPr="00C474BE">
        <w:rPr>
          <w:rFonts w:ascii="Times New Roman" w:hAnsi="Times New Roman"/>
          <w:b/>
          <w:bCs/>
          <w:sz w:val="22"/>
        </w:rPr>
        <w:t>Common Threads.</w:t>
      </w:r>
      <w:r>
        <w:rPr>
          <w:rFonts w:ascii="Times New Roman" w:hAnsi="Times New Roman"/>
          <w:b/>
          <w:bCs/>
          <w:sz w:val="22"/>
        </w:rPr>
        <w:t xml:space="preserve"> </w:t>
      </w:r>
    </w:p>
    <w:p w14:paraId="404ED5A4" w14:textId="77777777" w:rsidR="00C474BE" w:rsidRDefault="00C474BE" w:rsidP="00C474BE">
      <w:pPr>
        <w:jc w:val="both"/>
      </w:pPr>
      <w:r>
        <w:rPr>
          <w:rFonts w:ascii="Times New Roman" w:hAnsi="Times New Roman"/>
          <w:sz w:val="22"/>
        </w:rPr>
        <w:t xml:space="preserve">This chapter explores common threads in the fields of history and hermeneutics, highlighting three key areas of development. </w:t>
      </w:r>
      <w:r w:rsidRPr="00C474BE">
        <w:rPr>
          <w:rFonts w:ascii="Times New Roman" w:hAnsi="Times New Roman"/>
          <w:i/>
          <w:iCs/>
          <w:sz w:val="22"/>
        </w:rPr>
        <w:t>First</w:t>
      </w:r>
      <w:r>
        <w:rPr>
          <w:rFonts w:ascii="Times New Roman" w:hAnsi="Times New Roman"/>
          <w:sz w:val="22"/>
        </w:rPr>
        <w:t xml:space="preserve">, there is a reaction against the "individualism" found in existential philosophy and theology, signaling a shift towards collective and historical perspectives. </w:t>
      </w:r>
      <w:r w:rsidRPr="00C474BE">
        <w:rPr>
          <w:rFonts w:ascii="Times New Roman" w:hAnsi="Times New Roman"/>
          <w:i/>
          <w:iCs/>
          <w:sz w:val="22"/>
        </w:rPr>
        <w:t>Second</w:t>
      </w:r>
      <w:r>
        <w:rPr>
          <w:rFonts w:ascii="Times New Roman" w:hAnsi="Times New Roman"/>
          <w:sz w:val="22"/>
        </w:rPr>
        <w:t xml:space="preserve">, there is a focus on history, tradition, and interpretation, challenging the devaluation of history seen in Neo-Orthodoxy. Hermeneutical theories developed by Gadamer and Ricoeur serve to broaden, expand, and correct the existential interpretations previously advocated by Bultmann. </w:t>
      </w:r>
      <w:r w:rsidRPr="00C474BE">
        <w:rPr>
          <w:rFonts w:ascii="Times New Roman" w:hAnsi="Times New Roman"/>
          <w:i/>
          <w:iCs/>
          <w:sz w:val="22"/>
        </w:rPr>
        <w:t>Third</w:t>
      </w:r>
      <w:r>
        <w:rPr>
          <w:rFonts w:ascii="Times New Roman" w:hAnsi="Times New Roman"/>
          <w:sz w:val="22"/>
        </w:rPr>
        <w:t>, there is a noticeable change in philosophical mentors. While Neo-Orthodoxy, represented by Barth and Bultmann, drew on Søren Kierkegaard, thinkers like Pannenberg and Gadamer turned to Hegel for their understanding of history, reflecting a shift toward more historical and dialectical approaches.</w:t>
      </w:r>
    </w:p>
    <w:p w14:paraId="2B66BA0A" w14:textId="77777777" w:rsidR="00C474BE" w:rsidRDefault="00C474BE" w:rsidP="00C474BE">
      <w:pPr>
        <w:jc w:val="both"/>
      </w:pPr>
    </w:p>
    <w:p w14:paraId="1EFBD3B9" w14:textId="77777777" w:rsidR="00C474BE" w:rsidRPr="00C474BE" w:rsidRDefault="00C474BE" w:rsidP="00C474BE">
      <w:pPr>
        <w:jc w:val="both"/>
        <w:rPr>
          <w:b/>
          <w:bCs/>
        </w:rPr>
      </w:pPr>
      <w:r w:rsidRPr="00C474BE">
        <w:rPr>
          <w:rFonts w:ascii="Times New Roman" w:hAnsi="Times New Roman"/>
          <w:b/>
          <w:bCs/>
          <w:sz w:val="22"/>
        </w:rPr>
        <w:t>Wolfhart Pannenberg.</w:t>
      </w:r>
    </w:p>
    <w:p w14:paraId="3DF61BA0" w14:textId="77777777" w:rsidR="00C474BE" w:rsidRDefault="00C474BE" w:rsidP="00C474BE">
      <w:pPr>
        <w:jc w:val="both"/>
      </w:pPr>
      <w:r>
        <w:rPr>
          <w:rFonts w:ascii="Times New Roman" w:hAnsi="Times New Roman"/>
          <w:sz w:val="22"/>
        </w:rPr>
        <w:t xml:space="preserve">Wolfhart Pannenberg, who studied with Karl Barth and was influenced by Gerhard von Rad, taught alongside Jürgen Moltmann.  </w:t>
      </w:r>
      <w:r w:rsidRPr="00C474BE">
        <w:rPr>
          <w:rFonts w:ascii="Times New Roman" w:hAnsi="Times New Roman"/>
          <w:b/>
          <w:bCs/>
          <w:sz w:val="22"/>
        </w:rPr>
        <w:t>Revelation as History.</w:t>
      </w:r>
      <w:r>
        <w:rPr>
          <w:rFonts w:ascii="Times New Roman" w:hAnsi="Times New Roman"/>
          <w:b/>
          <w:bCs/>
          <w:sz w:val="22"/>
        </w:rPr>
        <w:t xml:space="preserve"> </w:t>
      </w:r>
      <w:r>
        <w:rPr>
          <w:rFonts w:ascii="Times New Roman" w:hAnsi="Times New Roman"/>
          <w:sz w:val="22"/>
        </w:rPr>
        <w:t xml:space="preserve">In "Revelation as History," Pannenberg, along with other post-WWII theologians, emphasizes the role of history in theology. This marks a shift from the Neo-Orthodox focus on the Word, proclamation, and kerygma to understanding history as the furthest horizon of Christian theology. God's history with humanity and the whole of creation is oriented toward a future that remains hidden but is revealed in Jesus Christ. Pannenberg’s contribution, "Dogmatic Theses on the Doctrine of Revelation," outlines seven key ideas: </w:t>
      </w:r>
    </w:p>
    <w:p w14:paraId="258EA48A" w14:textId="77777777" w:rsidR="00C474BE" w:rsidRDefault="00C474BE" w:rsidP="00C474BE">
      <w:pPr>
        <w:pStyle w:val="ListParagraph"/>
        <w:numPr>
          <w:ilvl w:val="0"/>
          <w:numId w:val="10"/>
        </w:numPr>
        <w:jc w:val="both"/>
      </w:pPr>
      <w:r>
        <w:rPr>
          <w:rFonts w:ascii="Times New Roman" w:hAnsi="Times New Roman"/>
          <w:sz w:val="22"/>
        </w:rPr>
        <w:t>God's self-revelation is not direct, like a theophany, but indirect and is brought about through God's acts in history.</w:t>
      </w:r>
    </w:p>
    <w:p w14:paraId="6C4B0CAF" w14:textId="77777777" w:rsidR="00C474BE" w:rsidRDefault="00C474BE" w:rsidP="00C474BE">
      <w:pPr>
        <w:pStyle w:val="ListParagraph"/>
        <w:numPr>
          <w:ilvl w:val="0"/>
          <w:numId w:val="10"/>
        </w:numPr>
        <w:jc w:val="both"/>
      </w:pPr>
      <w:r>
        <w:rPr>
          <w:rFonts w:ascii="Times New Roman" w:hAnsi="Times New Roman"/>
          <w:sz w:val="22"/>
        </w:rPr>
        <w:t>It is at the end rather than at the beginning of history that divine revelation is completely comprehended.</w:t>
      </w:r>
    </w:p>
    <w:p w14:paraId="16328B84" w14:textId="77777777" w:rsidR="00C474BE" w:rsidRDefault="00C474BE" w:rsidP="00C474BE">
      <w:pPr>
        <w:pStyle w:val="ListParagraph"/>
        <w:numPr>
          <w:ilvl w:val="0"/>
          <w:numId w:val="10"/>
        </w:numPr>
        <w:jc w:val="both"/>
      </w:pPr>
      <w:r>
        <w:rPr>
          <w:rFonts w:ascii="Times New Roman" w:hAnsi="Times New Roman"/>
          <w:sz w:val="22"/>
        </w:rPr>
        <w:t>Historical revelation is open for all to see and has a universal character.</w:t>
      </w:r>
    </w:p>
    <w:p w14:paraId="2C1EF6AF" w14:textId="77777777" w:rsidR="00C474BE" w:rsidRDefault="00C474BE" w:rsidP="00C474BE">
      <w:pPr>
        <w:pStyle w:val="ListParagraph"/>
        <w:numPr>
          <w:ilvl w:val="0"/>
          <w:numId w:val="10"/>
        </w:numPr>
        <w:jc w:val="both"/>
      </w:pPr>
      <w:r>
        <w:rPr>
          <w:rFonts w:ascii="Times New Roman" w:hAnsi="Times New Roman"/>
          <w:sz w:val="22"/>
        </w:rPr>
        <w:t>The universal revelation of God's Deity is anticipated in the fate of Jesus.</w:t>
      </w:r>
    </w:p>
    <w:p w14:paraId="3AEA661A" w14:textId="77777777" w:rsidR="00C474BE" w:rsidRDefault="00C474BE" w:rsidP="00C474BE">
      <w:pPr>
        <w:pStyle w:val="ListParagraph"/>
        <w:numPr>
          <w:ilvl w:val="0"/>
          <w:numId w:val="10"/>
        </w:numPr>
        <w:jc w:val="both"/>
      </w:pPr>
      <w:r>
        <w:rPr>
          <w:rFonts w:ascii="Times New Roman" w:hAnsi="Times New Roman"/>
          <w:sz w:val="22"/>
        </w:rPr>
        <w:t>The Christ event is part of God's history with Israel.</w:t>
      </w:r>
    </w:p>
    <w:p w14:paraId="4D5BB4B5" w14:textId="77777777" w:rsidR="00C474BE" w:rsidRDefault="00C474BE" w:rsidP="00C474BE">
      <w:pPr>
        <w:pStyle w:val="ListParagraph"/>
        <w:numPr>
          <w:ilvl w:val="0"/>
          <w:numId w:val="10"/>
        </w:numPr>
        <w:jc w:val="both"/>
      </w:pPr>
      <w:r>
        <w:rPr>
          <w:rFonts w:ascii="Times New Roman" w:hAnsi="Times New Roman"/>
          <w:sz w:val="22"/>
        </w:rPr>
        <w:t>The formulation of revelation in the Gentile Christian Church brings to actual expression the universality of God's eschatological vindication of Jesus.</w:t>
      </w:r>
    </w:p>
    <w:p w14:paraId="5230659C" w14:textId="77777777" w:rsidR="00C474BE" w:rsidRDefault="00C474BE" w:rsidP="00C474BE">
      <w:pPr>
        <w:pStyle w:val="ListParagraph"/>
        <w:numPr>
          <w:ilvl w:val="0"/>
          <w:numId w:val="10"/>
        </w:numPr>
        <w:jc w:val="both"/>
      </w:pPr>
      <w:r>
        <w:rPr>
          <w:rFonts w:ascii="Times New Roman" w:hAnsi="Times New Roman"/>
          <w:sz w:val="22"/>
        </w:rPr>
        <w:t>The Word relates itself to revelation as foretelling, forthtelling, and report.</w:t>
      </w:r>
    </w:p>
    <w:p w14:paraId="25B6F40E" w14:textId="77777777" w:rsidR="00C474BE" w:rsidRDefault="00C474BE" w:rsidP="00C474BE">
      <w:pPr>
        <w:jc w:val="both"/>
      </w:pPr>
      <w:r>
        <w:rPr>
          <w:rFonts w:ascii="Times New Roman" w:hAnsi="Times New Roman"/>
          <w:sz w:val="22"/>
        </w:rPr>
        <w:t xml:space="preserve">Pannenberg’s theses are controversial, emphasizing the indirectness and universal openness of revelation and the universality of history. This creates a tension: while history is already anticipated in Jesus’s fate, it remains open-ended, understood only at its conclusion. </w:t>
      </w:r>
    </w:p>
    <w:p w14:paraId="76BD8384" w14:textId="77777777" w:rsidR="00C474BE" w:rsidRDefault="00C474BE" w:rsidP="00C474BE">
      <w:pPr>
        <w:jc w:val="both"/>
      </w:pPr>
      <w:r w:rsidRPr="00C474BE">
        <w:rPr>
          <w:rFonts w:ascii="Times New Roman" w:hAnsi="Times New Roman"/>
          <w:b/>
          <w:bCs/>
          <w:sz w:val="22"/>
        </w:rPr>
        <w:t>The Resurrection of Jesus Christ: Historical and Retroactive.</w:t>
      </w:r>
      <w:r>
        <w:rPr>
          <w:rFonts w:ascii="Times New Roman" w:hAnsi="Times New Roman"/>
          <w:b/>
          <w:bCs/>
          <w:sz w:val="22"/>
        </w:rPr>
        <w:t xml:space="preserve"> </w:t>
      </w:r>
      <w:r>
        <w:rPr>
          <w:rFonts w:ascii="Times New Roman" w:hAnsi="Times New Roman"/>
          <w:sz w:val="22"/>
        </w:rPr>
        <w:t xml:space="preserve">Pannenberg identifies four elements concerning the resurrection. </w:t>
      </w:r>
      <w:r w:rsidRPr="00C474BE">
        <w:rPr>
          <w:rFonts w:ascii="Times New Roman" w:hAnsi="Times New Roman"/>
          <w:i/>
          <w:iCs/>
          <w:sz w:val="22"/>
        </w:rPr>
        <w:t>First</w:t>
      </w:r>
      <w:r>
        <w:rPr>
          <w:rFonts w:ascii="Times New Roman" w:hAnsi="Times New Roman"/>
          <w:sz w:val="22"/>
        </w:rPr>
        <w:t xml:space="preserve">, the historical demonstrability of the resurrection, visible to those receptive to it. </w:t>
      </w:r>
      <w:r w:rsidRPr="00C474BE">
        <w:rPr>
          <w:rFonts w:ascii="Times New Roman" w:hAnsi="Times New Roman"/>
          <w:i/>
          <w:iCs/>
          <w:sz w:val="22"/>
        </w:rPr>
        <w:t>Second</w:t>
      </w:r>
      <w:r>
        <w:rPr>
          <w:rFonts w:ascii="Times New Roman" w:hAnsi="Times New Roman"/>
          <w:sz w:val="22"/>
        </w:rPr>
        <w:t xml:space="preserve">, the historicity of the resurrection, which is more than a kerygmatic event and roots the kerygma in historical fact, supported by the convergence of traditions about the empty tomb and resurrection appearances. </w:t>
      </w:r>
      <w:r w:rsidRPr="00C474BE">
        <w:rPr>
          <w:rFonts w:ascii="Times New Roman" w:hAnsi="Times New Roman"/>
          <w:i/>
          <w:iCs/>
          <w:sz w:val="22"/>
        </w:rPr>
        <w:t>Third</w:t>
      </w:r>
      <w:r>
        <w:rPr>
          <w:rFonts w:ascii="Times New Roman" w:hAnsi="Times New Roman"/>
          <w:sz w:val="22"/>
        </w:rPr>
        <w:t xml:space="preserve">, the retrospective nature of the resurrection regarding Jesus's Sonship, indicating Jesus was the Son of God from the start, emphasizing his oneness with God from the perspective of his resurrection, countering the kenosis theology. </w:t>
      </w:r>
      <w:r w:rsidRPr="00C474BE">
        <w:rPr>
          <w:rFonts w:ascii="Times New Roman" w:hAnsi="Times New Roman"/>
          <w:i/>
          <w:iCs/>
          <w:sz w:val="22"/>
        </w:rPr>
        <w:t>Fourth</w:t>
      </w:r>
      <w:r>
        <w:rPr>
          <w:rFonts w:ascii="Times New Roman" w:hAnsi="Times New Roman"/>
          <w:sz w:val="22"/>
        </w:rPr>
        <w:t xml:space="preserve">, the proleptic character of the resurrection, anticipating the end of history in Jesus's resurrection. This underscores a duality: history is inherently open and incomplete, with meaning fully manifest only at its end, but the end is also proleptically anticipated in Jesus’s fate through his resurrection, signifying God’s vindication. </w:t>
      </w:r>
      <w:r w:rsidRPr="00C474BE">
        <w:rPr>
          <w:rFonts w:ascii="Times New Roman" w:hAnsi="Times New Roman"/>
          <w:b/>
          <w:bCs/>
          <w:sz w:val="22"/>
        </w:rPr>
        <w:t>Theology as an Intellectual Discipline.</w:t>
      </w:r>
      <w:r>
        <w:rPr>
          <w:rFonts w:ascii="Times New Roman" w:hAnsi="Times New Roman"/>
          <w:b/>
          <w:bCs/>
          <w:sz w:val="22"/>
        </w:rPr>
        <w:t xml:space="preserve"> </w:t>
      </w:r>
      <w:r>
        <w:rPr>
          <w:rFonts w:ascii="Times New Roman" w:hAnsi="Times New Roman"/>
          <w:sz w:val="22"/>
        </w:rPr>
        <w:t xml:space="preserve">Wolfhart Pannenberg critiques positivism for its lack of hermeneutical awareness and challenges the hermeneutics of Bultmann and Gadamer for being overly focused on expressed conceptions of truth, thereby neglecting objectivity. He asserts that theology must begin with the affirmation of God. He views 'God' as the 'all-determining reality,' not directly knowable like ordinary objects, but accessible indirectly through the human anticipation of meaning. Since history has yet to conclude, this total meaning remains open, pending confirmation or refutation. </w:t>
      </w:r>
      <w:r w:rsidRPr="00C474BE">
        <w:rPr>
          <w:rFonts w:ascii="Times New Roman" w:hAnsi="Times New Roman"/>
          <w:b/>
          <w:bCs/>
          <w:sz w:val="22"/>
        </w:rPr>
        <w:t>Anthropology as Fundamental Theology.</w:t>
      </w:r>
      <w:r>
        <w:rPr>
          <w:rFonts w:ascii="Times New Roman" w:hAnsi="Times New Roman"/>
          <w:b/>
          <w:bCs/>
          <w:sz w:val="22"/>
        </w:rPr>
        <w:t xml:space="preserve"> </w:t>
      </w:r>
      <w:r>
        <w:rPr>
          <w:rFonts w:ascii="Times New Roman" w:hAnsi="Times New Roman"/>
          <w:sz w:val="22"/>
        </w:rPr>
        <w:t xml:space="preserve">With the rise of evolutionary theory and a mechanistic view of the cosmos, the universe is no longer the starting point for theology. Anthropology takes center stage as the testing ground of truth. Moral justifications for religion, </w:t>
      </w:r>
      <w:r>
        <w:rPr>
          <w:rFonts w:ascii="Times New Roman" w:hAnsi="Times New Roman"/>
          <w:sz w:val="22"/>
        </w:rPr>
        <w:lastRenderedPageBreak/>
        <w:t xml:space="preserve">as seen in the works of Kant (morality) and Schleiermacher (human experience), along with critiques from Nietzsche, Freud, and Feuerbach, underscore the centrality of anthropology. Pannenberg positions anthropology as fundamental theology, focusing on human history and its openness. He emphasizes that self-fulfillment through self-perfection is impossible and that humans are directed toward divine providence within history, a concept known as </w:t>
      </w:r>
      <w:r w:rsidRPr="00C474BE">
        <w:rPr>
          <w:rFonts w:ascii="Times New Roman" w:hAnsi="Times New Roman"/>
          <w:i/>
          <w:iCs/>
          <w:sz w:val="22"/>
        </w:rPr>
        <w:t>Weltoffenheit</w:t>
      </w:r>
      <w:r>
        <w:rPr>
          <w:rFonts w:ascii="Times New Roman" w:hAnsi="Times New Roman"/>
          <w:sz w:val="22"/>
        </w:rPr>
        <w:t xml:space="preserve">. </w:t>
      </w:r>
      <w:r w:rsidRPr="00C474BE">
        <w:rPr>
          <w:rFonts w:ascii="Times New Roman" w:hAnsi="Times New Roman"/>
          <w:i/>
          <w:iCs/>
          <w:sz w:val="22"/>
        </w:rPr>
        <w:t>Weltoffenheit</w:t>
      </w:r>
      <w:r>
        <w:rPr>
          <w:rFonts w:ascii="Times New Roman" w:hAnsi="Times New Roman"/>
          <w:sz w:val="22"/>
        </w:rPr>
        <w:t xml:space="preserve"> indicates that humans find no ultimate satisfaction in their experiences and creations, bringing forth the question of God's connection to human existence, not as proof of God but as an inseparable inquiry tied to humanity, aligning with Rahner (pre-apprehension) but emphasizing historical orientation and human nature's incompleteness. </w:t>
      </w:r>
      <w:r w:rsidRPr="00C474BE">
        <w:rPr>
          <w:rFonts w:ascii="Times New Roman" w:hAnsi="Times New Roman"/>
          <w:b/>
          <w:bCs/>
          <w:sz w:val="22"/>
        </w:rPr>
        <w:t>Critical Issues: The Rationality of Faith.</w:t>
      </w:r>
      <w:r>
        <w:rPr>
          <w:rFonts w:ascii="Times New Roman" w:hAnsi="Times New Roman"/>
          <w:b/>
          <w:bCs/>
          <w:sz w:val="22"/>
        </w:rPr>
        <w:t xml:space="preserve"> </w:t>
      </w:r>
      <w:r>
        <w:rPr>
          <w:rFonts w:ascii="Times New Roman" w:hAnsi="Times New Roman"/>
          <w:sz w:val="22"/>
        </w:rPr>
        <w:t>Pannenberg's work receives widespread ecumenical attention. The Roman Catholic tradition appreciates his emphasis on historical evidence and philosophical demonstration. In contrast, Lutherans find his approach overly rationalistic, lacking focus on faith's role, while others criticize it as too idealistic, drawing heavily on Hegel's philosophical history. There is an inherent tension in his theology: while it posits that history is open, the end of history is already anticipated in Jesus's resurrection, reflecting his complex view of faith and history.</w:t>
      </w:r>
    </w:p>
    <w:p w14:paraId="5F6B5543" w14:textId="77777777" w:rsidR="00C474BE" w:rsidRDefault="00C474BE" w:rsidP="00C474BE">
      <w:pPr>
        <w:jc w:val="both"/>
      </w:pPr>
    </w:p>
    <w:p w14:paraId="33B2E45A" w14:textId="77777777" w:rsidR="00C474BE" w:rsidRPr="00C474BE" w:rsidRDefault="00C474BE" w:rsidP="00C474BE">
      <w:pPr>
        <w:jc w:val="both"/>
        <w:rPr>
          <w:b/>
          <w:bCs/>
        </w:rPr>
      </w:pPr>
      <w:r w:rsidRPr="00C474BE">
        <w:rPr>
          <w:rFonts w:ascii="Times New Roman" w:hAnsi="Times New Roman"/>
          <w:b/>
          <w:bCs/>
          <w:sz w:val="22"/>
        </w:rPr>
        <w:t>Hans-Georg Gadamer.</w:t>
      </w:r>
    </w:p>
    <w:p w14:paraId="70EF1195" w14:textId="77777777" w:rsidR="00C474BE" w:rsidRDefault="00C474BE" w:rsidP="00C474BE">
      <w:pPr>
        <w:jc w:val="both"/>
      </w:pPr>
      <w:r w:rsidRPr="00C474BE">
        <w:rPr>
          <w:rFonts w:ascii="Times New Roman" w:hAnsi="Times New Roman"/>
          <w:b/>
          <w:bCs/>
          <w:sz w:val="22"/>
        </w:rPr>
        <w:t>The Critique of Historicism and Romanticism.</w:t>
      </w:r>
      <w:r>
        <w:rPr>
          <w:rFonts w:ascii="Times New Roman" w:hAnsi="Times New Roman"/>
          <w:b/>
          <w:bCs/>
          <w:sz w:val="22"/>
        </w:rPr>
        <w:t xml:space="preserve"> </w:t>
      </w:r>
      <w:r>
        <w:rPr>
          <w:rFonts w:ascii="Times New Roman" w:hAnsi="Times New Roman"/>
          <w:sz w:val="22"/>
        </w:rPr>
        <w:t xml:space="preserve">Gadamer critiques the historicism of Leopold von Ranke, which treats history as an empirical and objective science grounded in historical facts. Gadamer argues that Hegel more accurately understands the historian's involvement in history. He also challenges Schleiermacher's hermeneutics, which overly emphasizes the author's intention and assigns a psychological task to interpretation. Gadamer posits that the human sciences should be approached through the traditional concept of Bildung—formation and education—rather than modern ideals aligned with the scientific method. Influenced by Heidegger's concept of "facticity" or "there-ness" (Dasein) of human existence, Gadamer maintains that our identity and possibilities of being are fundamentally connected to our self-understanding. </w:t>
      </w:r>
      <w:r w:rsidRPr="00C474BE">
        <w:rPr>
          <w:rFonts w:ascii="Times New Roman" w:hAnsi="Times New Roman"/>
          <w:b/>
          <w:bCs/>
          <w:sz w:val="22"/>
        </w:rPr>
        <w:t>Recasting the Hermeneutical Circle.</w:t>
      </w:r>
      <w:r>
        <w:rPr>
          <w:rFonts w:ascii="Times New Roman" w:hAnsi="Times New Roman"/>
          <w:b/>
          <w:bCs/>
          <w:sz w:val="22"/>
        </w:rPr>
        <w:t xml:space="preserve"> </w:t>
      </w:r>
      <w:r>
        <w:rPr>
          <w:rFonts w:ascii="Times New Roman" w:hAnsi="Times New Roman"/>
          <w:sz w:val="22"/>
        </w:rPr>
        <w:t xml:space="preserve">Drawing on Heidegger's concept of Dasein, Gadamer suggests that individuals are born into specific historical constellations that shape their existential possibilities and meanings. This leads to a hermeneutical circle, in which interpretation operates with a forestructure—a pre-understanding influenced by our life experiences. Every interpretation contributing to understanding requires a pre-existing life-relation to the subject matter. This pre-understanding echoes Rahner's idea of pre-apprehension, an innate orientation to the divine. </w:t>
      </w:r>
      <w:r w:rsidRPr="00C474BE">
        <w:rPr>
          <w:rFonts w:ascii="Times New Roman" w:hAnsi="Times New Roman"/>
          <w:b/>
          <w:bCs/>
          <w:sz w:val="22"/>
        </w:rPr>
        <w:t>Hermeneutics of Belonging: Key Concepts.</w:t>
      </w:r>
      <w:r>
        <w:rPr>
          <w:rFonts w:ascii="Times New Roman" w:hAnsi="Times New Roman"/>
          <w:b/>
          <w:bCs/>
          <w:sz w:val="22"/>
        </w:rPr>
        <w:t xml:space="preserve"> </w:t>
      </w:r>
      <w:r>
        <w:rPr>
          <w:rFonts w:ascii="Times New Roman" w:hAnsi="Times New Roman"/>
          <w:sz w:val="22"/>
        </w:rPr>
        <w:t>Gadamer introduces "</w:t>
      </w:r>
      <w:r w:rsidRPr="00C474BE">
        <w:rPr>
          <w:rFonts w:ascii="Times New Roman" w:hAnsi="Times New Roman"/>
          <w:i/>
          <w:iCs/>
          <w:sz w:val="22"/>
        </w:rPr>
        <w:t>the Classic</w:t>
      </w:r>
      <w:r>
        <w:rPr>
          <w:rFonts w:ascii="Times New Roman" w:hAnsi="Times New Roman"/>
          <w:sz w:val="22"/>
        </w:rPr>
        <w:t xml:space="preserve">," a concept for works that are historically situated yet timeless, enduring, and capable of making claims across ages. The concept of </w:t>
      </w:r>
      <w:r w:rsidRPr="00C474BE">
        <w:rPr>
          <w:rFonts w:ascii="Times New Roman" w:hAnsi="Times New Roman"/>
          <w:i/>
          <w:iCs/>
          <w:sz w:val="22"/>
        </w:rPr>
        <w:t>Wirkungsgeschichte</w:t>
      </w:r>
      <w:r>
        <w:rPr>
          <w:rFonts w:ascii="Times New Roman" w:hAnsi="Times New Roman"/>
          <w:sz w:val="22"/>
        </w:rPr>
        <w:t xml:space="preserve">, or effective history, emphasizes that a classic influences history through its continued relevance, providing a more nuanced, historical view of Heidegger's concept of pre-understanding. The King James Version or the American Declaration of Independence are examples of such classics. </w:t>
      </w:r>
      <w:r w:rsidRPr="00C474BE">
        <w:rPr>
          <w:rFonts w:ascii="Times New Roman" w:hAnsi="Times New Roman"/>
          <w:i/>
          <w:iCs/>
          <w:sz w:val="22"/>
        </w:rPr>
        <w:t>The fusion of horizons</w:t>
      </w:r>
      <w:r>
        <w:rPr>
          <w:rFonts w:ascii="Times New Roman" w:hAnsi="Times New Roman"/>
          <w:sz w:val="22"/>
        </w:rPr>
        <w:t xml:space="preserve"> involves stepping out of one's perspective to engage with the original author or historical situation. </w:t>
      </w:r>
      <w:r w:rsidRPr="00C474BE">
        <w:rPr>
          <w:rFonts w:ascii="Times New Roman" w:hAnsi="Times New Roman"/>
          <w:b/>
          <w:bCs/>
          <w:sz w:val="22"/>
        </w:rPr>
        <w:t>Self-Understanding, the New Testament, and Marburg Theology.</w:t>
      </w:r>
      <w:r>
        <w:rPr>
          <w:rFonts w:ascii="Times New Roman" w:hAnsi="Times New Roman"/>
          <w:b/>
          <w:bCs/>
          <w:sz w:val="22"/>
        </w:rPr>
        <w:t xml:space="preserve"> </w:t>
      </w:r>
      <w:r>
        <w:rPr>
          <w:rFonts w:ascii="Times New Roman" w:hAnsi="Times New Roman"/>
          <w:sz w:val="22"/>
        </w:rPr>
        <w:t xml:space="preserve">Gadamer argues that "demythologizing" neither theologian's interpretations nor biblical texts guarantees an accurate understanding. The true </w:t>
      </w:r>
      <w:r w:rsidRPr="00C474BE">
        <w:rPr>
          <w:rFonts w:ascii="Times New Roman" w:hAnsi="Times New Roman"/>
          <w:i/>
          <w:iCs/>
          <w:sz w:val="22"/>
        </w:rPr>
        <w:t>event</w:t>
      </w:r>
      <w:r>
        <w:rPr>
          <w:rFonts w:ascii="Times New Roman" w:hAnsi="Times New Roman"/>
          <w:sz w:val="22"/>
        </w:rPr>
        <w:t xml:space="preserve"> of understanding transcends methodical efforts and self-awareness. Through genuine dialogue, new insights emerge beyond what individuals consciously recognize and control.</w:t>
      </w:r>
    </w:p>
    <w:p w14:paraId="1E826682" w14:textId="77777777" w:rsidR="009A7AC9" w:rsidRDefault="009A7AC9" w:rsidP="00C474BE">
      <w:pPr>
        <w:jc w:val="both"/>
      </w:pPr>
    </w:p>
    <w:p w14:paraId="0BA359EE" w14:textId="77777777" w:rsidR="009A7AC9" w:rsidRPr="009A7AC9" w:rsidRDefault="009A7AC9" w:rsidP="009A7AC9">
      <w:pPr>
        <w:jc w:val="both"/>
        <w:rPr>
          <w:b/>
          <w:bCs/>
        </w:rPr>
      </w:pPr>
      <w:r w:rsidRPr="009A7AC9">
        <w:rPr>
          <w:rFonts w:ascii="Times New Roman" w:hAnsi="Times New Roman"/>
          <w:b/>
          <w:bCs/>
          <w:sz w:val="22"/>
        </w:rPr>
        <w:t>Paul Ricoeur.</w:t>
      </w:r>
    </w:p>
    <w:p w14:paraId="14BDA4A1" w14:textId="77777777" w:rsidR="009A7AC9" w:rsidRDefault="009A7AC9" w:rsidP="009A7AC9">
      <w:pPr>
        <w:jc w:val="both"/>
      </w:pPr>
      <w:r w:rsidRPr="009A7AC9">
        <w:rPr>
          <w:rFonts w:ascii="Times New Roman" w:hAnsi="Times New Roman"/>
          <w:b/>
          <w:bCs/>
          <w:sz w:val="22"/>
        </w:rPr>
        <w:t>Phenomenology and the Symbols of Evil.</w:t>
      </w:r>
      <w:r>
        <w:rPr>
          <w:rFonts w:ascii="Times New Roman" w:hAnsi="Times New Roman"/>
          <w:b/>
          <w:bCs/>
          <w:sz w:val="22"/>
        </w:rPr>
        <w:t xml:space="preserve"> </w:t>
      </w:r>
      <w:r>
        <w:rPr>
          <w:rFonts w:ascii="Times New Roman" w:hAnsi="Times New Roman"/>
          <w:sz w:val="22"/>
        </w:rPr>
        <w:t xml:space="preserve">Ricoeur explores two main approaches: the hermeneutics of </w:t>
      </w:r>
      <w:r w:rsidRPr="009A7AC9">
        <w:rPr>
          <w:rFonts w:ascii="Times New Roman" w:hAnsi="Times New Roman"/>
          <w:i/>
          <w:iCs/>
          <w:sz w:val="22"/>
        </w:rPr>
        <w:t>suspicion</w:t>
      </w:r>
      <w:r>
        <w:rPr>
          <w:rFonts w:ascii="Times New Roman" w:hAnsi="Times New Roman"/>
          <w:sz w:val="22"/>
        </w:rPr>
        <w:t xml:space="preserve"> and the hermeneutics of </w:t>
      </w:r>
      <w:r w:rsidRPr="009A7AC9">
        <w:rPr>
          <w:rFonts w:ascii="Times New Roman" w:hAnsi="Times New Roman"/>
          <w:i/>
          <w:iCs/>
          <w:sz w:val="22"/>
        </w:rPr>
        <w:t>retrieval</w:t>
      </w:r>
      <w:r>
        <w:rPr>
          <w:rFonts w:ascii="Times New Roman" w:hAnsi="Times New Roman"/>
          <w:sz w:val="22"/>
        </w:rPr>
        <w:t xml:space="preserve">. The hermeneutics of suspicion is a regressive path moving from an overt meaning to uncover hidden meanings rooted in unconscious desires, while the hermeneutics of retrieval focuses on reappropriating meaning. This dual motivation involves a willingness to suspect versus a willingness to listen, balancing a vow of rigor with a vow of obedience, and navigating between idols and symbols. In this framework, ideology provides a symbolic justification of the past, whereas utopia represents a symbolic opening toward the future. </w:t>
      </w:r>
      <w:r w:rsidRPr="009A7AC9">
        <w:rPr>
          <w:rFonts w:ascii="Times New Roman" w:hAnsi="Times New Roman"/>
          <w:b/>
          <w:bCs/>
          <w:sz w:val="22"/>
        </w:rPr>
        <w:t>The Hermeneutical Turn: From Symbol to Metaphor.</w:t>
      </w:r>
      <w:r>
        <w:rPr>
          <w:rFonts w:ascii="Times New Roman" w:hAnsi="Times New Roman"/>
          <w:b/>
          <w:bCs/>
          <w:sz w:val="22"/>
        </w:rPr>
        <w:t xml:space="preserve"> </w:t>
      </w:r>
      <w:r>
        <w:rPr>
          <w:rFonts w:ascii="Times New Roman" w:hAnsi="Times New Roman"/>
          <w:sz w:val="22"/>
        </w:rPr>
        <w:t xml:space="preserve">In "The Rule of the Metaphor," Ricoeur examines how metaphors play a crucial role in language by creating new meanings within human discourse, requiring philosophical language for comprehension. Metaphors </w:t>
      </w:r>
      <w:r>
        <w:rPr>
          <w:rFonts w:ascii="Times New Roman" w:hAnsi="Times New Roman"/>
          <w:sz w:val="22"/>
        </w:rPr>
        <w:lastRenderedPageBreak/>
        <w:t xml:space="preserve">possess emotive value and also </w:t>
      </w:r>
      <w:r w:rsidRPr="009A7AC9">
        <w:rPr>
          <w:rFonts w:ascii="Times New Roman" w:hAnsi="Times New Roman"/>
          <w:b/>
          <w:bCs/>
          <w:sz w:val="22"/>
        </w:rPr>
        <w:t>create meaning</w:t>
      </w:r>
      <w:r>
        <w:rPr>
          <w:rFonts w:ascii="Times New Roman" w:hAnsi="Times New Roman"/>
          <w:sz w:val="22"/>
        </w:rPr>
        <w:t xml:space="preserve">, highlighting their </w:t>
      </w:r>
      <w:r w:rsidRPr="009A7AC9">
        <w:rPr>
          <w:rFonts w:ascii="Times New Roman" w:hAnsi="Times New Roman"/>
          <w:sz w:val="22"/>
        </w:rPr>
        <w:t>creative</w:t>
      </w:r>
      <w:r>
        <w:rPr>
          <w:rFonts w:ascii="Times New Roman" w:hAnsi="Times New Roman"/>
          <w:sz w:val="22"/>
        </w:rPr>
        <w:t xml:space="preserve"> role. For instance, Jesus's parables create a shock that generates new meaning, offering a radical vision that subverts conventional views. </w:t>
      </w:r>
      <w:r w:rsidRPr="009A7AC9">
        <w:rPr>
          <w:rFonts w:ascii="Times New Roman" w:hAnsi="Times New Roman"/>
          <w:b/>
          <w:bCs/>
          <w:sz w:val="22"/>
        </w:rPr>
        <w:t>Hermeneutics of Objectification: Key Concepts.</w:t>
      </w:r>
      <w:r>
        <w:rPr>
          <w:rFonts w:ascii="Times New Roman" w:hAnsi="Times New Roman"/>
          <w:sz w:val="22"/>
        </w:rPr>
        <w:t xml:space="preserve"> Ricoeur discusses how discourse, when </w:t>
      </w:r>
      <w:r w:rsidRPr="009A7AC9">
        <w:rPr>
          <w:rFonts w:ascii="Times New Roman" w:hAnsi="Times New Roman"/>
          <w:i/>
          <w:iCs/>
          <w:sz w:val="22"/>
        </w:rPr>
        <w:t>objectified</w:t>
      </w:r>
      <w:r>
        <w:rPr>
          <w:rFonts w:ascii="Times New Roman" w:hAnsi="Times New Roman"/>
          <w:sz w:val="22"/>
        </w:rPr>
        <w:t xml:space="preserve"> as a text, becomes analyzable independently of its original context. Writing separates the event from its meaning, facilitating the analysis of texts (which comprise all cultural productions). He introduces the concept of </w:t>
      </w:r>
      <w:r w:rsidRPr="009A7AC9">
        <w:rPr>
          <w:rFonts w:ascii="Times New Roman" w:hAnsi="Times New Roman"/>
          <w:i/>
          <w:iCs/>
          <w:sz w:val="22"/>
        </w:rPr>
        <w:t>distanciation</w:t>
      </w:r>
      <w:r>
        <w:rPr>
          <w:rFonts w:ascii="Times New Roman" w:hAnsi="Times New Roman"/>
          <w:sz w:val="22"/>
        </w:rPr>
        <w:t xml:space="preserve">, emphasizing the text's independence from the original lived experience and enabling structural analysis to derive its sense, contrasting with Gadamer's concept of distanciation, which focuses on temporal distance and </w:t>
      </w:r>
      <w:r w:rsidRPr="009A7AC9">
        <w:rPr>
          <w:rFonts w:ascii="Times New Roman" w:hAnsi="Times New Roman"/>
          <w:i/>
          <w:iCs/>
          <w:sz w:val="22"/>
        </w:rPr>
        <w:t>Wirkungsgeschichte</w:t>
      </w:r>
      <w:r>
        <w:rPr>
          <w:rFonts w:ascii="Times New Roman" w:hAnsi="Times New Roman"/>
          <w:sz w:val="22"/>
        </w:rPr>
        <w:t xml:space="preserve">. </w:t>
      </w:r>
      <w:r w:rsidRPr="009A7AC9">
        <w:rPr>
          <w:rFonts w:ascii="Times New Roman" w:hAnsi="Times New Roman"/>
          <w:b/>
          <w:bCs/>
          <w:sz w:val="22"/>
        </w:rPr>
        <w:t>Religious Language and Forms of Discourse.</w:t>
      </w:r>
      <w:r>
        <w:rPr>
          <w:rFonts w:ascii="Times New Roman" w:hAnsi="Times New Roman"/>
          <w:b/>
          <w:bCs/>
          <w:sz w:val="22"/>
        </w:rPr>
        <w:t xml:space="preserve"> </w:t>
      </w:r>
      <w:r>
        <w:rPr>
          <w:rFonts w:ascii="Times New Roman" w:hAnsi="Times New Roman"/>
          <w:sz w:val="22"/>
        </w:rPr>
        <w:t xml:space="preserve">Ricoeur views revelation as pluralistic, polysemic, and analogical due to its varied literary forms. He criticizes Bultmann for hastily transitioning from mythical language to existential interpretation, neglecting the diverse forms of language and the surplus of meaning present. Ricoeur's phenomenology of the sacred includes the numinous, hierophanic manifestations, myth and ritual interactions, and sacred elements of nature, which are replaced by the word, instruction, ritual repetition, and the ethical dimension in Hebraic proclamations. </w:t>
      </w:r>
      <w:r w:rsidRPr="009A7AC9">
        <w:rPr>
          <w:rFonts w:ascii="Times New Roman" w:hAnsi="Times New Roman"/>
          <w:b/>
          <w:bCs/>
          <w:sz w:val="22"/>
        </w:rPr>
        <w:t>Narrative and Hermeneutics.</w:t>
      </w:r>
      <w:r>
        <w:rPr>
          <w:rFonts w:ascii="Times New Roman" w:hAnsi="Times New Roman"/>
          <w:b/>
          <w:bCs/>
          <w:sz w:val="22"/>
        </w:rPr>
        <w:t xml:space="preserve"> </w:t>
      </w:r>
      <w:r>
        <w:rPr>
          <w:rFonts w:ascii="Times New Roman" w:hAnsi="Times New Roman"/>
          <w:sz w:val="22"/>
        </w:rPr>
        <w:t>For Ricoeur, narrative configures events, granting them identity through its plot, thereby constructing social and historical identities. "Narrative refiguration" challenges the view of language as merely propositional and descriptive, emphasizing the narrative's semantic dimension. Reception becomes crucial to the meaning of a text, and refiguration highlights narrative’s power to reveal, transform, and apply to life, bridging description (acts) and prescription (ethics).</w:t>
      </w:r>
    </w:p>
    <w:p w14:paraId="4A616B8F" w14:textId="77777777" w:rsidR="00C474BE" w:rsidRDefault="00C474BE" w:rsidP="00C474BE">
      <w:pPr>
        <w:jc w:val="both"/>
      </w:pPr>
    </w:p>
    <w:p w14:paraId="16683A33" w14:textId="77777777" w:rsidR="00C474BE" w:rsidRDefault="00207B93" w:rsidP="00207B93">
      <w:pPr>
        <w:jc w:val="both"/>
      </w:pPr>
      <w:r w:rsidRPr="00207B93">
        <w:rPr>
          <w:rFonts w:ascii="Times New Roman" w:hAnsi="Times New Roman"/>
          <w:b/>
          <w:bCs/>
          <w:sz w:val="22"/>
        </w:rPr>
        <w:t>Hans Fre</w:t>
      </w:r>
      <w:r>
        <w:rPr>
          <w:rFonts w:ascii="Times New Roman" w:hAnsi="Times New Roman"/>
          <w:b/>
          <w:bCs/>
          <w:sz w:val="22"/>
        </w:rPr>
        <w:t>i’s</w:t>
      </w:r>
      <w:r>
        <w:rPr>
          <w:rFonts w:ascii="Times New Roman" w:hAnsi="Times New Roman"/>
          <w:sz w:val="22"/>
        </w:rPr>
        <w:t xml:space="preserve"> work, particularly his doctoral dissertation on Karl Barth and revelation, offers a critical perspective on modern theological approaches, including historical criticism, transcendental conceptions of human nature in theology, and contemporary views of correlation. </w:t>
      </w:r>
      <w:r w:rsidRPr="00207B93">
        <w:rPr>
          <w:rFonts w:ascii="Times New Roman" w:hAnsi="Times New Roman"/>
          <w:b/>
          <w:bCs/>
          <w:sz w:val="22"/>
        </w:rPr>
        <w:t>The Critique of Modern Historical Criticism</w:t>
      </w:r>
      <w:r>
        <w:rPr>
          <w:rFonts w:ascii="Times New Roman" w:hAnsi="Times New Roman"/>
          <w:b/>
          <w:bCs/>
          <w:sz w:val="22"/>
        </w:rPr>
        <w:t xml:space="preserve">. </w:t>
      </w:r>
      <w:r>
        <w:rPr>
          <w:rFonts w:ascii="Times New Roman" w:hAnsi="Times New Roman"/>
          <w:sz w:val="22"/>
        </w:rPr>
        <w:t xml:space="preserve">Frei contends that the meaning of biblical texts arises not from external historical events but from the internal </w:t>
      </w:r>
      <w:r w:rsidRPr="00207B93">
        <w:rPr>
          <w:rFonts w:ascii="Times New Roman" w:hAnsi="Times New Roman"/>
          <w:i/>
          <w:iCs/>
          <w:sz w:val="22"/>
        </w:rPr>
        <w:t>narrative</w:t>
      </w:r>
      <w:r>
        <w:rPr>
          <w:rFonts w:ascii="Times New Roman" w:hAnsi="Times New Roman"/>
          <w:sz w:val="22"/>
        </w:rPr>
        <w:t xml:space="preserve"> world of the scripture itself. He critiques the use of historical criticism, which wasemployed by Enlightenment rationalism and Christian apologetics. Unlike the historical-critical methodology, Protestant Reformers used the literal sense of Scripture to perceive Christ in all of Scripture by unifying biblical narratives to form a comprehensive narrative. Frei advocates for a return to pre-modern and Protestant interpretative methods, arguing that Scripture reading does not necessitate expert analysis to understand its meaning. </w:t>
      </w:r>
      <w:r w:rsidRPr="00207B93">
        <w:rPr>
          <w:rFonts w:ascii="Times New Roman" w:hAnsi="Times New Roman"/>
          <w:b/>
          <w:bCs/>
          <w:sz w:val="22"/>
        </w:rPr>
        <w:t>Narrative and Identity</w:t>
      </w:r>
      <w:r>
        <w:rPr>
          <w:rFonts w:ascii="Times New Roman" w:hAnsi="Times New Roman"/>
          <w:b/>
          <w:bCs/>
          <w:sz w:val="22"/>
        </w:rPr>
        <w:t xml:space="preserve">. </w:t>
      </w:r>
      <w:r>
        <w:rPr>
          <w:rFonts w:ascii="Times New Roman" w:hAnsi="Times New Roman"/>
          <w:sz w:val="22"/>
        </w:rPr>
        <w:t xml:space="preserve">Central to Frei's thesis is that narrative is crucial to the Christian interpretation of Scripture. He argues that the religious, ethical, and sacramental life of the church is fundamentally derived from the narrative of Jesus—his life, teachings, death, and resurrection. Frei criticizes both historical-critical analysis and fundamentalist biblical literalism for misunderstanding the identity between written text and actual referents. His emphasis on reading scripture within the church context leads him to focus on the literal, plain meaning of texts. When engaging with the Gospels, the pertinent inquiry shifts from their accuracy to the identity and character of Jesus as indicated by the narratives. The Gospels, similar to novels, derive their meaning from what they describe rather than any external referent, offering an intratextual account that </w:t>
      </w:r>
      <w:r w:rsidRPr="00207B93">
        <w:rPr>
          <w:rFonts w:ascii="Times New Roman" w:hAnsi="Times New Roman"/>
          <w:i/>
          <w:iCs/>
          <w:sz w:val="22"/>
        </w:rPr>
        <w:t>refigures</w:t>
      </w:r>
      <w:r>
        <w:rPr>
          <w:rFonts w:ascii="Times New Roman" w:hAnsi="Times New Roman"/>
          <w:sz w:val="22"/>
        </w:rPr>
        <w:t xml:space="preserve"> Jesus's identity within the scriptural narrative. Frei identifies two types of identity description: intention-action, as seen in Jesus's obedience to God's mission, and self-manifestation, evident in Jesus's resurrection. </w:t>
      </w:r>
      <w:r w:rsidRPr="00207B93">
        <w:rPr>
          <w:rFonts w:ascii="Times New Roman" w:hAnsi="Times New Roman"/>
          <w:b/>
          <w:bCs/>
          <w:sz w:val="22"/>
        </w:rPr>
        <w:t>Against Correlation Theology</w:t>
      </w:r>
      <w:r>
        <w:rPr>
          <w:rFonts w:ascii="Times New Roman" w:hAnsi="Times New Roman"/>
          <w:b/>
          <w:bCs/>
          <w:sz w:val="22"/>
        </w:rPr>
        <w:t xml:space="preserve">. </w:t>
      </w:r>
      <w:r>
        <w:rPr>
          <w:rFonts w:ascii="Times New Roman" w:hAnsi="Times New Roman"/>
          <w:sz w:val="22"/>
        </w:rPr>
        <w:t xml:space="preserve">Frei's critique extends to the theological use of the method of correlation and the grounding of Christian faith in general anthropology. Unlike figures such as Pannenberg, Gadamer, and Ricoeur, Frei does not attempt to transcend or critique Neo-Orthodox theology but rather aims to reformulate Karl Barth's theology. He resists allowing external descriptions of Christianity to become the benchmark for internal self-description or theological understanding, similar to Barth and Schleiermacher's approach of prioritizing Christian self-description while accommodating a role for theology. </w:t>
      </w:r>
      <w:r w:rsidRPr="00207B93">
        <w:rPr>
          <w:rFonts w:ascii="Times New Roman" w:hAnsi="Times New Roman"/>
          <w:b/>
          <w:bCs/>
          <w:sz w:val="22"/>
        </w:rPr>
        <w:t>Redescription and Thick Description</w:t>
      </w:r>
      <w:r>
        <w:rPr>
          <w:rFonts w:ascii="Times New Roman" w:hAnsi="Times New Roman"/>
          <w:b/>
          <w:bCs/>
          <w:sz w:val="22"/>
        </w:rPr>
        <w:t xml:space="preserve">. </w:t>
      </w:r>
      <w:r>
        <w:rPr>
          <w:rFonts w:ascii="Times New Roman" w:hAnsi="Times New Roman"/>
          <w:sz w:val="22"/>
        </w:rPr>
        <w:t xml:space="preserve">Frei envisions theology as encompassing both first- and second-level statements. First-level statements pertain to communal beliefs found in creeds and confessions, which do not encapsulate the essence of Christianity. Second-level statements involve the community's assessment of its language and actions under norms internal to the community. This includes two aspects: descriptive, which articulates the internal logic or grammar of first-level Christian statements, and critical, which appraises the success of Christian language in adhering to these norms. For example, the Christological creedal formula of </w:t>
      </w:r>
      <w:r>
        <w:rPr>
          <w:rFonts w:ascii="Times New Roman" w:hAnsi="Times New Roman"/>
          <w:sz w:val="22"/>
        </w:rPr>
        <w:lastRenderedPageBreak/>
        <w:t>Chalcedon affirms Jesus as two persons in one nature. Descriptively, it explains the internal logic, while critically, the formula is a response to unacceptable theological views. The formula represents a conceptual redescription of gospel narratives that identify Jesus Christ. "Thick Description" aims to depict a society's beliefs and practices to illuminate the logic of its identity.</w:t>
      </w:r>
    </w:p>
    <w:p w14:paraId="378D638F" w14:textId="77777777" w:rsidR="00207B93" w:rsidRDefault="00207B93" w:rsidP="00207B93">
      <w:pPr>
        <w:jc w:val="both"/>
      </w:pPr>
    </w:p>
    <w:p w14:paraId="38FA6E44" w14:textId="77777777" w:rsidR="001F00CD" w:rsidRDefault="001F00CD">
      <w:pPr>
        <w:rPr>
          <w:b/>
          <w:bCs/>
        </w:rPr>
      </w:pPr>
      <w:r>
        <w:rPr>
          <w:rFonts w:ascii="Times New Roman" w:hAnsi="Times New Roman"/>
          <w:b/>
          <w:bCs/>
          <w:sz w:val="22"/>
        </w:rPr>
        <w:br w:type="page"/>
      </w:r>
    </w:p>
    <w:p w14:paraId="46314528" w14:textId="7E5C60CC" w:rsidR="00207B93" w:rsidRPr="00207B93" w:rsidRDefault="00207B93" w:rsidP="00207B93">
      <w:pPr>
        <w:jc w:val="both"/>
        <w:rPr>
          <w:b/>
          <w:bCs/>
        </w:rPr>
      </w:pPr>
      <w:r w:rsidRPr="00207B93">
        <w:rPr>
          <w:rFonts w:ascii="Times New Roman" w:hAnsi="Times New Roman"/>
          <w:b/>
          <w:bCs/>
          <w:sz w:val="22"/>
        </w:rPr>
        <w:lastRenderedPageBreak/>
        <w:t>Chapter Twelve. Evangelical Theology.</w:t>
      </w:r>
    </w:p>
    <w:p w14:paraId="6B36F20F" w14:textId="77777777" w:rsidR="00207B93" w:rsidRDefault="00207B93" w:rsidP="00207B93">
      <w:pPr>
        <w:jc w:val="both"/>
      </w:pPr>
      <w:r>
        <w:rPr>
          <w:rFonts w:ascii="Times New Roman" w:hAnsi="Times New Roman"/>
          <w:sz w:val="22"/>
        </w:rPr>
        <w:t xml:space="preserve">This chapter examines "evangelical" as it pertains to contemporary Anglo-American Protestantism, encompassing a spectrum of Christian churches, organizations, and groups that share specific theological commitments. It presents evangelicalism as a cohesive entity amidst its diversity, characterized as a dynamic, transdenominational coalition unified in goals and activities. Core convictions include: 1) the full authority, infallibility, and sufficiency of Scripture in religious matters, a wariness towards relying solely on church tradition, reason, or personal experience; 2) the uniqueness of salvation through Christ's substitutionary atonement; 3) the unmerited direct gift of God's grace received through faith and personal conversion; 4) the necessity of spiritual transformation; and 5) the urgent need for worldwide evangelism. </w:t>
      </w:r>
      <w:r w:rsidRPr="00207B93">
        <w:rPr>
          <w:rFonts w:ascii="Times New Roman" w:hAnsi="Times New Roman"/>
          <w:b/>
          <w:bCs/>
          <w:sz w:val="22"/>
        </w:rPr>
        <w:t>The Fundamentalist Defense of the Faith</w:t>
      </w:r>
      <w:r>
        <w:rPr>
          <w:rFonts w:ascii="Times New Roman" w:hAnsi="Times New Roman"/>
          <w:b/>
          <w:bCs/>
          <w:sz w:val="22"/>
        </w:rPr>
        <w:t xml:space="preserve">. </w:t>
      </w:r>
      <w:r>
        <w:rPr>
          <w:rFonts w:ascii="Times New Roman" w:hAnsi="Times New Roman"/>
          <w:sz w:val="22"/>
        </w:rPr>
        <w:t xml:space="preserve">Machen's "Christianity and Liberalism" is an influential reaction to liberalizing tendencies in Protestantism. The term “evangelical” must be distinguished from Fundamentalism, which became criticized for its anti-intellectualism, separatism, and focus on biblical apocalypticism. </w:t>
      </w:r>
      <w:r w:rsidRPr="00207B93">
        <w:rPr>
          <w:rFonts w:ascii="Times New Roman" w:hAnsi="Times New Roman"/>
          <w:b/>
          <w:bCs/>
          <w:sz w:val="22"/>
        </w:rPr>
        <w:t>The "New Evangelicalism</w:t>
      </w:r>
      <w:r>
        <w:rPr>
          <w:rFonts w:ascii="Times New Roman" w:hAnsi="Times New Roman"/>
          <w:b/>
          <w:bCs/>
          <w:sz w:val="22"/>
        </w:rPr>
        <w:t>.</w:t>
      </w:r>
      <w:r w:rsidRPr="00207B93">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New Evangelicalism marks a departure from older Fundamentalist views, with figures like Carl F. Henry critiquing the fundamentalist movement's negative and loveless spirit, as well as its schismatic tendencies. Billy Graham and institutions such as Fuller Theological Seminary, Calvin College and Seminary, Wheaton College, Gordon-Conwell Theological Seminary, Trinity Evangelical Divinity School, and Regent College played significant roles in the movement. Organizations like Youth for Christ, Young Life, Inter-Varsity Christian Fellowship, and Campus Crusade for Christ International further illustrate the evangelical infrastructure. </w:t>
      </w:r>
      <w:r>
        <w:rPr>
          <w:rFonts w:ascii="Times New Roman" w:hAnsi="Times New Roman"/>
          <w:b/>
          <w:bCs/>
          <w:sz w:val="22"/>
        </w:rPr>
        <w:t xml:space="preserve">Diversity. </w:t>
      </w:r>
      <w:r>
        <w:rPr>
          <w:rFonts w:ascii="Times New Roman" w:hAnsi="Times New Roman"/>
          <w:sz w:val="22"/>
        </w:rPr>
        <w:t>The chapter highlights various evangelical theological traditions, including Southern Baptists, Dutch Reformed Confessionalists, Mennonites, Wesleyan Holiness Movement, Pentecostals, and Dispensationalists. Evangelicalism is presented as a "third way" between Roman Catholic theology and Liberal and Neo-Orthodox theologies. Its broad diversity makes it challenging to identify representative theologians, yet figures like Carl F. Henry and G. C. Berkouwer are noted for their enduring influence and deep engagement in ecumenical discussions. Both are committed to a high doctrine of the Bible as the infallible standard of Christian faith and practice, and to the principal orthodox doctrines of classical Protestantism.</w:t>
      </w:r>
    </w:p>
    <w:p w14:paraId="35F1242F" w14:textId="77777777" w:rsidR="00B3071C" w:rsidRDefault="00B3071C" w:rsidP="00207B93">
      <w:pPr>
        <w:jc w:val="both"/>
      </w:pPr>
    </w:p>
    <w:p w14:paraId="7F05E6C7" w14:textId="77777777" w:rsidR="00B3071C" w:rsidRPr="00B3071C" w:rsidRDefault="00B3071C" w:rsidP="00B3071C">
      <w:pPr>
        <w:jc w:val="both"/>
        <w:rPr>
          <w:b/>
          <w:bCs/>
        </w:rPr>
      </w:pPr>
      <w:r w:rsidRPr="00B3071C">
        <w:rPr>
          <w:rFonts w:ascii="Times New Roman" w:hAnsi="Times New Roman"/>
          <w:b/>
          <w:bCs/>
          <w:sz w:val="22"/>
        </w:rPr>
        <w:t>Gerrit Cornelius Berkouwer</w:t>
      </w:r>
      <w:r>
        <w:rPr>
          <w:rFonts w:ascii="Times New Roman" w:hAnsi="Times New Roman"/>
          <w:b/>
          <w:bCs/>
          <w:sz w:val="22"/>
        </w:rPr>
        <w:t>.</w:t>
      </w:r>
    </w:p>
    <w:p w14:paraId="207359FB" w14:textId="77777777" w:rsidR="00B3071C" w:rsidRPr="00B3071C" w:rsidRDefault="00B3071C" w:rsidP="00B3071C">
      <w:pPr>
        <w:jc w:val="both"/>
        <w:rPr>
          <w:b/>
          <w:bCs/>
        </w:rPr>
      </w:pPr>
      <w:r w:rsidRPr="00B3071C">
        <w:rPr>
          <w:rFonts w:ascii="Times New Roman" w:hAnsi="Times New Roman"/>
          <w:b/>
          <w:bCs/>
          <w:sz w:val="22"/>
        </w:rPr>
        <w:t>Neo-Calvinistic Foundations and Theological Method</w:t>
      </w:r>
      <w:r>
        <w:rPr>
          <w:rFonts w:ascii="Times New Roman" w:hAnsi="Times New Roman"/>
          <w:b/>
          <w:bCs/>
          <w:sz w:val="22"/>
        </w:rPr>
        <w:t>.</w:t>
      </w:r>
    </w:p>
    <w:p w14:paraId="151BBE94" w14:textId="77777777" w:rsidR="00DF62FA" w:rsidRDefault="00B3071C" w:rsidP="00637F2E">
      <w:pPr>
        <w:jc w:val="both"/>
      </w:pPr>
      <w:r>
        <w:rPr>
          <w:rFonts w:ascii="Times New Roman" w:hAnsi="Times New Roman"/>
          <w:sz w:val="22"/>
        </w:rPr>
        <w:t xml:space="preserve">Gerrit Cornelius Berkouwer was a prominent figure in the neo-Calvinistic tradition, influenced by the theological heritage of Abraham Kuyper and Herman Bavinck at the Free University. His theological method was rooted in the traditions of Augustine and the Reformers, emphasizing that faith precedes reason and enhances understanding. Berkouwer stood against the 17th and 18th-century Calvinistic Scholasticism, exemplified by figures like Francis Turretin, for its tendency to prioritize reason over faith. He also diverged from Princeton Theology, which he felt gave undue priority to theological apologetics and rational presuppositions before faith could have its effect. Although Berkouwer followed Kuyper and Bavinck, he rejected the analogy between natural knowledge and religious faith. His work involved an ongoing dialogue with theologians outside his Dutch Neo-Calvinist tradition, including Karl Barth, to whom he was somewhat sympathetic yet critical. He also engaged with Roman Catholicism in his theological explorations. </w:t>
      </w:r>
      <w:r w:rsidRPr="00B3071C">
        <w:rPr>
          <w:rFonts w:ascii="Times New Roman" w:hAnsi="Times New Roman"/>
          <w:b/>
          <w:bCs/>
          <w:sz w:val="22"/>
        </w:rPr>
        <w:t>The Co-relationship Between Revelation and Faith</w:t>
      </w:r>
      <w:r>
        <w:rPr>
          <w:rFonts w:ascii="Times New Roman" w:hAnsi="Times New Roman"/>
          <w:b/>
          <w:bCs/>
          <w:sz w:val="22"/>
        </w:rPr>
        <w:t xml:space="preserve">. </w:t>
      </w:r>
      <w:r>
        <w:rPr>
          <w:rFonts w:ascii="Times New Roman" w:hAnsi="Times New Roman"/>
          <w:sz w:val="22"/>
        </w:rPr>
        <w:t xml:space="preserve">Central to Berkouwer’s theology was the co-relationship between revelation and faith. He critiqued liberal theology for overemphasizing the subjective and existential aspects of this relationship and opposed Protestant Orthodoxy, as represented by Barth, for its exclusive focus on a purely objective and unhistorical conception of divine revelation. Berkouwer asserted that the Bible is not merely a source of doctrinal information or objective facts; rather, it is the dynamic address and revelation of the living God, which necessitates the co-relation of a receiving faith. According to him, faith, coming from God, finds reality only in correlation with the divine Word or revelation. Understanding faith as both passive, as the work of the Holy Spirit, and active, a dynamic human apprehension of divine truth, Berkouwer contended that without this co-relationship, revelation and Scripture would risk being viewed as purely </w:t>
      </w:r>
      <w:r w:rsidRPr="00B3071C">
        <w:rPr>
          <w:rFonts w:ascii="Times New Roman" w:hAnsi="Times New Roman"/>
          <w:i/>
          <w:iCs/>
          <w:sz w:val="22"/>
        </w:rPr>
        <w:t>a priori</w:t>
      </w:r>
      <w:r>
        <w:rPr>
          <w:rFonts w:ascii="Times New Roman" w:hAnsi="Times New Roman"/>
          <w:sz w:val="22"/>
        </w:rPr>
        <w:t xml:space="preserve"> external authority or purely experiential authority. </w:t>
      </w:r>
      <w:r w:rsidRPr="00B3071C">
        <w:rPr>
          <w:rFonts w:ascii="Times New Roman" w:hAnsi="Times New Roman"/>
          <w:b/>
          <w:bCs/>
          <w:sz w:val="22"/>
        </w:rPr>
        <w:t>Relativity and Relevance in Theology</w:t>
      </w:r>
      <w:r>
        <w:rPr>
          <w:rFonts w:ascii="Times New Roman" w:hAnsi="Times New Roman"/>
          <w:b/>
          <w:bCs/>
          <w:sz w:val="22"/>
        </w:rPr>
        <w:t xml:space="preserve">. </w:t>
      </w:r>
      <w:r>
        <w:rPr>
          <w:rFonts w:ascii="Times New Roman" w:hAnsi="Times New Roman"/>
          <w:sz w:val="22"/>
        </w:rPr>
        <w:t xml:space="preserve">Berkouwer proposed that theology is always a relative science, not in the sense of relativism, but in being relative to the dynamic, ever-renewing, and deepening Word of God. </w:t>
      </w:r>
      <w:r>
        <w:rPr>
          <w:rFonts w:ascii="Times New Roman" w:hAnsi="Times New Roman"/>
          <w:sz w:val="22"/>
        </w:rPr>
        <w:lastRenderedPageBreak/>
        <w:t>He believed that theology must maintain relevance for contemporary issues, achieving this relevance through obedient attentiveness to the Word rather than cultural trends. He viewed theologians as faithfully receptive to Scripture, rather than neutral masters of it. Regarding Reformed catechisms and confessions, Berkouwer emphasized that dogma should reside within the Church, which is subject in all its expressions to the Word of God. He believed that the Church must never absolutize its creeds and confessions but must instead be ready to reformulate Christian truth in response to new situations that threaten the Gospel. Through such conflicts and challenges, Berkouwer argued, the Church, under the guidance of the Holy Spirit, can gain new insights into the riches of Scripture.</w:t>
      </w:r>
      <w:r w:rsidR="00DF62FA">
        <w:rPr>
          <w:rFonts w:ascii="Times New Roman" w:hAnsi="Times New Roman"/>
          <w:sz w:val="22"/>
        </w:rPr>
        <w:t xml:space="preserve"> </w:t>
      </w:r>
    </w:p>
    <w:p w14:paraId="010FFE5C" w14:textId="646AE7C4" w:rsidR="00637F2E" w:rsidRDefault="00B3071C" w:rsidP="00637F2E">
      <w:pPr>
        <w:jc w:val="both"/>
      </w:pPr>
      <w:r w:rsidRPr="00637F2E">
        <w:rPr>
          <w:rFonts w:ascii="Times New Roman" w:hAnsi="Times New Roman"/>
          <w:b/>
          <w:bCs/>
          <w:sz w:val="22"/>
        </w:rPr>
        <w:t>Holy Scripture</w:t>
      </w:r>
      <w:r w:rsidR="00637F2E" w:rsidRPr="00637F2E">
        <w:rPr>
          <w:rFonts w:ascii="Times New Roman" w:hAnsi="Times New Roman"/>
          <w:b/>
          <w:bCs/>
          <w:sz w:val="22"/>
        </w:rPr>
        <w:t>.</w:t>
      </w:r>
      <w:r w:rsidR="00637F2E">
        <w:rPr>
          <w:rFonts w:ascii="Times New Roman" w:hAnsi="Times New Roman"/>
          <w:sz w:val="22"/>
        </w:rPr>
        <w:t xml:space="preserve"> </w:t>
      </w:r>
      <w:r w:rsidR="00637F2E">
        <w:rPr>
          <w:rFonts w:ascii="Times New Roman" w:hAnsi="Times New Roman"/>
          <w:b/>
          <w:bCs/>
          <w:sz w:val="22"/>
        </w:rPr>
        <w:t xml:space="preserve">Revelation and Scripture. </w:t>
      </w:r>
      <w:r w:rsidR="00637F2E">
        <w:rPr>
          <w:rFonts w:ascii="Times New Roman" w:hAnsi="Times New Roman"/>
          <w:sz w:val="22"/>
        </w:rPr>
        <w:t>Berkouwer’s doctrine of Scripture centers on the “co-relationship” of revelation and faith, drawing from Augustine's concept of “faith in search of understanding” (</w:t>
      </w:r>
      <w:r w:rsidR="00637F2E" w:rsidRPr="00637F2E">
        <w:rPr>
          <w:rFonts w:ascii="Times New Roman" w:hAnsi="Times New Roman"/>
          <w:i/>
          <w:iCs/>
          <w:sz w:val="22"/>
        </w:rPr>
        <w:t>fides quaerens intellectum</w:t>
      </w:r>
      <w:r w:rsidR="00637F2E">
        <w:rPr>
          <w:rFonts w:ascii="Times New Roman" w:hAnsi="Times New Roman"/>
          <w:sz w:val="22"/>
        </w:rPr>
        <w:t xml:space="preserve">). Berkouwer contends that discussing Scripture cannot be divorced from a personal belief in it. Aligning with Kuyper and Bavinck, he rejects the notion that Scripture stands as the object of the testimony of the Holy Spirit apart from its message. Formalizing Holy Scripture to provide a prior certainty of its authority contradicts the nature of faith and is as illogical as raising a book without reading it. Consequently, Berkouwer advises against dismissing historical-critical studies due to preconceived ideas of biblical inerrancy—a viewpoint criticized as artificial since it ignores Scripture's composition in human language, thus offering the reader legitimate freedom to explore and understand the text. </w:t>
      </w:r>
      <w:r w:rsidR="00637F2E">
        <w:rPr>
          <w:rFonts w:ascii="Times New Roman" w:hAnsi="Times New Roman"/>
          <w:b/>
          <w:bCs/>
          <w:sz w:val="22"/>
        </w:rPr>
        <w:t xml:space="preserve">Inspiration and Inerrancy. </w:t>
      </w:r>
      <w:r w:rsidR="00637F2E">
        <w:rPr>
          <w:rFonts w:ascii="Times New Roman" w:hAnsi="Times New Roman"/>
          <w:sz w:val="22"/>
        </w:rPr>
        <w:t xml:space="preserve">Berkouwer supports Bavinck’s idea of organic inspiration and views the Reformers' concept of the perspicuity or clarity of Scripture as a clear Gospel message rather than an assertion of inerrant human language in the Bible. This perspective sharply contrasts with the views of Warfield and Princeton theologians who hold abstract conceptions of biblical inerrancy. Such conceptions fail to acknowledge effectively that God adapts divine revelation to human speech and modes of thought, reflecting Berkouwer’s belief that the Bible does not consist of timeless generalities but requires awareness of cultural context and intent to understand the Word of God. He argues that obedience to God’s Word is unattainable unless it involves actively discovering the meaning and essential goal of the words, a process vital due to Scripture’s historically human nature—a stance opposing both rationalistic Fundamentalism and Bultmann's approach of demythologizing the New Testament’s worldview. </w:t>
      </w:r>
      <w:r w:rsidR="00637F2E">
        <w:rPr>
          <w:rFonts w:ascii="Times New Roman" w:hAnsi="Times New Roman"/>
          <w:b/>
          <w:bCs/>
          <w:sz w:val="22"/>
        </w:rPr>
        <w:t xml:space="preserve">Time-Relatedness. </w:t>
      </w:r>
      <w:r w:rsidR="00637F2E">
        <w:rPr>
          <w:rFonts w:ascii="Times New Roman" w:hAnsi="Times New Roman"/>
          <w:sz w:val="22"/>
        </w:rPr>
        <w:t>Moreover, Berkouwer emphasizes that the time-relatedness of Scripture should not be perceived as a threat to the Church’s confession regarding Scripture. Instead, biblical research should aim at “searching for the goal and the Word within the many words,” aligning with Barth’s views. Berkouwer concludes that Scripture is not a metaphysical document but a dynamic tool serving God in proclaiming the message of salvation.</w:t>
      </w:r>
    </w:p>
    <w:p w14:paraId="5D9DB1AA" w14:textId="77777777" w:rsidR="00637F2E" w:rsidRDefault="00637F2E" w:rsidP="00637F2E">
      <w:pPr>
        <w:jc w:val="both"/>
      </w:pPr>
      <w:r w:rsidRPr="00637F2E">
        <w:rPr>
          <w:rFonts w:ascii="Times New Roman" w:hAnsi="Times New Roman"/>
          <w:b/>
          <w:bCs/>
          <w:sz w:val="22"/>
        </w:rPr>
        <w:t>Providence and Human Freedom</w:t>
      </w:r>
      <w:r>
        <w:rPr>
          <w:rFonts w:ascii="Times New Roman" w:hAnsi="Times New Roman"/>
          <w:b/>
          <w:bCs/>
          <w:sz w:val="22"/>
        </w:rPr>
        <w:t xml:space="preserve">. </w:t>
      </w:r>
      <w:r>
        <w:rPr>
          <w:rFonts w:ascii="Times New Roman" w:hAnsi="Times New Roman"/>
          <w:sz w:val="22"/>
        </w:rPr>
        <w:t xml:space="preserve">Berkouwer challenges Bavinck's view of providence as a "mixed article" discernible through both natural reason and special revelation, contesting the alignment of human freedom and nature's necessity with the nature of God’s providence. Berkouwer warns against naturalistic interpretations of fate and cautions against attributing specific historical occurrences to God’s providence, emphasizing the limitations of human understanding. Introducing the concept of "concurrence," he seeks to articulate how divine and human actions coincide, all the while opposing the notion that God is the cause of sin. Berkouwer insists that God's providence, especially in relation to evil, remains a mystery to be acknowledged in faith rather than approached as a philosophical dilemma. </w:t>
      </w:r>
      <w:r w:rsidRPr="00637F2E">
        <w:rPr>
          <w:rFonts w:ascii="Times New Roman" w:hAnsi="Times New Roman"/>
          <w:b/>
          <w:bCs/>
          <w:sz w:val="22"/>
        </w:rPr>
        <w:t>Election and Reprobation</w:t>
      </w:r>
      <w:r>
        <w:rPr>
          <w:rFonts w:ascii="Times New Roman" w:hAnsi="Times New Roman"/>
          <w:b/>
          <w:bCs/>
          <w:sz w:val="22"/>
        </w:rPr>
        <w:t xml:space="preserve">. </w:t>
      </w:r>
      <w:r>
        <w:rPr>
          <w:rFonts w:ascii="Times New Roman" w:hAnsi="Times New Roman"/>
          <w:sz w:val="22"/>
        </w:rPr>
        <w:t xml:space="preserve">In discussing election, Berkouwer breaks with traditional Calvinist orthodoxy and the Canons of Dordt by insisting that divine election cannot be understood apart from the grace of God in Christ. He aligns somewhat with Barth but critiques Barth's objectification of the doctrine of the electing Christ. For Berkouwer, election is comprehensible only through faith, and it should not be seen as a fixed state but as a call and summons within the realm of God’s grace revealed in Christ. Reprobation, on the other hand, should not be seen as a counterpart to election. He argues that reprobation emerges as God's holy response to human sin, drawing from Calvin to support his perspective against the Calvinistic view of an eternal decree. Berkouwer's approach emphasizes the existential context of election and reprobation, framed within kerygma, the dynamic preaching of good news. </w:t>
      </w:r>
      <w:r w:rsidRPr="00637F2E">
        <w:rPr>
          <w:rFonts w:ascii="Times New Roman" w:hAnsi="Times New Roman"/>
          <w:b/>
          <w:bCs/>
          <w:sz w:val="22"/>
        </w:rPr>
        <w:t>Berkouwer’s Critique of Rationalistic Fundamentalism</w:t>
      </w:r>
      <w:r>
        <w:rPr>
          <w:rFonts w:ascii="Times New Roman" w:hAnsi="Times New Roman"/>
          <w:b/>
          <w:bCs/>
          <w:sz w:val="22"/>
        </w:rPr>
        <w:t xml:space="preserve">. </w:t>
      </w:r>
      <w:r>
        <w:rPr>
          <w:rFonts w:ascii="Times New Roman" w:hAnsi="Times New Roman"/>
          <w:sz w:val="22"/>
        </w:rPr>
        <w:t xml:space="preserve">Central to Berkouwer's theology is his opposition to rationalistic fundamentalism, with its a priori conceptions such as inerrancy and the doctrine of eternal reprobation, which stand outside the framework </w:t>
      </w:r>
      <w:r>
        <w:rPr>
          <w:rFonts w:ascii="Times New Roman" w:hAnsi="Times New Roman"/>
          <w:sz w:val="22"/>
        </w:rPr>
        <w:lastRenderedPageBreak/>
        <w:t>of faith. He underscores that wrath, as depicted in the Gospels, is not a limitation of the good news but a reflection of opposition to the Kingdom, perceivable only through faith. Wrath operates as an instrument of divine grace and love, reinforcing the message of God’s love and assurance rather than fostering a deterministic fatalism.</w:t>
      </w:r>
    </w:p>
    <w:p w14:paraId="699004A3" w14:textId="04938853" w:rsidR="00DF62FA" w:rsidRDefault="00DF62FA" w:rsidP="00DF62FA">
      <w:pPr>
        <w:jc w:val="both"/>
      </w:pPr>
      <w:r w:rsidRPr="00DF62FA">
        <w:rPr>
          <w:rFonts w:ascii="Times New Roman" w:hAnsi="Times New Roman"/>
          <w:b/>
          <w:bCs/>
          <w:sz w:val="22"/>
        </w:rPr>
        <w:t>Eschatology and Universalism</w:t>
      </w:r>
      <w:r>
        <w:rPr>
          <w:rFonts w:ascii="Times New Roman" w:hAnsi="Times New Roman"/>
          <w:b/>
          <w:bCs/>
          <w:sz w:val="22"/>
        </w:rPr>
        <w:t xml:space="preserve">. </w:t>
      </w:r>
      <w:r>
        <w:rPr>
          <w:rFonts w:ascii="Times New Roman" w:hAnsi="Times New Roman"/>
          <w:sz w:val="22"/>
        </w:rPr>
        <w:t xml:space="preserve">Berkouwer emphasizes that biblical eschatology is not merely about future events divorced from faith. While rejecting a definite assumption about </w:t>
      </w:r>
      <w:r w:rsidRPr="00DF62FA">
        <w:rPr>
          <w:rFonts w:ascii="Times New Roman" w:hAnsi="Times New Roman"/>
          <w:i/>
          <w:iCs/>
          <w:sz w:val="22"/>
        </w:rPr>
        <w:t>apokatastasis</w:t>
      </w:r>
      <w:r>
        <w:rPr>
          <w:rFonts w:ascii="Times New Roman" w:hAnsi="Times New Roman"/>
          <w:sz w:val="22"/>
        </w:rPr>
        <w:t xml:space="preserve">—universal reconciliation—he does not exclude its possibility, emphasizing the freedom of God’s grace. Agreeing with theologians like Balthasar, Rahner, and Barth, Berkouwer underscores that eschatological questions are intricately connected to the Church's </w:t>
      </w:r>
      <w:r w:rsidRPr="00DF62FA">
        <w:rPr>
          <w:rFonts w:ascii="Times New Roman" w:hAnsi="Times New Roman"/>
          <w:i/>
          <w:iCs/>
          <w:sz w:val="22"/>
        </w:rPr>
        <w:t>kerygma</w:t>
      </w:r>
      <w:r>
        <w:rPr>
          <w:rFonts w:ascii="Times New Roman" w:hAnsi="Times New Roman"/>
          <w:sz w:val="22"/>
        </w:rPr>
        <w:t xml:space="preserve"> and human faith. He critiques the idea of unbelief as </w:t>
      </w:r>
      <w:commentRangeStart w:id="0"/>
      <w:commentRangeStart w:id="1"/>
      <w:r>
        <w:rPr>
          <w:rFonts w:ascii="Times New Roman" w:hAnsi="Times New Roman"/>
          <w:sz w:val="22"/>
        </w:rPr>
        <w:t>powerless</w:t>
      </w:r>
      <w:commentRangeEnd w:id="0"/>
      <w:r>
        <w:rPr>
          <w:rStyle w:val="CommentReference"/>
          <w:rFonts w:ascii="Times New Roman" w:hAnsi="Times New Roman"/>
          <w:sz w:val="22"/>
        </w:rPr>
        <w:commentReference w:id="0"/>
      </w:r>
      <w:commentRangeEnd w:id="1"/>
      <w:r w:rsidR="0051517F">
        <w:rPr>
          <w:rStyle w:val="CommentReference"/>
          <w:rFonts w:ascii="Times New Roman" w:hAnsi="Times New Roman"/>
          <w:sz w:val="22"/>
        </w:rPr>
        <w:commentReference w:id="1"/>
      </w:r>
      <w:r>
        <w:rPr>
          <w:rFonts w:ascii="Times New Roman" w:hAnsi="Times New Roman"/>
          <w:sz w:val="22"/>
        </w:rPr>
        <w:t xml:space="preserve">, instead presenting a serious tension between salvation and reprobation, where the gospel serves both as an invitation and a warning against unbelief, continuously pointing to divine mercy and the hope of salvation. </w:t>
      </w:r>
      <w:r w:rsidRPr="00DF62FA">
        <w:rPr>
          <w:rFonts w:ascii="Times New Roman" w:hAnsi="Times New Roman"/>
          <w:b/>
          <w:bCs/>
          <w:sz w:val="22"/>
        </w:rPr>
        <w:t>The Proclamation of the Gospel and Hell</w:t>
      </w:r>
      <w:r>
        <w:rPr>
          <w:rFonts w:ascii="Times New Roman" w:hAnsi="Times New Roman"/>
          <w:b/>
          <w:bCs/>
          <w:sz w:val="22"/>
        </w:rPr>
        <w:t xml:space="preserve">. </w:t>
      </w:r>
      <w:r>
        <w:rPr>
          <w:rFonts w:ascii="Times New Roman" w:hAnsi="Times New Roman"/>
          <w:sz w:val="22"/>
        </w:rPr>
        <w:t xml:space="preserve">In Berkouwer's view, the threat of hell and the proclamation of the gospel are intertwined; hell is understood in the context of God’s loving invitation. He argues that the Gospel calls believers to faith in the triumph of Christ, seeing hell not as a demythologized concept but as part of a faithful exorcism. Berkouwer is cautious about treating hell in objectified terms, instead stressing a personal response to the Gospel's message of salvation. In interpreting Jesus’s seemingly evasive answer in Luke 13:23 (“Lord, will those who will be saved many?” – “Strive to enter by the narrow door.”), he argues that the Gospel’s call to strive for salvation answers questions about who will be saved in a profound, once-for-all manner. </w:t>
      </w:r>
      <w:r w:rsidRPr="00DF62FA">
        <w:rPr>
          <w:rFonts w:ascii="Times New Roman" w:hAnsi="Times New Roman"/>
          <w:b/>
          <w:bCs/>
          <w:sz w:val="22"/>
        </w:rPr>
        <w:t>Reception of Berkouwer's Perspective</w:t>
      </w:r>
      <w:r>
        <w:rPr>
          <w:rFonts w:ascii="Times New Roman" w:hAnsi="Times New Roman"/>
          <w:b/>
          <w:bCs/>
          <w:sz w:val="22"/>
        </w:rPr>
        <w:t xml:space="preserve">. </w:t>
      </w:r>
      <w:r>
        <w:rPr>
          <w:rFonts w:ascii="Times New Roman" w:hAnsi="Times New Roman"/>
          <w:sz w:val="22"/>
        </w:rPr>
        <w:t>Berkouwer’s dynamic interpretation of the Word of God as relational rather than static or scientific has faced criticism, particularly from evangelical scholars who adhere strictly to doctrines like biblical inerrancy, double predestination, and limited atonement. This relational view aligns God's Word closely with the dynamics of faith, a stance not universally embraced within evangelical circles.</w:t>
      </w:r>
    </w:p>
    <w:p w14:paraId="60C18835" w14:textId="77777777" w:rsidR="0051517F" w:rsidRDefault="0051517F" w:rsidP="00DF62FA">
      <w:pPr>
        <w:jc w:val="both"/>
      </w:pPr>
    </w:p>
    <w:p w14:paraId="534688B1" w14:textId="594F37F3" w:rsidR="0074395D" w:rsidRPr="0074395D" w:rsidRDefault="0074395D" w:rsidP="0074395D">
      <w:pPr>
        <w:tabs>
          <w:tab w:val="left" w:pos="5351"/>
        </w:tabs>
        <w:jc w:val="both"/>
        <w:rPr>
          <w:b/>
          <w:bCs/>
        </w:rPr>
      </w:pPr>
      <w:r w:rsidRPr="0074395D">
        <w:rPr>
          <w:rFonts w:ascii="Times New Roman" w:hAnsi="Times New Roman"/>
          <w:b/>
          <w:bCs/>
          <w:sz w:val="22"/>
        </w:rPr>
        <w:t>Carl F. Henry</w:t>
      </w:r>
      <w:r>
        <w:rPr>
          <w:rFonts w:ascii="Times New Roman" w:hAnsi="Times New Roman"/>
          <w:b/>
          <w:bCs/>
          <w:sz w:val="22"/>
        </w:rPr>
        <w:t>.</w:t>
      </w:r>
    </w:p>
    <w:p w14:paraId="5CDC0632" w14:textId="1F27C1E7" w:rsidR="0051517F" w:rsidRPr="006951CF" w:rsidRDefault="0051517F" w:rsidP="0074395D">
      <w:pPr>
        <w:tabs>
          <w:tab w:val="left" w:pos="5351"/>
        </w:tabs>
        <w:jc w:val="both"/>
      </w:pPr>
      <w:r w:rsidRPr="0051517F">
        <w:rPr>
          <w:rFonts w:ascii="Times New Roman" w:hAnsi="Times New Roman"/>
          <w:b/>
          <w:bCs/>
          <w:sz w:val="22"/>
        </w:rPr>
        <w:t>Theological Foundations and Presuppositionalism</w:t>
      </w:r>
      <w:r>
        <w:rPr>
          <w:rFonts w:ascii="Times New Roman" w:hAnsi="Times New Roman"/>
          <w:b/>
          <w:bCs/>
          <w:sz w:val="22"/>
        </w:rPr>
        <w:t xml:space="preserve">. </w:t>
      </w:r>
      <w:r>
        <w:rPr>
          <w:rFonts w:ascii="Times New Roman" w:hAnsi="Times New Roman"/>
          <w:sz w:val="22"/>
        </w:rPr>
        <w:t>Carl F. H. Henry, a pivotal figure in 20th-century evangelical theology, was known for his robust defense of biblical theism and critique of modern theological trends. At the core of his theological approach was foundationalism, with a strong presuppositionalist stance that affirmed Christian theism, grounded in biblical revelation, as the only coherent and non-contradictory system of thought. Henry argued that even post-fall, human reason retains the capacity to perceive and elucidate divine truths. This belief led him to emphasize propositional revelation, where God communicates in express cognitive truths, asserting that Scripture cannot be subject to selective reading or control by external criteria.</w:t>
      </w:r>
      <w:r w:rsidR="0074395D">
        <w:rPr>
          <w:rFonts w:ascii="Times New Roman" w:hAnsi="Times New Roman"/>
          <w:sz w:val="22"/>
        </w:rPr>
        <w:t xml:space="preserve"> </w:t>
      </w:r>
      <w:r w:rsidR="0074395D" w:rsidRPr="0074395D">
        <w:rPr>
          <w:rFonts w:ascii="Times New Roman" w:hAnsi="Times New Roman"/>
          <w:b/>
          <w:bCs/>
          <w:sz w:val="22"/>
        </w:rPr>
        <w:t>Critique</w:t>
      </w:r>
      <w:r w:rsidRPr="0074395D">
        <w:rPr>
          <w:rFonts w:ascii="Times New Roman" w:hAnsi="Times New Roman"/>
          <w:b/>
          <w:bCs/>
          <w:sz w:val="22"/>
        </w:rPr>
        <w:t xml:space="preserve"> of Neo-Protestantism and Concept of Inspiration</w:t>
      </w:r>
      <w:r w:rsidR="0074395D">
        <w:rPr>
          <w:rFonts w:ascii="Times New Roman" w:hAnsi="Times New Roman"/>
          <w:b/>
          <w:bCs/>
          <w:sz w:val="22"/>
        </w:rPr>
        <w:t xml:space="preserve">. </w:t>
      </w:r>
      <w:r>
        <w:rPr>
          <w:rFonts w:ascii="Times New Roman" w:hAnsi="Times New Roman"/>
          <w:sz w:val="22"/>
        </w:rPr>
        <w:t>Henry was a vocal opponent of Neo-Protestantism concerning biblical inspiration and inerrancy. He criticized Neo-Protestantism for locating scriptural authority in the subjective inspirations of the believer rather than in the "inspiredness" of the text itself. Henry contended that inspiration resides within the biblical text, not implying that writers had special genius or were merely expressing divine thoughts in their own culturally contingent words. Instead, he professed that inspiration is a supernatural influence on divinely chosen prophets and apostles, ensuring the truthfulness and trustworthiness of their proclamations, all while maintaining their unique personalities and cultural contexts. This perspective leads to his affirmation of the full plenary inspiration of the Bible, declaring it completely true in all its parts, whether expressed through symbolic forms like poetry or parables.</w:t>
      </w:r>
      <w:r w:rsidR="0074395D">
        <w:rPr>
          <w:rFonts w:ascii="Times New Roman" w:hAnsi="Times New Roman"/>
          <w:sz w:val="22"/>
        </w:rPr>
        <w:t xml:space="preserve"> </w:t>
      </w:r>
      <w:r w:rsidRPr="0074395D">
        <w:rPr>
          <w:rFonts w:ascii="Times New Roman" w:hAnsi="Times New Roman"/>
          <w:b/>
          <w:bCs/>
          <w:sz w:val="22"/>
        </w:rPr>
        <w:t>Inerrancy and Scriptural Authority</w:t>
      </w:r>
      <w:r w:rsidR="0074395D">
        <w:rPr>
          <w:rFonts w:ascii="Times New Roman" w:hAnsi="Times New Roman"/>
          <w:b/>
          <w:bCs/>
          <w:sz w:val="22"/>
        </w:rPr>
        <w:t xml:space="preserve">. </w:t>
      </w:r>
      <w:r>
        <w:rPr>
          <w:rFonts w:ascii="Times New Roman" w:hAnsi="Times New Roman"/>
          <w:sz w:val="22"/>
        </w:rPr>
        <w:t>Henry's understanding of biblical inerrancy distinguishes between precise modern technological reporting and the conveyance of truth through metaphorical or symbolic language. He maintained that the Bible's inerrancy extends not just to theological and ethical matters but also to historical and scientific aspects when they form part of the Bible's explicit message. For example, he argued that the Genesis account of creation holds implications for God's causal relationship with the cosmos. While the Bible is not a science or history textbook, it nonetheless offers relevant information in these areas. Despite this stance, some find Henry's language vague regarding how biblically related information is both relevant and truthful. Henry also specified that verbal inerrancy pertains directly to the original autographs of Scripture and only indirectly to copies, rooting the infallibility of existing texts in scholarly textual criticism</w:t>
      </w:r>
      <w:r w:rsidR="0074395D">
        <w:rPr>
          <w:rFonts w:ascii="Times New Roman" w:hAnsi="Times New Roman"/>
          <w:sz w:val="22"/>
        </w:rPr>
        <w:t xml:space="preserve"> (!)</w:t>
      </w:r>
      <w:r>
        <w:rPr>
          <w:rFonts w:ascii="Times New Roman" w:hAnsi="Times New Roman"/>
          <w:sz w:val="22"/>
        </w:rPr>
        <w:t xml:space="preserve"> rather than inner testimony. This approach </w:t>
      </w:r>
      <w:r w:rsidR="0074395D">
        <w:rPr>
          <w:rFonts w:ascii="Times New Roman" w:hAnsi="Times New Roman"/>
          <w:sz w:val="22"/>
        </w:rPr>
        <w:t xml:space="preserve">is contrasted </w:t>
      </w:r>
      <w:r>
        <w:rPr>
          <w:rFonts w:ascii="Times New Roman" w:hAnsi="Times New Roman"/>
          <w:sz w:val="22"/>
        </w:rPr>
        <w:lastRenderedPageBreak/>
        <w:t>with Berkouwer</w:t>
      </w:r>
      <w:r w:rsidR="0074395D">
        <w:rPr>
          <w:rFonts w:ascii="Times New Roman" w:hAnsi="Times New Roman"/>
          <w:sz w:val="22"/>
        </w:rPr>
        <w:t>’s</w:t>
      </w:r>
      <w:r>
        <w:rPr>
          <w:rFonts w:ascii="Times New Roman" w:hAnsi="Times New Roman"/>
          <w:sz w:val="22"/>
        </w:rPr>
        <w:t>, who rejected the notion of Scriptural inerrancy.</w:t>
      </w:r>
      <w:r w:rsidR="0074395D">
        <w:rPr>
          <w:rFonts w:ascii="Times New Roman" w:hAnsi="Times New Roman"/>
          <w:sz w:val="22"/>
        </w:rPr>
        <w:t xml:space="preserve"> </w:t>
      </w:r>
      <w:r w:rsidRPr="0074395D">
        <w:rPr>
          <w:rFonts w:ascii="Times New Roman" w:hAnsi="Times New Roman"/>
          <w:b/>
          <w:bCs/>
          <w:sz w:val="22"/>
        </w:rPr>
        <w:t>Criticism and Influence</w:t>
      </w:r>
      <w:r w:rsidR="0074395D">
        <w:rPr>
          <w:rFonts w:ascii="Times New Roman" w:hAnsi="Times New Roman"/>
          <w:b/>
          <w:bCs/>
          <w:sz w:val="22"/>
        </w:rPr>
        <w:t xml:space="preserve">. </w:t>
      </w:r>
      <w:r>
        <w:rPr>
          <w:rFonts w:ascii="Times New Roman" w:hAnsi="Times New Roman"/>
          <w:sz w:val="22"/>
        </w:rPr>
        <w:t>Henry faced criticism for his rational-propositional conception of theology and was often accused of adhering to a discredited foundationalism. Yet, his commitment to the authority and integrity of Scripture sustained his influence as a defender of evangelical orthodoxy amidst shifting theological landscapes.</w:t>
      </w:r>
    </w:p>
    <w:sectPr w:rsidR="0051517F" w:rsidRPr="006951CF">
      <w:headerReference w:type="default" r:id="rId14"/>
      <w:footerReference w:type="default" r:id="rId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1-07T17:00:00Z" w:initials="MK">
    <w:p w14:paraId="62CCFE55" w14:textId="77777777" w:rsidR="00DF62FA" w:rsidRDefault="00DF62FA" w:rsidP="00DF62FA">
      <w:r>
        <w:rPr>
          <w:rStyle w:val="CommentReference"/>
        </w:rPr>
        <w:annotationRef/>
      </w:r>
      <w:r>
        <w:rPr>
          <w:color w:val="000000"/>
          <w:sz w:val="20"/>
          <w:szCs w:val="20"/>
        </w:rPr>
        <w:t>??</w:t>
      </w:r>
    </w:p>
  </w:comment>
  <w:comment w:id="1" w:author="Mark Klooster" w:date="2024-11-08T09:18:00Z" w:initials="MK">
    <w:p w14:paraId="1398E76F" w14:textId="77777777" w:rsidR="0051517F" w:rsidRDefault="0051517F" w:rsidP="0051517F">
      <w:r>
        <w:rPr>
          <w:rStyle w:val="CommentReference"/>
        </w:rPr>
        <w:annotationRef/>
      </w:r>
      <w:r>
        <w:rPr>
          <w:color w:val="000000"/>
          <w:sz w:val="20"/>
          <w:szCs w:val="20"/>
        </w:rPr>
        <w:t>Barth’s position - unbelief powerless against God’s election in Christ</w:t>
      </w:r>
    </w:p>
    <w:p w14:paraId="1C7CE1DA" w14:textId="77777777" w:rsidR="0051517F" w:rsidRDefault="0051517F" w:rsidP="0051517F"/>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2CCFE55" w15:done="0"/>
  <w15:commentEx w15:paraId="1C7CE1DA" w15:paraIdParent="62CCFE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03C756" w16cex:dateUtc="2024-11-07T22:00:00Z"/>
  <w16cex:commentExtensible w16cex:durableId="5347976A" w16cex:dateUtc="2024-11-08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2CCFE55" w16cid:durableId="4A03C756"/>
  <w16cid:commentId w16cid:paraId="1C7CE1DA" w16cid:durableId="534797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C2506" w14:textId="77777777" w:rsidR="002F5530" w:rsidRDefault="002F5530" w:rsidP="00AD30C7">
      <w:r>
        <w:separator/>
      </w:r>
    </w:p>
  </w:endnote>
  <w:endnote w:type="continuationSeparator" w:id="0">
    <w:p w14:paraId="2E433214" w14:textId="77777777" w:rsidR="002F5530" w:rsidRDefault="002F5530" w:rsidP="00AD3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LivJC+</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53645" w14:textId="77777777" w:rsidR="002F5530" w:rsidRDefault="002F5530" w:rsidP="00AD30C7">
      <w:r>
        <w:separator/>
      </w:r>
    </w:p>
  </w:footnote>
  <w:footnote w:type="continuationSeparator" w:id="0">
    <w:p w14:paraId="4172AF6E" w14:textId="77777777" w:rsidR="002F5530" w:rsidRDefault="002F5530" w:rsidP="00AD30C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Modern Christian Thought: Twentieth Century (Volume II)</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2FC1"/>
    <w:multiLevelType w:val="hybridMultilevel"/>
    <w:tmpl w:val="7C50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4461C"/>
    <w:multiLevelType w:val="hybridMultilevel"/>
    <w:tmpl w:val="ED5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00CF6"/>
    <w:multiLevelType w:val="hybridMultilevel"/>
    <w:tmpl w:val="3C8891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5F5E31"/>
    <w:multiLevelType w:val="hybridMultilevel"/>
    <w:tmpl w:val="9FDA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EB61E7"/>
    <w:multiLevelType w:val="hybridMultilevel"/>
    <w:tmpl w:val="F68AD2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A7631"/>
    <w:multiLevelType w:val="hybridMultilevel"/>
    <w:tmpl w:val="1F6CFDA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9C32D4"/>
    <w:multiLevelType w:val="hybridMultilevel"/>
    <w:tmpl w:val="6EDC5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135E7"/>
    <w:multiLevelType w:val="hybridMultilevel"/>
    <w:tmpl w:val="4B52D8D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BAB062B"/>
    <w:multiLevelType w:val="hybridMultilevel"/>
    <w:tmpl w:val="A0FEA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3A14D4"/>
    <w:multiLevelType w:val="hybridMultilevel"/>
    <w:tmpl w:val="1F7A09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D50E0"/>
    <w:multiLevelType w:val="hybridMultilevel"/>
    <w:tmpl w:val="D9BEF4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660493">
    <w:abstractNumId w:val="5"/>
  </w:num>
  <w:num w:numId="2" w16cid:durableId="566916487">
    <w:abstractNumId w:val="2"/>
  </w:num>
  <w:num w:numId="3" w16cid:durableId="497581758">
    <w:abstractNumId w:val="0"/>
  </w:num>
  <w:num w:numId="4" w16cid:durableId="1597708679">
    <w:abstractNumId w:val="4"/>
  </w:num>
  <w:num w:numId="5" w16cid:durableId="709233565">
    <w:abstractNumId w:val="7"/>
  </w:num>
  <w:num w:numId="6" w16cid:durableId="1689257926">
    <w:abstractNumId w:val="10"/>
  </w:num>
  <w:num w:numId="7" w16cid:durableId="2110346585">
    <w:abstractNumId w:val="9"/>
  </w:num>
  <w:num w:numId="8" w16cid:durableId="1329863810">
    <w:abstractNumId w:val="8"/>
  </w:num>
  <w:num w:numId="9" w16cid:durableId="497232540">
    <w:abstractNumId w:val="3"/>
  </w:num>
  <w:num w:numId="10" w16cid:durableId="203520887">
    <w:abstractNumId w:val="6"/>
  </w:num>
  <w:num w:numId="11" w16cid:durableId="20349192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16"/>
    <w:rsid w:val="00104705"/>
    <w:rsid w:val="00135B7B"/>
    <w:rsid w:val="001F00CD"/>
    <w:rsid w:val="00203ED8"/>
    <w:rsid w:val="00207B93"/>
    <w:rsid w:val="00282F99"/>
    <w:rsid w:val="002F5530"/>
    <w:rsid w:val="00300328"/>
    <w:rsid w:val="00324E28"/>
    <w:rsid w:val="00374B6B"/>
    <w:rsid w:val="00374D66"/>
    <w:rsid w:val="003A045D"/>
    <w:rsid w:val="004C7526"/>
    <w:rsid w:val="0051517F"/>
    <w:rsid w:val="00637F2E"/>
    <w:rsid w:val="00664BC5"/>
    <w:rsid w:val="00684E24"/>
    <w:rsid w:val="006951CF"/>
    <w:rsid w:val="006D7347"/>
    <w:rsid w:val="007061DD"/>
    <w:rsid w:val="00716B72"/>
    <w:rsid w:val="0074395D"/>
    <w:rsid w:val="008609AC"/>
    <w:rsid w:val="00930542"/>
    <w:rsid w:val="009A7AC9"/>
    <w:rsid w:val="009C1B47"/>
    <w:rsid w:val="00A23F81"/>
    <w:rsid w:val="00A57F40"/>
    <w:rsid w:val="00AA008D"/>
    <w:rsid w:val="00AD30C7"/>
    <w:rsid w:val="00B2686E"/>
    <w:rsid w:val="00B3071C"/>
    <w:rsid w:val="00B82D17"/>
    <w:rsid w:val="00BA2B5D"/>
    <w:rsid w:val="00BB600B"/>
    <w:rsid w:val="00C01090"/>
    <w:rsid w:val="00C474BE"/>
    <w:rsid w:val="00CF2D87"/>
    <w:rsid w:val="00D4525B"/>
    <w:rsid w:val="00D54116"/>
    <w:rsid w:val="00D913D9"/>
    <w:rsid w:val="00DD5BD7"/>
    <w:rsid w:val="00DF62FA"/>
    <w:rsid w:val="00E2575C"/>
    <w:rsid w:val="00E53828"/>
    <w:rsid w:val="00E55CC0"/>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5C3793"/>
  <w15:chartTrackingRefBased/>
  <w15:docId w15:val="{F1E7729A-4F91-8547-835B-242977F4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116"/>
    <w:pPr>
      <w:ind w:left="720"/>
      <w:contextualSpacing/>
    </w:pPr>
  </w:style>
  <w:style w:type="paragraph" w:styleId="FootnoteText">
    <w:name w:val="footnote text"/>
    <w:basedOn w:val="Normal"/>
    <w:link w:val="FootnoteTextChar"/>
    <w:uiPriority w:val="99"/>
    <w:semiHidden/>
    <w:unhideWhenUsed/>
    <w:rsid w:val="00AD30C7"/>
    <w:rPr>
      <w:sz w:val="20"/>
      <w:szCs w:val="20"/>
    </w:rPr>
  </w:style>
  <w:style w:type="character" w:customStyle="1" w:styleId="FootnoteTextChar">
    <w:name w:val="Footnote Text Char"/>
    <w:basedOn w:val="DefaultParagraphFont"/>
    <w:link w:val="FootnoteText"/>
    <w:uiPriority w:val="99"/>
    <w:semiHidden/>
    <w:rsid w:val="00AD30C7"/>
    <w:rPr>
      <w:rFonts w:ascii="Times New Roman" w:hAnsi="Times New Roman"/>
      <w:noProof/>
      <w:sz w:val="20"/>
      <w:szCs w:val="20"/>
    </w:rPr>
  </w:style>
  <w:style w:type="character" w:styleId="FootnoteReference">
    <w:name w:val="footnote reference"/>
    <w:basedOn w:val="DefaultParagraphFont"/>
    <w:uiPriority w:val="99"/>
    <w:semiHidden/>
    <w:unhideWhenUsed/>
    <w:rsid w:val="00AD30C7"/>
    <w:rPr>
      <w:vertAlign w:val="superscript"/>
    </w:rPr>
  </w:style>
  <w:style w:type="character" w:styleId="CommentReference">
    <w:name w:val="annotation reference"/>
    <w:basedOn w:val="DefaultParagraphFont"/>
    <w:uiPriority w:val="99"/>
    <w:semiHidden/>
    <w:unhideWhenUsed/>
    <w:rsid w:val="00DF62FA"/>
    <w:rPr>
      <w:sz w:val="16"/>
      <w:szCs w:val="16"/>
    </w:rPr>
  </w:style>
  <w:style w:type="paragraph" w:styleId="CommentText">
    <w:name w:val="annotation text"/>
    <w:basedOn w:val="Normal"/>
    <w:link w:val="CommentTextChar"/>
    <w:uiPriority w:val="99"/>
    <w:semiHidden/>
    <w:unhideWhenUsed/>
    <w:rsid w:val="00DF62FA"/>
    <w:rPr>
      <w:sz w:val="20"/>
      <w:szCs w:val="20"/>
    </w:rPr>
  </w:style>
  <w:style w:type="character" w:customStyle="1" w:styleId="CommentTextChar">
    <w:name w:val="Comment Text Char"/>
    <w:basedOn w:val="DefaultParagraphFont"/>
    <w:link w:val="CommentText"/>
    <w:uiPriority w:val="99"/>
    <w:semiHidden/>
    <w:rsid w:val="00DF62FA"/>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DF62FA"/>
    <w:rPr>
      <w:b/>
      <w:bCs/>
    </w:rPr>
  </w:style>
  <w:style w:type="character" w:customStyle="1" w:styleId="CommentSubjectChar">
    <w:name w:val="Comment Subject Char"/>
    <w:basedOn w:val="CommentTextChar"/>
    <w:link w:val="CommentSubject"/>
    <w:uiPriority w:val="99"/>
    <w:semiHidden/>
    <w:rsid w:val="00DF62FA"/>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579790">
      <w:bodyDiv w:val="1"/>
      <w:marLeft w:val="0"/>
      <w:marRight w:val="0"/>
      <w:marTop w:val="0"/>
      <w:marBottom w:val="0"/>
      <w:divBdr>
        <w:top w:val="none" w:sz="0" w:space="0" w:color="auto"/>
        <w:left w:val="none" w:sz="0" w:space="0" w:color="auto"/>
        <w:bottom w:val="none" w:sz="0" w:space="0" w:color="auto"/>
        <w:right w:val="none" w:sz="0" w:space="0" w:color="auto"/>
      </w:divBdr>
      <w:divsChild>
        <w:div w:id="155536661">
          <w:marLeft w:val="0"/>
          <w:marRight w:val="0"/>
          <w:marTop w:val="0"/>
          <w:marBottom w:val="0"/>
          <w:divBdr>
            <w:top w:val="none" w:sz="0" w:space="0" w:color="auto"/>
            <w:left w:val="none" w:sz="0" w:space="0" w:color="auto"/>
            <w:bottom w:val="none" w:sz="0" w:space="0" w:color="auto"/>
            <w:right w:val="none" w:sz="0" w:space="0" w:color="auto"/>
          </w:divBdr>
        </w:div>
      </w:divsChild>
    </w:div>
    <w:div w:id="1623345615">
      <w:bodyDiv w:val="1"/>
      <w:marLeft w:val="0"/>
      <w:marRight w:val="0"/>
      <w:marTop w:val="0"/>
      <w:marBottom w:val="0"/>
      <w:divBdr>
        <w:top w:val="none" w:sz="0" w:space="0" w:color="auto"/>
        <w:left w:val="none" w:sz="0" w:space="0" w:color="auto"/>
        <w:bottom w:val="none" w:sz="0" w:space="0" w:color="auto"/>
        <w:right w:val="none" w:sz="0" w:space="0" w:color="auto"/>
      </w:divBdr>
      <w:divsChild>
        <w:div w:id="1003705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14946</Words>
  <Characters>85196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2024-11-20T19:44:00Z</dcterms:created>
  <dcterms:modified xsi:type="dcterms:W3CDTF">2024-11-20T19:45:00Z</dcterms:modified>
</cp:coreProperties>
</file>