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AA008D" w:rsidRDefault="00E83D1F" w:rsidP="00E83D1F">
      <w:pPr>
        <w:jc w:val="both"/>
      </w:pPr>
      <w:r w:rsidRPr="00E83D1F">
        <w:rPr>
          <w:rFonts w:ascii="Times New Roman" w:hAnsi="Times New Roman"/>
          <w:b/>
          <w:bCs/>
          <w:sz w:val="22"/>
        </w:rPr>
        <w:t>Frame’s Method and Approach to Van Til.</w:t>
      </w:r>
      <w:r>
        <w:rPr>
          <w:rFonts w:ascii="Times New Roman" w:hAnsi="Times New Roman"/>
          <w:sz w:val="22"/>
        </w:rPr>
        <w:t xml:space="preserve"> John Frame analyzes Cornelius Van Til's thought through a "piecemeal" method, assessing individual elements rather than tackling his entire system at once. Frame finds this approach beneficial for students, although he acknowledges that Van Til's system is deeply interconnected, echoing the equal ultimacy of the one and many in his understanding of the Trinity. Frame ultimately upholds that the most critical aspects of Van Til’s system are biblical and should remain foundational in future apologetics, though some formulations may confuse and lack direct biblical warrant.</w:t>
      </w:r>
      <w:r>
        <w:rPr>
          <w:rFonts w:ascii="Times New Roman" w:hAnsi="Times New Roman"/>
          <w:sz w:val="22"/>
        </w:rPr>
        <w:t xml:space="preserve"> </w:t>
      </w:r>
      <w:r w:rsidRPr="00E83D1F">
        <w:rPr>
          <w:rFonts w:ascii="Times New Roman" w:hAnsi="Times New Roman"/>
          <w:b/>
          <w:bCs/>
          <w:sz w:val="22"/>
        </w:rPr>
        <w:t>Critique of the Theonomic Movement and Personal Isolation.</w:t>
      </w:r>
      <w:r>
        <w:rPr>
          <w:rFonts w:ascii="Times New Roman" w:hAnsi="Times New Roman"/>
          <w:sz w:val="22"/>
        </w:rPr>
        <w:t xml:space="preserve"> Frame criticizes the theonomic movement and its writings, which he views as a "mixed blessing" that misapplies Reformation foundations to Christian life. He also critiques Van Til's personal isolation, noting that Van Til often remained outside mainstream theological debates, which may reflect more about Frame's perspective than about Van Til’s intentions. Frame suggests that Van Til's "isolation" could be seen as synonymous with his commitment to the "antithesis" concept.</w:t>
      </w:r>
      <w:r>
        <w:rPr>
          <w:rFonts w:ascii="Times New Roman" w:hAnsi="Times New Roman"/>
          <w:sz w:val="22"/>
        </w:rPr>
        <w:t xml:space="preserve"> </w:t>
      </w:r>
      <w:r w:rsidRPr="00E83D1F">
        <w:rPr>
          <w:rFonts w:ascii="Times New Roman" w:hAnsi="Times New Roman"/>
          <w:b/>
          <w:bCs/>
          <w:sz w:val="22"/>
        </w:rPr>
        <w:t>Role of the Antithesis and Theological Distinctions.</w:t>
      </w:r>
      <w:r>
        <w:rPr>
          <w:rFonts w:ascii="Times New Roman" w:hAnsi="Times New Roman"/>
          <w:sz w:val="22"/>
        </w:rPr>
        <w:t xml:space="preserve"> Frame discusses the concept of antithesis in Van Til's work, suggesting that it may align more with Machen than Kuyper, although this attribution may serve to depict Van Til as Machen’s "consolidator." Frame also notes Van Til's incorporation of Kantian epistemological principles into apologetics, enriching his theological framework.</w:t>
      </w:r>
      <w:r>
        <w:rPr>
          <w:rFonts w:ascii="Times New Roman" w:hAnsi="Times New Roman"/>
          <w:sz w:val="22"/>
        </w:rPr>
        <w:t xml:space="preserve"> </w:t>
      </w:r>
      <w:r w:rsidRPr="00E83D1F">
        <w:rPr>
          <w:rFonts w:ascii="Times New Roman" w:hAnsi="Times New Roman"/>
          <w:b/>
          <w:bCs/>
          <w:sz w:val="22"/>
        </w:rPr>
        <w:t>Trinitarian Theology and the Problem of the One-and-Many.</w:t>
      </w:r>
      <w:r>
        <w:rPr>
          <w:rFonts w:ascii="Times New Roman" w:hAnsi="Times New Roman"/>
          <w:sz w:val="22"/>
        </w:rPr>
        <w:t xml:space="preserve"> Frame highlights Van Til's emphasis on the Trinity as the solution to the philosophical problem of the one-and-many, where unity and diversity coexist harmoniously. He stresses that only a personal and sovereign God can be absolute, a perspective demanding acknowledgment that the divine essence is personal and not abstract.</w:t>
      </w:r>
      <w:r>
        <w:rPr>
          <w:rFonts w:ascii="Times New Roman" w:hAnsi="Times New Roman"/>
          <w:sz w:val="22"/>
        </w:rPr>
        <w:t xml:space="preserve"> </w:t>
      </w:r>
      <w:r w:rsidRPr="00E83D1F">
        <w:rPr>
          <w:rFonts w:ascii="Times New Roman" w:hAnsi="Times New Roman"/>
          <w:b/>
          <w:bCs/>
          <w:sz w:val="22"/>
        </w:rPr>
        <w:t>Analogy and Epistemology.</w:t>
      </w:r>
      <w:r>
        <w:rPr>
          <w:rFonts w:ascii="Times New Roman" w:hAnsi="Times New Roman"/>
          <w:sz w:val="22"/>
        </w:rPr>
        <w:t xml:space="preserve"> Frame explores Van Til’s rejection of the analogy of being in theological terms while maintaining its significance in epistemology. He contends that Van Til views analogy as applying to the whole process of human thought rather than to individual terms.</w:t>
      </w:r>
      <w:r>
        <w:rPr>
          <w:rFonts w:ascii="Times New Roman" w:hAnsi="Times New Roman"/>
          <w:sz w:val="22"/>
        </w:rPr>
        <w:t xml:space="preserve"> </w:t>
      </w:r>
      <w:r w:rsidRPr="00E83D1F">
        <w:rPr>
          <w:rFonts w:ascii="Times New Roman" w:hAnsi="Times New Roman"/>
          <w:b/>
          <w:bCs/>
          <w:sz w:val="22"/>
        </w:rPr>
        <w:t>The Clark Controversy and Epistemological Concerns.</w:t>
      </w:r>
      <w:r>
        <w:rPr>
          <w:rFonts w:ascii="Times New Roman" w:hAnsi="Times New Roman"/>
          <w:sz w:val="22"/>
        </w:rPr>
        <w:t xml:space="preserve"> Frame delves into the Clark controversy, noting Clark's misapplication of divine simplicity to God's thought. He raises concerns regarding Van Til's discussions about the "identity of content" between Divine and human minds, and discusses the nuances between natural theology and natural revelation.</w:t>
      </w:r>
      <w:r>
        <w:rPr>
          <w:rFonts w:ascii="Times New Roman" w:hAnsi="Times New Roman"/>
          <w:sz w:val="22"/>
        </w:rPr>
        <w:t xml:space="preserve"> </w:t>
      </w:r>
      <w:r w:rsidRPr="00E83D1F">
        <w:rPr>
          <w:rFonts w:ascii="Times New Roman" w:hAnsi="Times New Roman"/>
          <w:b/>
          <w:bCs/>
          <w:sz w:val="22"/>
        </w:rPr>
        <w:t>Sovereignty, Scripture, and Presuppositions.</w:t>
      </w:r>
      <w:r>
        <w:rPr>
          <w:rFonts w:ascii="Times New Roman" w:hAnsi="Times New Roman"/>
          <w:sz w:val="22"/>
        </w:rPr>
        <w:t xml:space="preserve"> Van Til's unique perspective suggests that distinguishing Scripture as the Word of God relies on divine sovereignty over history. Frame critiques his portrayal of presuppositions as a form of a priori thinking, arguing that they transcend such principles. </w:t>
      </w:r>
      <w:r w:rsidRPr="00E83D1F">
        <w:rPr>
          <w:rFonts w:ascii="Times New Roman" w:hAnsi="Times New Roman"/>
          <w:b/>
          <w:bCs/>
          <w:sz w:val="22"/>
        </w:rPr>
        <w:t>Role of Logic and Evidence.</w:t>
      </w:r>
      <w:r>
        <w:rPr>
          <w:rFonts w:ascii="Times New Roman" w:hAnsi="Times New Roman"/>
          <w:sz w:val="22"/>
        </w:rPr>
        <w:t xml:space="preserve"> Frame critiques Van Til for potentially prioritizing intellect in apologetic methodology and discusses the role of logic as defined by Scripture versus that of unbelievers and evangelicals. He notes that Van Til believed evidence in apologetics must be theologically grounded rather than merely probable, emphasizing a need for an absolutely compelling Christian faith.</w:t>
      </w:r>
      <w:r>
        <w:rPr>
          <w:rFonts w:ascii="Times New Roman" w:hAnsi="Times New Roman"/>
          <w:sz w:val="22"/>
        </w:rPr>
        <w:t xml:space="preserve"> </w:t>
      </w:r>
      <w:r w:rsidRPr="00E83D1F">
        <w:rPr>
          <w:rFonts w:ascii="Times New Roman" w:hAnsi="Times New Roman"/>
          <w:b/>
          <w:bCs/>
          <w:sz w:val="22"/>
        </w:rPr>
        <w:t>Common Grace and Antithesis.</w:t>
      </w:r>
      <w:r>
        <w:rPr>
          <w:rFonts w:ascii="Times New Roman" w:hAnsi="Times New Roman"/>
          <w:sz w:val="22"/>
        </w:rPr>
        <w:t xml:space="preserve"> Finally, Frame discusses Van Til's perspective on common grace as a limiting concept relative to the antithesis, reflecting the complex interplay between divine assistance and human opposition in understanding and defending the Christian faith.</w:t>
      </w:r>
    </w:p>
    <w:sectPr w:rsidR="00AA008D">
      <w:headerReference w:type="default" r:id="rId6"/>
      <w:footerReference w:type="default" r:id="rId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jc w:val="left"/>
    </w:pPr>
    <w:r>
      <w:rPr>
        <w:rFonts w:ascii="Times New Roman" w:hAnsi="Times New Roman"/>
        <w:sz w:val="22"/>
      </w:rPr>
      <w:t>FraJM</w:t>
      <w:tab/>
    </w:r>
    <w:r>
      <w:rPr>
        <w:rFonts w:ascii="Times New Roman" w:hAnsi="Times New Roman"/>
        <w:sz w:val="22"/>
      </w:rPr>
      <w:fldSimple w:instr="PAGE \* MERGEFORMA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pPr>
    <w:r>
      <w:rPr>
        <w:rFonts w:ascii="Times New Roman" w:hAnsi="Times New Roman"/>
        <w:sz w:val="22"/>
      </w:rPr>
      <w:t>Cornelius van Til: An Analysis of His Thought</w:t>
      <w:tab/>
      <w:t>AP</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D1F"/>
    <w:rsid w:val="00A57F40"/>
    <w:rsid w:val="00AA008D"/>
    <w:rsid w:val="00E05E22"/>
    <w:rsid w:val="00E53828"/>
    <w:rsid w:val="00E83D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121705F"/>
  <w15:chartTrackingRefBased/>
  <w15:docId w15:val="{33CECE5A-AF93-6642-B64E-DA9AC0504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08D"/>
    <w:rPr>
      <w:rFonts w:ascii="Times New Roman" w:hAnsi="Times New Roman"/>
      <w:noProof/>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527</Words>
  <Characters>3006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Klooster</dc:creator>
  <cp:keywords/>
  <dc:description/>
  <cp:lastModifiedBy>Mark Klooster</cp:lastModifiedBy>
  <cp:revision>1</cp:revision>
  <dcterms:created xsi:type="dcterms:W3CDTF">2024-11-12T15:40:00Z</dcterms:created>
  <dcterms:modified xsi:type="dcterms:W3CDTF">2024-11-12T16:45:00Z</dcterms:modified>
</cp:coreProperties>
</file>