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008D" w:rsidRPr="00F835C8" w:rsidRDefault="00EB1288" w:rsidP="00EB1288">
      <w:pPr>
        <w:jc w:val="both"/>
        <w:rPr>
          <w:b/>
          <w:bCs/>
        </w:rPr>
      </w:pPr>
      <w:r w:rsidRPr="00F835C8">
        <w:rPr>
          <w:rFonts w:ascii="Times New Roman" w:hAnsi="Times New Roman"/>
          <w:b/>
          <w:bCs/>
          <w:sz w:val="22"/>
        </w:rPr>
        <w:t xml:space="preserve">Thomas Aquinas (Great Thinkers) – </w:t>
      </w:r>
      <w:r w:rsidR="006F4C19">
        <w:rPr>
          <w:rFonts w:ascii="Times New Roman" w:hAnsi="Times New Roman"/>
          <w:b/>
          <w:bCs/>
          <w:sz w:val="22"/>
        </w:rPr>
        <w:t xml:space="preserve">K. </w:t>
      </w:r>
      <w:r w:rsidRPr="00F835C8">
        <w:rPr>
          <w:rFonts w:ascii="Times New Roman" w:hAnsi="Times New Roman"/>
          <w:b/>
          <w:bCs/>
          <w:sz w:val="22"/>
        </w:rPr>
        <w:t>Scott</w:t>
      </w:r>
      <w:r w:rsidR="006F4C19">
        <w:rPr>
          <w:rFonts w:ascii="Times New Roman" w:hAnsi="Times New Roman"/>
          <w:b/>
          <w:bCs/>
          <w:sz w:val="22"/>
        </w:rPr>
        <w:t xml:space="preserve"> </w:t>
      </w:r>
      <w:r w:rsidRPr="00F835C8">
        <w:rPr>
          <w:rFonts w:ascii="Times New Roman" w:hAnsi="Times New Roman"/>
          <w:b/>
          <w:bCs/>
          <w:sz w:val="22"/>
        </w:rPr>
        <w:t>Oliphint</w:t>
      </w:r>
    </w:p>
    <w:p w:rsidR="00EB1288" w:rsidRPr="00EB1288" w:rsidRDefault="00EB1288" w:rsidP="00EB1288">
      <w:pPr>
        <w:jc w:val="both"/>
        <w:rPr>
          <w:b/>
          <w:bCs/>
        </w:rPr>
      </w:pPr>
      <w:r w:rsidRPr="00EB1288">
        <w:rPr>
          <w:rFonts w:ascii="Times New Roman" w:hAnsi="Times New Roman"/>
          <w:b/>
          <w:bCs/>
          <w:sz w:val="22"/>
        </w:rPr>
        <w:t>1. Introduction</w:t>
      </w:r>
      <w:r>
        <w:rPr>
          <w:rFonts w:ascii="Times New Roman" w:hAnsi="Times New Roman"/>
          <w:b/>
          <w:bCs/>
          <w:sz w:val="22"/>
        </w:rPr>
        <w:t>.</w:t>
      </w:r>
    </w:p>
    <w:p w:rsidR="00EB1288" w:rsidRDefault="00EB1288" w:rsidP="00EB1288">
      <w:pPr>
        <w:jc w:val="both"/>
      </w:pPr>
      <w:r w:rsidRPr="00EB1288">
        <w:rPr>
          <w:rFonts w:ascii="Times New Roman" w:hAnsi="Times New Roman"/>
          <w:b/>
          <w:bCs/>
          <w:sz w:val="22"/>
        </w:rPr>
        <w:t>Compatibility with Reformation Thought.</w:t>
      </w:r>
      <w:r>
        <w:rPr>
          <w:rFonts w:ascii="Times New Roman" w:hAnsi="Times New Roman"/>
          <w:sz w:val="22"/>
        </w:rPr>
        <w:t xml:space="preserve"> Thomas Aquinas's work is examined for compatibility with Reformed theology, focusing on the principles of being and knowing (</w:t>
      </w:r>
      <w:r w:rsidRPr="00EB1288">
        <w:rPr>
          <w:rFonts w:ascii="Times New Roman" w:hAnsi="Times New Roman"/>
          <w:i/>
          <w:iCs/>
          <w:sz w:val="22"/>
        </w:rPr>
        <w:t>principium essendi</w:t>
      </w:r>
      <w:r>
        <w:rPr>
          <w:rFonts w:ascii="Times New Roman" w:hAnsi="Times New Roman"/>
          <w:sz w:val="22"/>
        </w:rPr>
        <w:t xml:space="preserve"> and </w:t>
      </w:r>
      <w:r w:rsidRPr="00EB1288">
        <w:rPr>
          <w:rFonts w:ascii="Times New Roman" w:hAnsi="Times New Roman"/>
          <w:i/>
          <w:iCs/>
          <w:sz w:val="22"/>
        </w:rPr>
        <w:t>principium cognoscendi</w:t>
      </w:r>
      <w:r>
        <w:rPr>
          <w:rFonts w:ascii="Times New Roman" w:hAnsi="Times New Roman"/>
          <w:sz w:val="22"/>
        </w:rPr>
        <w:t xml:space="preserve">). </w:t>
      </w:r>
      <w:r w:rsidRPr="00EB1288">
        <w:rPr>
          <w:rFonts w:ascii="Times New Roman" w:hAnsi="Times New Roman"/>
          <w:b/>
          <w:bCs/>
          <w:sz w:val="22"/>
        </w:rPr>
        <w:t>Theological Insight.</w:t>
      </w:r>
      <w:r>
        <w:rPr>
          <w:rFonts w:ascii="Times New Roman" w:hAnsi="Times New Roman"/>
          <w:sz w:val="22"/>
        </w:rPr>
        <w:t xml:space="preserve"> The exploration considers what is theologically and biblically identifiable today, despite historical context, leading to a concept known as 'Reformed Thomism.' </w:t>
      </w:r>
      <w:r w:rsidRPr="00EB1288">
        <w:rPr>
          <w:rFonts w:ascii="Times New Roman" w:hAnsi="Times New Roman"/>
          <w:b/>
          <w:bCs/>
          <w:sz w:val="22"/>
        </w:rPr>
        <w:t>Background and Influences.</w:t>
      </w:r>
      <w:r>
        <w:rPr>
          <w:rFonts w:ascii="Times New Roman" w:hAnsi="Times New Roman"/>
          <w:sz w:val="22"/>
        </w:rPr>
        <w:t xml:space="preserve"> Born in 1224, Aquinas became a Benedictine oblate and studied Scripture and the Church Fathers. Influenced by Aristotle and Augustine, he became a Dominican priest and extensively commented on Peter Lombard's Sentences. </w:t>
      </w:r>
      <w:r w:rsidRPr="00EB1288">
        <w:rPr>
          <w:rFonts w:ascii="Times New Roman" w:hAnsi="Times New Roman"/>
          <w:b/>
          <w:bCs/>
          <w:sz w:val="22"/>
        </w:rPr>
        <w:t>Key Works.</w:t>
      </w:r>
      <w:r>
        <w:rPr>
          <w:rFonts w:ascii="Times New Roman" w:hAnsi="Times New Roman"/>
          <w:sz w:val="22"/>
        </w:rPr>
        <w:t xml:space="preserve"> Aquinas's major contributions include the </w:t>
      </w:r>
      <w:r w:rsidRPr="00EB1288">
        <w:rPr>
          <w:rFonts w:ascii="Times New Roman" w:hAnsi="Times New Roman"/>
          <w:i/>
          <w:iCs/>
          <w:sz w:val="22"/>
        </w:rPr>
        <w:t>Summa Contra Gentiles</w:t>
      </w:r>
      <w:r>
        <w:rPr>
          <w:rFonts w:ascii="Times New Roman" w:hAnsi="Times New Roman"/>
          <w:sz w:val="22"/>
        </w:rPr>
        <w:t xml:space="preserve"> and the </w:t>
      </w:r>
      <w:r w:rsidRPr="00EB1288">
        <w:rPr>
          <w:rFonts w:ascii="Times New Roman" w:hAnsi="Times New Roman"/>
          <w:i/>
          <w:iCs/>
          <w:sz w:val="22"/>
        </w:rPr>
        <w:t>Summa Theologica</w:t>
      </w:r>
      <w:r>
        <w:rPr>
          <w:rFonts w:ascii="Times New Roman" w:hAnsi="Times New Roman"/>
          <w:sz w:val="22"/>
        </w:rPr>
        <w:t xml:space="preserve">. The </w:t>
      </w:r>
      <w:r w:rsidRPr="00EB1288">
        <w:rPr>
          <w:rFonts w:ascii="Times New Roman" w:hAnsi="Times New Roman"/>
          <w:i/>
          <w:iCs/>
          <w:sz w:val="22"/>
        </w:rPr>
        <w:t>Summa Contra Gentiles</w:t>
      </w:r>
      <w:r>
        <w:rPr>
          <w:rFonts w:ascii="Times New Roman" w:hAnsi="Times New Roman"/>
          <w:sz w:val="22"/>
        </w:rPr>
        <w:t xml:space="preserve"> addresses divine attributes, creation, providence, and truths known only by faith, while the </w:t>
      </w:r>
      <w:r w:rsidRPr="00EB1288">
        <w:rPr>
          <w:rFonts w:ascii="Times New Roman" w:hAnsi="Times New Roman"/>
          <w:i/>
          <w:iCs/>
          <w:sz w:val="22"/>
        </w:rPr>
        <w:t>Summa Theologica</w:t>
      </w:r>
      <w:r>
        <w:rPr>
          <w:rFonts w:ascii="Times New Roman" w:hAnsi="Times New Roman"/>
          <w:sz w:val="22"/>
        </w:rPr>
        <w:t xml:space="preserve"> remains a crucial theological text. His exploration of supernatural gifts further aligns with Roman Catholic theology.</w:t>
      </w:r>
    </w:p>
    <w:p w:rsidR="00EB1288" w:rsidRDefault="00EB1288" w:rsidP="00EB1288">
      <w:pPr>
        <w:jc w:val="both"/>
      </w:pPr>
    </w:p>
    <w:p w:rsidR="00EB1288" w:rsidRPr="00EB1288" w:rsidRDefault="00EB1288" w:rsidP="00EB1288">
      <w:pPr>
        <w:jc w:val="both"/>
        <w:rPr>
          <w:b/>
          <w:bCs/>
        </w:rPr>
      </w:pPr>
      <w:r w:rsidRPr="00EB1288">
        <w:rPr>
          <w:rFonts w:ascii="Times New Roman" w:hAnsi="Times New Roman"/>
          <w:b/>
          <w:bCs/>
          <w:sz w:val="22"/>
        </w:rPr>
        <w:t>2. Foundation of Knowledge</w:t>
      </w:r>
      <w:r>
        <w:rPr>
          <w:rFonts w:ascii="Times New Roman" w:hAnsi="Times New Roman"/>
          <w:b/>
          <w:bCs/>
          <w:sz w:val="22"/>
        </w:rPr>
        <w:t>.</w:t>
      </w:r>
    </w:p>
    <w:p w:rsidR="00EB1288" w:rsidRDefault="00EB1288" w:rsidP="00EB1288">
      <w:pPr>
        <w:jc w:val="both"/>
      </w:pPr>
      <w:r w:rsidRPr="00EB1288">
        <w:rPr>
          <w:rFonts w:ascii="Times New Roman" w:hAnsi="Times New Roman"/>
          <w:b/>
          <w:bCs/>
          <w:sz w:val="22"/>
        </w:rPr>
        <w:t>Reason and Revelation</w:t>
      </w:r>
      <w:r>
        <w:rPr>
          <w:rFonts w:ascii="Times New Roman" w:hAnsi="Times New Roman"/>
          <w:b/>
          <w:bCs/>
          <w:sz w:val="22"/>
        </w:rPr>
        <w:t xml:space="preserve">. </w:t>
      </w:r>
      <w:r>
        <w:rPr>
          <w:rFonts w:ascii="Times New Roman" w:hAnsi="Times New Roman"/>
          <w:sz w:val="22"/>
        </w:rPr>
        <w:t>Aquinas posits a twofold truth of divine things: 1) knowledge attainable through natural reason and 2) that which is accessible only by revelation. The foundational structure encompasses truths like God's existence and oneness, using Romans 1:19 to highlight that all people share natural reason through participation in true light, but not divine enlightenment. Divine things known only through revelation, like the Trinity, form the superstructure. At times, Aquinas refers to a 3) third kind of universal knowledge: implicit understanding of "being" or "happiness," often linked to perception.</w:t>
      </w:r>
    </w:p>
    <w:p w:rsidR="00EB1288" w:rsidRPr="00EB1288" w:rsidRDefault="00EB1288" w:rsidP="00EB1288">
      <w:pPr>
        <w:jc w:val="both"/>
        <w:rPr>
          <w:b/>
          <w:bCs/>
        </w:rPr>
      </w:pPr>
      <w:r w:rsidRPr="00EB1288">
        <w:rPr>
          <w:rFonts w:ascii="Times New Roman" w:hAnsi="Times New Roman"/>
          <w:b/>
          <w:bCs/>
          <w:sz w:val="22"/>
        </w:rPr>
        <w:t>Three Modes of Knowledge:</w:t>
      </w:r>
    </w:p>
    <w:p w:rsidR="00EB1288" w:rsidRDefault="00EB1288" w:rsidP="00EB1288">
      <w:pPr>
        <w:pStyle w:val="ListParagraph"/>
        <w:numPr>
          <w:ilvl w:val="0"/>
          <w:numId w:val="2"/>
        </w:numPr>
        <w:jc w:val="both"/>
      </w:pPr>
      <w:r>
        <w:rPr>
          <w:rFonts w:ascii="Times New Roman" w:hAnsi="Times New Roman"/>
          <w:sz w:val="22"/>
        </w:rPr>
        <w:t>Obscure and indirect, leading to general knowledge of "being" and creation.</w:t>
      </w:r>
    </w:p>
    <w:p w:rsidR="00EB1288" w:rsidRDefault="00EB1288" w:rsidP="00EB1288">
      <w:pPr>
        <w:pStyle w:val="ListParagraph"/>
        <w:numPr>
          <w:ilvl w:val="0"/>
          <w:numId w:val="2"/>
        </w:numPr>
        <w:jc w:val="both"/>
      </w:pPr>
      <w:r>
        <w:rPr>
          <w:rFonts w:ascii="Times New Roman" w:hAnsi="Times New Roman"/>
          <w:sz w:val="22"/>
        </w:rPr>
        <w:t>Demonstrative, using natural reason to prove God's existence and aspects of His character.</w:t>
      </w:r>
    </w:p>
    <w:p w:rsidR="00EB1288" w:rsidRDefault="00EB1288" w:rsidP="00EB1288">
      <w:pPr>
        <w:pStyle w:val="ListParagraph"/>
        <w:numPr>
          <w:ilvl w:val="0"/>
          <w:numId w:val="2"/>
        </w:numPr>
        <w:jc w:val="both"/>
      </w:pPr>
      <w:r>
        <w:rPr>
          <w:rFonts w:ascii="Times New Roman" w:hAnsi="Times New Roman"/>
          <w:sz w:val="22"/>
        </w:rPr>
        <w:t>Knowledge from revelation, surpassing yet potentially including naturally revealed knowledge.</w:t>
      </w:r>
    </w:p>
    <w:p w:rsidR="00EB1288" w:rsidRDefault="00EB1288" w:rsidP="00EB1288">
      <w:pPr>
        <w:jc w:val="both"/>
      </w:pPr>
      <w:r w:rsidRPr="00EB1288">
        <w:rPr>
          <w:rFonts w:ascii="Times New Roman" w:hAnsi="Times New Roman"/>
          <w:b/>
          <w:bCs/>
          <w:sz w:val="22"/>
        </w:rPr>
        <w:t>The Problem of Self-Evidence</w:t>
      </w:r>
      <w:r>
        <w:rPr>
          <w:rFonts w:ascii="Times New Roman" w:hAnsi="Times New Roman"/>
          <w:b/>
          <w:bCs/>
          <w:sz w:val="22"/>
        </w:rPr>
        <w:t xml:space="preserve">. </w:t>
      </w:r>
      <w:r>
        <w:rPr>
          <w:rFonts w:ascii="Times New Roman" w:hAnsi="Times New Roman"/>
          <w:sz w:val="22"/>
        </w:rPr>
        <w:t xml:space="preserve">Aquinas asserts God's existence is not self-evident to us; He must be known through His effects. Though God is self-evident per se, our inability to conceive Him necessitates this approach. </w:t>
      </w:r>
      <w:r w:rsidRPr="00EB1288">
        <w:rPr>
          <w:rFonts w:ascii="Times New Roman" w:hAnsi="Times New Roman"/>
          <w:b/>
          <w:bCs/>
          <w:sz w:val="22"/>
        </w:rPr>
        <w:t>Epistemology and Metaphysics</w:t>
      </w:r>
      <w:r>
        <w:rPr>
          <w:rFonts w:ascii="Times New Roman" w:hAnsi="Times New Roman"/>
          <w:b/>
          <w:bCs/>
          <w:sz w:val="22"/>
        </w:rPr>
        <w:t xml:space="preserve">. </w:t>
      </w:r>
      <w:r>
        <w:rPr>
          <w:rFonts w:ascii="Times New Roman" w:hAnsi="Times New Roman"/>
          <w:sz w:val="22"/>
        </w:rPr>
        <w:t>Aquinas employs foundationalism with syllogistic reasoning, avoiding inference. Immediate propositions, where predicates are contained in the subject, serve as the base, with mediate demonstrative propositions forming the sides of a pyramid. For Aquinas</w:t>
      </w:r>
      <w:r w:rsidRPr="00EB1288">
        <w:rPr>
          <w:rFonts w:ascii="Times New Roman" w:hAnsi="Times New Roman"/>
          <w:sz w:val="22"/>
        </w:rPr>
        <w:t xml:space="preserve">, immediate propositions are </w:t>
      </w:r>
      <w:r w:rsidRPr="00EB1288">
        <w:rPr>
          <w:rFonts w:ascii="Times New Roman" w:hAnsi="Times New Roman"/>
          <w:i/>
          <w:iCs/>
          <w:sz w:val="22"/>
        </w:rPr>
        <w:t>grounded metaphysically</w:t>
      </w:r>
      <w:r>
        <w:rPr>
          <w:rFonts w:ascii="Times New Roman" w:hAnsi="Times New Roman"/>
          <w:i/>
          <w:iCs/>
          <w:sz w:val="22"/>
        </w:rPr>
        <w:t>,</w:t>
      </w:r>
      <w:r w:rsidRPr="00EB1288">
        <w:rPr>
          <w:rFonts w:ascii="Times New Roman" w:hAnsi="Times New Roman"/>
          <w:sz w:val="22"/>
        </w:rPr>
        <w:t xml:space="preserve"> not merely epistemic grounds for mediate propositions</w:t>
      </w:r>
      <w:r>
        <w:rPr>
          <w:rFonts w:ascii="Times New Roman" w:hAnsi="Times New Roman"/>
          <w:sz w:val="22"/>
        </w:rPr>
        <w:t>.</w:t>
      </w:r>
      <w:r w:rsidRPr="00EB1288">
        <w:rPr>
          <w:rFonts w:ascii="Times New Roman" w:hAnsi="Times New Roman"/>
          <w:sz w:val="22"/>
        </w:rPr>
        <w:t xml:space="preserve"> </w:t>
      </w:r>
      <w:r>
        <w:rPr>
          <w:rFonts w:ascii="Times New Roman" w:hAnsi="Times New Roman"/>
          <w:sz w:val="22"/>
        </w:rPr>
        <w:t xml:space="preserve">He percieves a direct link between beliefs and the nature of the world, intertwining epistemology and metaphysics. </w:t>
      </w:r>
      <w:r w:rsidRPr="00EB1288">
        <w:rPr>
          <w:rFonts w:ascii="Times New Roman" w:hAnsi="Times New Roman"/>
          <w:b/>
          <w:bCs/>
          <w:sz w:val="22"/>
        </w:rPr>
        <w:t>Praeambula Fidei</w:t>
      </w:r>
      <w:r>
        <w:rPr>
          <w:rFonts w:ascii="Times New Roman" w:hAnsi="Times New Roman"/>
          <w:b/>
          <w:bCs/>
          <w:sz w:val="22"/>
        </w:rPr>
        <w:t xml:space="preserve">. </w:t>
      </w:r>
      <w:r>
        <w:rPr>
          <w:rFonts w:ascii="Times New Roman" w:hAnsi="Times New Roman"/>
          <w:sz w:val="22"/>
        </w:rPr>
        <w:t xml:space="preserve">The debate on whether philosophy grounds theology or vice versa is significant. Traditionally, philosophy </w:t>
      </w:r>
      <w:r w:rsidR="004133B0">
        <w:rPr>
          <w:rFonts w:ascii="Times New Roman" w:hAnsi="Times New Roman"/>
          <w:sz w:val="22"/>
        </w:rPr>
        <w:t xml:space="preserve">is seen </w:t>
      </w:r>
      <w:r>
        <w:rPr>
          <w:rFonts w:ascii="Times New Roman" w:hAnsi="Times New Roman"/>
          <w:sz w:val="22"/>
        </w:rPr>
        <w:t xml:space="preserve">as the </w:t>
      </w:r>
      <w:r w:rsidRPr="004133B0">
        <w:rPr>
          <w:rFonts w:ascii="Times New Roman" w:hAnsi="Times New Roman"/>
          <w:i/>
          <w:iCs/>
          <w:sz w:val="22"/>
        </w:rPr>
        <w:t>praeambul</w:t>
      </w:r>
      <w:r w:rsidR="004133B0" w:rsidRPr="004133B0">
        <w:rPr>
          <w:rFonts w:ascii="Times New Roman" w:hAnsi="Times New Roman"/>
          <w:i/>
          <w:iCs/>
          <w:sz w:val="22"/>
        </w:rPr>
        <w:t>um</w:t>
      </w:r>
      <w:r>
        <w:rPr>
          <w:rFonts w:ascii="Times New Roman" w:hAnsi="Times New Roman"/>
          <w:sz w:val="22"/>
        </w:rPr>
        <w:t xml:space="preserve"> of faith</w:t>
      </w:r>
      <w:r w:rsidR="004133B0">
        <w:rPr>
          <w:rFonts w:ascii="Times New Roman" w:hAnsi="Times New Roman"/>
          <w:sz w:val="22"/>
        </w:rPr>
        <w:t>, marking its autonomy</w:t>
      </w:r>
      <w:r>
        <w:rPr>
          <w:rFonts w:ascii="Times New Roman" w:hAnsi="Times New Roman"/>
          <w:sz w:val="22"/>
        </w:rPr>
        <w:t>. Some argue Aquinas's philosophy is theological, aligning philosophy with (biblical) revelation and making reason dependent on prior grace. This debate is crucial due to Aquinas's pure nature and natural reason, placing apologetics in the principle of reason. Aquinas's realism highlights foundationalism's propositional structure, with theology relying on natural reason (philosophy).</w:t>
      </w:r>
    </w:p>
    <w:p w:rsidR="00EB1288" w:rsidRDefault="00EB1288" w:rsidP="00EB1288">
      <w:pPr>
        <w:jc w:val="both"/>
        <w:rPr>
          <w:b/>
          <w:bCs/>
        </w:rPr>
      </w:pPr>
      <w:r w:rsidRPr="004133B0">
        <w:rPr>
          <w:rFonts w:ascii="Times New Roman" w:hAnsi="Times New Roman"/>
          <w:b/>
          <w:bCs/>
          <w:sz w:val="22"/>
        </w:rPr>
        <w:t>Critique</w:t>
      </w:r>
      <w:r w:rsidR="004133B0">
        <w:rPr>
          <w:rFonts w:ascii="Times New Roman" w:hAnsi="Times New Roman"/>
          <w:b/>
          <w:bCs/>
          <w:sz w:val="22"/>
        </w:rPr>
        <w:t>.</w:t>
      </w:r>
    </w:p>
    <w:p w:rsidR="00EB1288" w:rsidRDefault="00EB1288" w:rsidP="00EB1288">
      <w:pPr>
        <w:jc w:val="both"/>
      </w:pPr>
      <w:r w:rsidRPr="004133B0">
        <w:rPr>
          <w:rFonts w:ascii="Times New Roman" w:hAnsi="Times New Roman"/>
          <w:b/>
          <w:bCs/>
          <w:sz w:val="22"/>
        </w:rPr>
        <w:t>Reason and Revelation</w:t>
      </w:r>
      <w:r w:rsidR="004133B0">
        <w:rPr>
          <w:rFonts w:ascii="Times New Roman" w:hAnsi="Times New Roman"/>
          <w:b/>
          <w:bCs/>
          <w:sz w:val="22"/>
        </w:rPr>
        <w:t xml:space="preserve">. </w:t>
      </w:r>
      <w:r>
        <w:rPr>
          <w:rFonts w:ascii="Times New Roman" w:hAnsi="Times New Roman"/>
          <w:sz w:val="22"/>
        </w:rPr>
        <w:t xml:space="preserve">While reason has temporal priority, it is not a </w:t>
      </w:r>
      <w:r w:rsidRPr="004133B0">
        <w:rPr>
          <w:rFonts w:ascii="Times New Roman" w:hAnsi="Times New Roman"/>
          <w:i/>
          <w:iCs/>
          <w:sz w:val="22"/>
        </w:rPr>
        <w:t>principium</w:t>
      </w:r>
      <w:r>
        <w:rPr>
          <w:rFonts w:ascii="Times New Roman" w:hAnsi="Times New Roman"/>
          <w:sz w:val="22"/>
        </w:rPr>
        <w:t>; it serves as a tool. Aquinas, despite applying reason to Aristotle, overlooks sin's radical effect on the mind, failing to assess Acts 17 correctly. Revelation provides content for the tool of reason</w:t>
      </w:r>
      <w:r w:rsidR="004133B0">
        <w:rPr>
          <w:rFonts w:ascii="Times New Roman" w:hAnsi="Times New Roman"/>
          <w:sz w:val="22"/>
        </w:rPr>
        <w:t xml:space="preserve">. </w:t>
      </w:r>
      <w:r w:rsidRPr="004133B0">
        <w:rPr>
          <w:rFonts w:ascii="Times New Roman" w:hAnsi="Times New Roman"/>
          <w:b/>
          <w:bCs/>
          <w:sz w:val="22"/>
        </w:rPr>
        <w:t>The Light of Reason</w:t>
      </w:r>
      <w:r w:rsidR="004133B0">
        <w:rPr>
          <w:rFonts w:ascii="Times New Roman" w:hAnsi="Times New Roman"/>
          <w:b/>
          <w:bCs/>
          <w:sz w:val="22"/>
        </w:rPr>
        <w:t xml:space="preserve">. </w:t>
      </w:r>
      <w:r>
        <w:rPr>
          <w:rFonts w:ascii="Times New Roman" w:hAnsi="Times New Roman"/>
          <w:sz w:val="22"/>
        </w:rPr>
        <w:t>Drawing from John 1:9, Aquinas views 'light' as universal and incorporating participation in the Logos. Oliphint expands this, seeing 'light' as a revelational activity of the Logos, offering knowledge of God beyond natural reason.</w:t>
      </w:r>
      <w:r w:rsidR="004133B0">
        <w:rPr>
          <w:rFonts w:ascii="Times New Roman" w:hAnsi="Times New Roman"/>
          <w:sz w:val="22"/>
        </w:rPr>
        <w:t xml:space="preserve"> </w:t>
      </w:r>
      <w:r w:rsidRPr="004133B0">
        <w:rPr>
          <w:rFonts w:ascii="Times New Roman" w:hAnsi="Times New Roman"/>
          <w:b/>
          <w:bCs/>
          <w:sz w:val="22"/>
        </w:rPr>
        <w:t>The Problem of Self-Evidence</w:t>
      </w:r>
      <w:r w:rsidR="004133B0">
        <w:rPr>
          <w:rFonts w:ascii="Times New Roman" w:hAnsi="Times New Roman"/>
          <w:b/>
          <w:bCs/>
          <w:sz w:val="22"/>
        </w:rPr>
        <w:t xml:space="preserve">. </w:t>
      </w:r>
      <w:r>
        <w:rPr>
          <w:rFonts w:ascii="Times New Roman" w:hAnsi="Times New Roman"/>
          <w:sz w:val="22"/>
        </w:rPr>
        <w:t>Referencing John 1:9 and Romans 1:18-19, Oliphint argues for the true knowledge of God revealed but suppressed due to sin. This knowledge of God's existence involves relational, covenantal knowledge with ethical and moral implications, understood yet suppressed.</w:t>
      </w:r>
      <w:r w:rsidR="004133B0">
        <w:rPr>
          <w:rFonts w:ascii="Times New Roman" w:hAnsi="Times New Roman"/>
          <w:sz w:val="22"/>
        </w:rPr>
        <w:t xml:space="preserve"> </w:t>
      </w:r>
      <w:r w:rsidRPr="004133B0">
        <w:rPr>
          <w:rFonts w:ascii="Times New Roman" w:hAnsi="Times New Roman"/>
          <w:b/>
          <w:bCs/>
          <w:sz w:val="22"/>
        </w:rPr>
        <w:t>Epistemology and Metaphysics</w:t>
      </w:r>
      <w:r w:rsidR="004133B0">
        <w:rPr>
          <w:rFonts w:ascii="Times New Roman" w:hAnsi="Times New Roman"/>
          <w:b/>
          <w:bCs/>
          <w:sz w:val="22"/>
        </w:rPr>
        <w:t xml:space="preserve">. </w:t>
      </w:r>
      <w:r>
        <w:rPr>
          <w:rFonts w:ascii="Times New Roman" w:hAnsi="Times New Roman"/>
          <w:sz w:val="22"/>
        </w:rPr>
        <w:t>Oliphint aligns with the inseparable link between epistemology and metaphysics but highlights the sin-induced abnormality in acknowledging knowledge of God.</w:t>
      </w:r>
      <w:r w:rsidR="004133B0">
        <w:rPr>
          <w:rFonts w:ascii="Times New Roman" w:hAnsi="Times New Roman"/>
          <w:sz w:val="22"/>
        </w:rPr>
        <w:t xml:space="preserve"> </w:t>
      </w:r>
      <w:r w:rsidRPr="004133B0">
        <w:rPr>
          <w:rFonts w:ascii="Times New Roman" w:hAnsi="Times New Roman"/>
          <w:b/>
          <w:bCs/>
          <w:sz w:val="22"/>
        </w:rPr>
        <w:t>Praeambula Fidei</w:t>
      </w:r>
      <w:r w:rsidR="004133B0">
        <w:rPr>
          <w:rFonts w:ascii="Times New Roman" w:hAnsi="Times New Roman"/>
          <w:b/>
          <w:bCs/>
          <w:sz w:val="22"/>
        </w:rPr>
        <w:t xml:space="preserve">. </w:t>
      </w:r>
      <w:r>
        <w:rPr>
          <w:rFonts w:ascii="Times New Roman" w:hAnsi="Times New Roman"/>
          <w:sz w:val="22"/>
        </w:rPr>
        <w:t>Where Aquinas champions natural reason, Oliphint contends that post-fall, natural reason merely leads to idolatry.</w:t>
      </w:r>
    </w:p>
    <w:p w:rsidR="004133B0" w:rsidRDefault="004133B0" w:rsidP="00EB1288">
      <w:pPr>
        <w:jc w:val="both"/>
      </w:pPr>
    </w:p>
    <w:p w:rsidR="004133B0" w:rsidRPr="004133B0" w:rsidRDefault="004133B0" w:rsidP="004133B0">
      <w:pPr>
        <w:jc w:val="both"/>
        <w:rPr>
          <w:b/>
          <w:bCs/>
        </w:rPr>
      </w:pPr>
      <w:r w:rsidRPr="004133B0">
        <w:rPr>
          <w:rFonts w:ascii="Times New Roman" w:hAnsi="Times New Roman"/>
          <w:b/>
          <w:bCs/>
          <w:sz w:val="22"/>
        </w:rPr>
        <w:lastRenderedPageBreak/>
        <w:t>3. Foundation of Existence</w:t>
      </w:r>
      <w:r>
        <w:rPr>
          <w:rFonts w:ascii="Times New Roman" w:hAnsi="Times New Roman"/>
          <w:b/>
          <w:bCs/>
          <w:sz w:val="22"/>
        </w:rPr>
        <w:t>.</w:t>
      </w:r>
    </w:p>
    <w:p w:rsidR="004133B0" w:rsidRDefault="004133B0" w:rsidP="004133B0">
      <w:pPr>
        <w:jc w:val="both"/>
      </w:pPr>
      <w:r w:rsidRPr="004133B0">
        <w:rPr>
          <w:rFonts w:ascii="Times New Roman" w:hAnsi="Times New Roman"/>
          <w:b/>
          <w:bCs/>
          <w:i/>
          <w:iCs/>
          <w:sz w:val="22"/>
        </w:rPr>
        <w:t>Principium Essendi</w:t>
      </w:r>
      <w:r w:rsidRPr="004133B0">
        <w:rPr>
          <w:rFonts w:ascii="Times New Roman" w:hAnsi="Times New Roman"/>
          <w:b/>
          <w:bCs/>
          <w:sz w:val="22"/>
        </w:rPr>
        <w:t xml:space="preserve"> and Proofs of God's Existence.</w:t>
      </w:r>
      <w:r>
        <w:rPr>
          <w:rFonts w:ascii="Times New Roman" w:hAnsi="Times New Roman"/>
          <w:sz w:val="22"/>
        </w:rPr>
        <w:t xml:space="preserve"> Aquinas outlines the transition from </w:t>
      </w:r>
      <w:r w:rsidRPr="004133B0">
        <w:rPr>
          <w:rFonts w:ascii="Times New Roman" w:hAnsi="Times New Roman"/>
          <w:i/>
          <w:iCs/>
          <w:sz w:val="22"/>
        </w:rPr>
        <w:t>principium cognoscendi</w:t>
      </w:r>
      <w:r>
        <w:rPr>
          <w:rFonts w:ascii="Times New Roman" w:hAnsi="Times New Roman"/>
          <w:sz w:val="22"/>
        </w:rPr>
        <w:t xml:space="preserve">, the principle of knowledge, to </w:t>
      </w:r>
      <w:r w:rsidRPr="004133B0">
        <w:rPr>
          <w:rFonts w:ascii="Times New Roman" w:hAnsi="Times New Roman"/>
          <w:i/>
          <w:iCs/>
          <w:sz w:val="22"/>
        </w:rPr>
        <w:t>principium essendi</w:t>
      </w:r>
      <w:r>
        <w:rPr>
          <w:rFonts w:ascii="Times New Roman" w:hAnsi="Times New Roman"/>
          <w:sz w:val="22"/>
        </w:rPr>
        <w:t>, the principle of being, both rooted in existence itself. His five ways (</w:t>
      </w:r>
      <w:r w:rsidRPr="004133B0">
        <w:rPr>
          <w:rFonts w:ascii="Times New Roman" w:hAnsi="Times New Roman"/>
          <w:i/>
          <w:iCs/>
          <w:sz w:val="22"/>
        </w:rPr>
        <w:t>quinque viae</w:t>
      </w:r>
      <w:r>
        <w:rPr>
          <w:rFonts w:ascii="Times New Roman" w:hAnsi="Times New Roman"/>
          <w:sz w:val="22"/>
        </w:rPr>
        <w:t>) to demonstrate God's existence are:</w:t>
      </w:r>
    </w:p>
    <w:p w:rsidR="004133B0" w:rsidRPr="004133B0" w:rsidRDefault="004133B0" w:rsidP="004133B0">
      <w:pPr>
        <w:pStyle w:val="ListParagraph"/>
        <w:numPr>
          <w:ilvl w:val="0"/>
          <w:numId w:val="6"/>
        </w:numPr>
        <w:jc w:val="both"/>
      </w:pPr>
      <w:r w:rsidRPr="004133B0">
        <w:rPr>
          <w:rFonts w:ascii="Times New Roman" w:hAnsi="Times New Roman"/>
          <w:b/>
          <w:bCs/>
          <w:sz w:val="22"/>
        </w:rPr>
        <w:t>Motion or Change:</w:t>
      </w:r>
      <w:r w:rsidRPr="004133B0">
        <w:rPr>
          <w:rFonts w:ascii="Times New Roman" w:hAnsi="Times New Roman"/>
          <w:sz w:val="22"/>
        </w:rPr>
        <w:t xml:space="preserve"> Observes that moving things must be set in motion by other things, culminating in a first mover to avoid an infinite regress. This argument is philosophical rather than theological.</w:t>
      </w:r>
    </w:p>
    <w:p w:rsidR="004133B0" w:rsidRPr="004133B0" w:rsidRDefault="004133B0" w:rsidP="004133B0">
      <w:pPr>
        <w:pStyle w:val="ListParagraph"/>
        <w:numPr>
          <w:ilvl w:val="0"/>
          <w:numId w:val="6"/>
        </w:numPr>
        <w:jc w:val="both"/>
      </w:pPr>
      <w:r w:rsidRPr="004133B0">
        <w:rPr>
          <w:rFonts w:ascii="Times New Roman" w:hAnsi="Times New Roman"/>
          <w:b/>
          <w:bCs/>
          <w:sz w:val="22"/>
        </w:rPr>
        <w:t>Efficient Causality:</w:t>
      </w:r>
      <w:r w:rsidRPr="004133B0">
        <w:rPr>
          <w:rFonts w:ascii="Times New Roman" w:hAnsi="Times New Roman"/>
          <w:sz w:val="22"/>
        </w:rPr>
        <w:t xml:space="preserve"> Sensory observations reveal an order of causes, where nothing is the cause of itself, necessitating a first efficient cause.</w:t>
      </w:r>
    </w:p>
    <w:p w:rsidR="004133B0" w:rsidRPr="004133B0" w:rsidRDefault="004133B0" w:rsidP="004133B0">
      <w:pPr>
        <w:pStyle w:val="ListParagraph"/>
        <w:numPr>
          <w:ilvl w:val="0"/>
          <w:numId w:val="6"/>
        </w:numPr>
        <w:jc w:val="both"/>
      </w:pPr>
      <w:r w:rsidRPr="004133B0">
        <w:rPr>
          <w:rFonts w:ascii="Times New Roman" w:hAnsi="Times New Roman"/>
          <w:b/>
          <w:bCs/>
          <w:sz w:val="22"/>
        </w:rPr>
        <w:t xml:space="preserve">Necessity and Possibility: </w:t>
      </w:r>
      <w:r w:rsidRPr="004133B0">
        <w:rPr>
          <w:rFonts w:ascii="Times New Roman" w:hAnsi="Times New Roman"/>
          <w:sz w:val="22"/>
        </w:rPr>
        <w:t>The contingency of existence suggests that something must exist necessarily to bring contingent things into being.</w:t>
      </w:r>
    </w:p>
    <w:p w:rsidR="004133B0" w:rsidRPr="004133B0" w:rsidRDefault="004133B0" w:rsidP="004133B0">
      <w:pPr>
        <w:pStyle w:val="ListParagraph"/>
        <w:numPr>
          <w:ilvl w:val="0"/>
          <w:numId w:val="6"/>
        </w:numPr>
        <w:jc w:val="both"/>
      </w:pPr>
      <w:r w:rsidRPr="004133B0">
        <w:rPr>
          <w:rFonts w:ascii="Times New Roman" w:hAnsi="Times New Roman"/>
          <w:b/>
          <w:bCs/>
          <w:sz w:val="22"/>
        </w:rPr>
        <w:t>Gradation:</w:t>
      </w:r>
      <w:r w:rsidRPr="004133B0">
        <w:rPr>
          <w:rFonts w:ascii="Times New Roman" w:hAnsi="Times New Roman"/>
          <w:sz w:val="22"/>
        </w:rPr>
        <w:t xml:space="preserve"> There is a hierarchy of qualities or grades, implying the existence of a highest grade or perfection.</w:t>
      </w:r>
    </w:p>
    <w:p w:rsidR="004133B0" w:rsidRPr="004133B0" w:rsidRDefault="004133B0" w:rsidP="004133B0">
      <w:pPr>
        <w:pStyle w:val="ListParagraph"/>
        <w:numPr>
          <w:ilvl w:val="0"/>
          <w:numId w:val="6"/>
        </w:numPr>
        <w:jc w:val="both"/>
      </w:pPr>
      <w:r w:rsidRPr="004133B0">
        <w:rPr>
          <w:rFonts w:ascii="Times New Roman" w:hAnsi="Times New Roman"/>
          <w:b/>
          <w:bCs/>
          <w:sz w:val="22"/>
        </w:rPr>
        <w:t>Design/Providence/Teleological:</w:t>
      </w:r>
      <w:r w:rsidRPr="004133B0">
        <w:rPr>
          <w:rFonts w:ascii="Times New Roman" w:hAnsi="Times New Roman"/>
          <w:sz w:val="22"/>
        </w:rPr>
        <w:t xml:space="preserve"> Natural entities act towards ends, indicating an intelligent being directing them toward their purposes.</w:t>
      </w:r>
    </w:p>
    <w:p w:rsidR="004133B0" w:rsidRDefault="004133B0" w:rsidP="004133B0">
      <w:pPr>
        <w:jc w:val="both"/>
      </w:pPr>
      <w:r w:rsidRPr="004133B0">
        <w:rPr>
          <w:rFonts w:ascii="Times New Roman" w:hAnsi="Times New Roman"/>
          <w:b/>
          <w:bCs/>
          <w:sz w:val="22"/>
        </w:rPr>
        <w:t>Existence and Essence.</w:t>
      </w:r>
      <w:r>
        <w:rPr>
          <w:rFonts w:ascii="Times New Roman" w:hAnsi="Times New Roman"/>
          <w:sz w:val="22"/>
        </w:rPr>
        <w:t xml:space="preserve"> Aquinas posits that potentiality limits actuality, where essence is equated to potential existence. In his view, the analogy of proportionality, where God is good by essence and man by existence, applies to creatures but not to God. Instead, an analogy of intrinsic attribution, based on causal relationships, better characterizes God's essence as existence and pure act.</w:t>
      </w:r>
    </w:p>
    <w:p w:rsidR="004133B0" w:rsidRDefault="004133B0" w:rsidP="004133B0">
      <w:pPr>
        <w:jc w:val="both"/>
      </w:pPr>
      <w:r w:rsidRPr="004133B0">
        <w:rPr>
          <w:rFonts w:ascii="Times New Roman" w:hAnsi="Times New Roman"/>
          <w:b/>
          <w:bCs/>
          <w:sz w:val="22"/>
        </w:rPr>
        <w:t>Who God Is.</w:t>
      </w:r>
      <w:r>
        <w:rPr>
          <w:rFonts w:ascii="Times New Roman" w:hAnsi="Times New Roman"/>
          <w:sz w:val="22"/>
        </w:rPr>
        <w:t xml:space="preserve"> Aquinas describes God with distinct attributes:</w:t>
      </w:r>
    </w:p>
    <w:p w:rsidR="004133B0" w:rsidRDefault="004133B0" w:rsidP="004133B0">
      <w:pPr>
        <w:pStyle w:val="ListParagraph"/>
        <w:numPr>
          <w:ilvl w:val="0"/>
          <w:numId w:val="7"/>
        </w:numPr>
        <w:jc w:val="both"/>
      </w:pPr>
      <w:r>
        <w:rPr>
          <w:rFonts w:ascii="Times New Roman" w:hAnsi="Times New Roman"/>
          <w:sz w:val="22"/>
        </w:rPr>
        <w:t>God has no physical body.</w:t>
      </w:r>
    </w:p>
    <w:p w:rsidR="004133B0" w:rsidRDefault="004133B0" w:rsidP="004133B0">
      <w:pPr>
        <w:pStyle w:val="ListParagraph"/>
        <w:numPr>
          <w:ilvl w:val="0"/>
          <w:numId w:val="7"/>
        </w:numPr>
        <w:jc w:val="both"/>
      </w:pPr>
      <w:r>
        <w:rPr>
          <w:rFonts w:ascii="Times New Roman" w:hAnsi="Times New Roman"/>
          <w:sz w:val="22"/>
        </w:rPr>
        <w:t>God is not composed of matter or form.</w:t>
      </w:r>
    </w:p>
    <w:p w:rsidR="004133B0" w:rsidRDefault="004133B0" w:rsidP="004133B0">
      <w:pPr>
        <w:pStyle w:val="ListParagraph"/>
        <w:numPr>
          <w:ilvl w:val="0"/>
          <w:numId w:val="7"/>
        </w:numPr>
        <w:jc w:val="both"/>
      </w:pPr>
      <w:r>
        <w:rPr>
          <w:rFonts w:ascii="Times New Roman" w:hAnsi="Times New Roman"/>
          <w:sz w:val="22"/>
        </w:rPr>
        <w:t xml:space="preserve">There is no composition or </w:t>
      </w:r>
      <w:r>
        <w:rPr>
          <w:rFonts w:ascii="Times New Roman" w:hAnsi="Times New Roman"/>
          <w:i/>
          <w:iCs/>
          <w:sz w:val="22"/>
        </w:rPr>
        <w:t>whatness</w:t>
      </w:r>
      <w:r>
        <w:rPr>
          <w:rFonts w:ascii="Times New Roman" w:hAnsi="Times New Roman"/>
          <w:sz w:val="22"/>
        </w:rPr>
        <w:t xml:space="preserve"> (quidity?)</w:t>
      </w:r>
      <w:r w:rsidR="00F835C8">
        <w:rPr>
          <w:rFonts w:ascii="Times New Roman" w:hAnsi="Times New Roman"/>
          <w:sz w:val="22"/>
        </w:rPr>
        <w:t xml:space="preserve"> and subject.</w:t>
      </w:r>
    </w:p>
    <w:p w:rsidR="00F835C8" w:rsidRDefault="00F835C8" w:rsidP="004133B0">
      <w:pPr>
        <w:pStyle w:val="ListParagraph"/>
        <w:numPr>
          <w:ilvl w:val="0"/>
          <w:numId w:val="7"/>
        </w:numPr>
        <w:jc w:val="both"/>
      </w:pPr>
      <w:r>
        <w:rPr>
          <w:rFonts w:ascii="Times New Roman" w:hAnsi="Times New Roman"/>
          <w:sz w:val="22"/>
        </w:rPr>
        <w:t>God’s essence and existence are identical.</w:t>
      </w:r>
    </w:p>
    <w:p w:rsidR="00F835C8" w:rsidRDefault="00F835C8" w:rsidP="004133B0">
      <w:pPr>
        <w:pStyle w:val="ListParagraph"/>
        <w:numPr>
          <w:ilvl w:val="0"/>
          <w:numId w:val="7"/>
        </w:numPr>
        <w:jc w:val="both"/>
      </w:pPr>
      <w:r>
        <w:rPr>
          <w:rFonts w:ascii="Times New Roman" w:hAnsi="Times New Roman"/>
          <w:sz w:val="22"/>
        </w:rPr>
        <w:t xml:space="preserve">God is not composed of </w:t>
      </w:r>
      <w:r>
        <w:rPr>
          <w:rFonts w:ascii="Times New Roman" w:hAnsi="Times New Roman"/>
          <w:i/>
          <w:iCs/>
          <w:sz w:val="22"/>
        </w:rPr>
        <w:t>genus</w:t>
      </w:r>
      <w:r>
        <w:rPr>
          <w:rFonts w:ascii="Times New Roman" w:hAnsi="Times New Roman"/>
          <w:sz w:val="22"/>
        </w:rPr>
        <w:t xml:space="preserve"> or </w:t>
      </w:r>
      <w:r>
        <w:rPr>
          <w:rFonts w:ascii="Times New Roman" w:hAnsi="Times New Roman"/>
          <w:i/>
          <w:iCs/>
          <w:sz w:val="22"/>
        </w:rPr>
        <w:t>difference</w:t>
      </w:r>
      <w:r>
        <w:rPr>
          <w:rFonts w:ascii="Times New Roman" w:hAnsi="Times New Roman"/>
          <w:sz w:val="22"/>
        </w:rPr>
        <w:t xml:space="preserve">. </w:t>
      </w:r>
    </w:p>
    <w:p w:rsidR="00F835C8" w:rsidRDefault="00F835C8" w:rsidP="00F835C8">
      <w:pPr>
        <w:pStyle w:val="ListParagraph"/>
        <w:numPr>
          <w:ilvl w:val="0"/>
          <w:numId w:val="7"/>
        </w:numPr>
        <w:jc w:val="both"/>
      </w:pPr>
      <w:r>
        <w:rPr>
          <w:rFonts w:ascii="Times New Roman" w:hAnsi="Times New Roman"/>
          <w:sz w:val="22"/>
        </w:rPr>
        <w:t>God is not composed of subject and accident (God can’t have accidents, or would cease to be absolute, complete, and uncaused).</w:t>
      </w:r>
    </w:p>
    <w:p w:rsidR="00F835C8" w:rsidRDefault="004133B0" w:rsidP="004133B0">
      <w:pPr>
        <w:jc w:val="both"/>
      </w:pPr>
      <w:r>
        <w:rPr>
          <w:rFonts w:ascii="Times New Roman" w:hAnsi="Times New Roman"/>
          <w:sz w:val="22"/>
        </w:rPr>
        <w:t>These foundational perspectives highlight Aquinas's philosophical rigor in defining and defending the nature of divine existence.</w:t>
      </w:r>
    </w:p>
    <w:p w:rsidR="00F835C8" w:rsidRPr="00F835C8" w:rsidRDefault="00F835C8" w:rsidP="00F835C8">
      <w:pPr>
        <w:jc w:val="both"/>
        <w:rPr>
          <w:b/>
          <w:bCs/>
        </w:rPr>
      </w:pPr>
      <w:r w:rsidRPr="00F835C8">
        <w:rPr>
          <w:rFonts w:ascii="Times New Roman" w:hAnsi="Times New Roman"/>
          <w:b/>
          <w:bCs/>
          <w:sz w:val="22"/>
        </w:rPr>
        <w:t>Critique of Aquinas on the Proofs of God's Existence and God's Nature</w:t>
      </w:r>
      <w:r>
        <w:rPr>
          <w:rFonts w:ascii="Times New Roman" w:hAnsi="Times New Roman"/>
          <w:b/>
          <w:bCs/>
          <w:sz w:val="22"/>
        </w:rPr>
        <w:t>.</w:t>
      </w:r>
    </w:p>
    <w:p w:rsidR="00F835C8" w:rsidRDefault="00F835C8" w:rsidP="00F835C8">
      <w:pPr>
        <w:jc w:val="both"/>
      </w:pPr>
      <w:r w:rsidRPr="00F835C8">
        <w:rPr>
          <w:rFonts w:ascii="Times New Roman" w:hAnsi="Times New Roman"/>
          <w:b/>
          <w:bCs/>
          <w:sz w:val="22"/>
        </w:rPr>
        <w:t>Proofs of God's Existence.</w:t>
      </w:r>
      <w:r>
        <w:rPr>
          <w:rFonts w:ascii="Times New Roman" w:hAnsi="Times New Roman"/>
          <w:sz w:val="22"/>
        </w:rPr>
        <w:t xml:space="preserve"> Aquinas's reliance on natural reason and sensory observations for his cosmological arguments introduces specific challenges. The concepts of motion, causality, and necessity hinge on temporal causality, yet Aquinas perceives God as eternal, unbound by time. His conclusion that these arguments definitively point to God as understood by all is critiqued as a </w:t>
      </w:r>
      <w:r w:rsidRPr="00F835C8">
        <w:rPr>
          <w:rFonts w:ascii="Times New Roman" w:hAnsi="Times New Roman"/>
          <w:i/>
          <w:iCs/>
          <w:sz w:val="22"/>
        </w:rPr>
        <w:t>non sequitur</w:t>
      </w:r>
      <w:r>
        <w:rPr>
          <w:rFonts w:ascii="Times New Roman" w:hAnsi="Times New Roman"/>
          <w:sz w:val="22"/>
        </w:rPr>
        <w:t xml:space="preserve">. There are two main issues in these premises: 1) conceding the initial starting points to humanist perspectives and 2) engaging in question begging by assuming the conclusions within the premises. </w:t>
      </w:r>
      <w:r w:rsidRPr="00F835C8">
        <w:rPr>
          <w:rFonts w:ascii="Times New Roman" w:hAnsi="Times New Roman"/>
          <w:b/>
          <w:bCs/>
          <w:sz w:val="22"/>
        </w:rPr>
        <w:t>Who God Is.</w:t>
      </w:r>
      <w:r>
        <w:rPr>
          <w:rFonts w:ascii="Times New Roman" w:hAnsi="Times New Roman"/>
          <w:sz w:val="22"/>
        </w:rPr>
        <w:t xml:space="preserve"> The simplicity of God, as presented by Aquinas, cannot be fully derived from sense or rational reason, only by presupposing the Triune God. Plantinga argues that God has a nature rather than being equated with His properties, suggesting that if God were identical to His properties, He'd essentially be a single property, compromising His nature. This approach questions the necessity and control of God over eternal truths, which Aquinas claims are independent of God. </w:t>
      </w:r>
      <w:r w:rsidRPr="00F835C8">
        <w:rPr>
          <w:rFonts w:ascii="Times New Roman" w:hAnsi="Times New Roman"/>
          <w:b/>
          <w:bCs/>
          <w:sz w:val="22"/>
        </w:rPr>
        <w:t>Oliphint's Perspective.</w:t>
      </w:r>
      <w:r>
        <w:rPr>
          <w:rFonts w:ascii="Times New Roman" w:hAnsi="Times New Roman"/>
          <w:sz w:val="22"/>
        </w:rPr>
        <w:t xml:space="preserve"> Oliphint emphasizes the Trinity, highlighting distinctions within unity without composites. God's properties are both distinct and identical to Him, understood as </w:t>
      </w:r>
      <w:r w:rsidRPr="00F835C8">
        <w:rPr>
          <w:rFonts w:ascii="Times New Roman" w:hAnsi="Times New Roman"/>
          <w:i/>
          <w:iCs/>
          <w:sz w:val="22"/>
        </w:rPr>
        <w:t>modal rather than substantial</w:t>
      </w:r>
      <w:r>
        <w:rPr>
          <w:rFonts w:ascii="Times New Roman" w:hAnsi="Times New Roman"/>
          <w:sz w:val="22"/>
        </w:rPr>
        <w:t xml:space="preserve">. Before creation, necessity did not exist, emphasizing God's self-existence. He critiques assertions like mathematical truths existing before creation, noting God's control over propositions without suggesting their falsity. </w:t>
      </w:r>
      <w:r w:rsidRPr="00F835C8">
        <w:rPr>
          <w:rFonts w:ascii="Times New Roman" w:hAnsi="Times New Roman"/>
          <w:b/>
          <w:bCs/>
          <w:sz w:val="22"/>
        </w:rPr>
        <w:t>Challenges to Divine Attributes.</w:t>
      </w:r>
      <w:r>
        <w:rPr>
          <w:rFonts w:ascii="Times New Roman" w:hAnsi="Times New Roman"/>
          <w:sz w:val="22"/>
        </w:rPr>
        <w:t xml:space="preserve"> Aquinas's views on God's simplicity and freedom face critique. The notion of God having intrinsic accidental properties conflicts with immutability, as accidents change with time, not possible worlds. God is bound by conditional necessity and His decisions, yet Stump contends that such characteristics, extrinsic to God's will, do not affect His simple nature. Critiques question how a simple God acts without losing simplicity. Oliphint’s concept of the ontological Trinity suggests God remains one, but acts according to each person's unique role within the Trinity, transcending the limitations of traditional metaphysical distinctions. </w:t>
      </w:r>
      <w:r w:rsidRPr="00F835C8">
        <w:rPr>
          <w:rFonts w:ascii="Times New Roman" w:hAnsi="Times New Roman"/>
          <w:b/>
          <w:bCs/>
          <w:sz w:val="22"/>
        </w:rPr>
        <w:t xml:space="preserve">God's </w:t>
      </w:r>
      <w:r w:rsidRPr="00F835C8">
        <w:rPr>
          <w:rFonts w:ascii="Times New Roman" w:hAnsi="Times New Roman"/>
          <w:b/>
          <w:bCs/>
          <w:sz w:val="22"/>
        </w:rPr>
        <w:lastRenderedPageBreak/>
        <w:t>Responsiveness in Creation.</w:t>
      </w:r>
      <w:r>
        <w:rPr>
          <w:rFonts w:ascii="Times New Roman" w:hAnsi="Times New Roman"/>
          <w:sz w:val="22"/>
        </w:rPr>
        <w:t xml:space="preserve"> God's condescension and engagement with creation are seen primarily through the incarnation, where the person, not the essence, takes on human nature. This highlights the covenant and God's expressed interaction with creation via the Trinity. Aquinas’s </w:t>
      </w:r>
      <w:r w:rsidRPr="00F835C8">
        <w:rPr>
          <w:rFonts w:ascii="Times New Roman" w:hAnsi="Times New Roman"/>
          <w:i/>
          <w:iCs/>
          <w:sz w:val="22"/>
        </w:rPr>
        <w:t>principium</w:t>
      </w:r>
      <w:r>
        <w:rPr>
          <w:rFonts w:ascii="Times New Roman" w:hAnsi="Times New Roman"/>
          <w:sz w:val="22"/>
        </w:rPr>
        <w:t xml:space="preserve"> of natural reason is seen as inadequate for addressing the complexities inherent in divine responsiveness and the covenantal relationship.</w:t>
      </w:r>
    </w:p>
    <w:p w:rsidR="00F835C8" w:rsidRDefault="00F835C8" w:rsidP="00F835C8">
      <w:pPr>
        <w:jc w:val="both"/>
      </w:pPr>
    </w:p>
    <w:p w:rsidR="00F835C8" w:rsidRPr="00F835C8" w:rsidRDefault="00F835C8" w:rsidP="00F835C8">
      <w:pPr>
        <w:jc w:val="both"/>
        <w:rPr>
          <w:b/>
          <w:bCs/>
        </w:rPr>
      </w:pPr>
      <w:r w:rsidRPr="00F835C8">
        <w:rPr>
          <w:rFonts w:ascii="Times New Roman" w:hAnsi="Times New Roman"/>
          <w:b/>
          <w:bCs/>
          <w:sz w:val="22"/>
        </w:rPr>
        <w:t>4. Conclusion</w:t>
      </w:r>
      <w:r>
        <w:rPr>
          <w:rFonts w:ascii="Times New Roman" w:hAnsi="Times New Roman"/>
          <w:b/>
          <w:bCs/>
          <w:sz w:val="22"/>
        </w:rPr>
        <w:t>.</w:t>
      </w:r>
    </w:p>
    <w:p w:rsidR="00F835C8" w:rsidRPr="004133B0" w:rsidRDefault="00F835C8" w:rsidP="00F835C8">
      <w:pPr>
        <w:jc w:val="both"/>
      </w:pPr>
      <w:r w:rsidRPr="00F835C8">
        <w:rPr>
          <w:rFonts w:ascii="Times New Roman" w:hAnsi="Times New Roman"/>
          <w:b/>
          <w:bCs/>
          <w:sz w:val="22"/>
        </w:rPr>
        <w:t>Thomas Aquinas’s Commitment to Natural Reason.</w:t>
      </w:r>
      <w:r>
        <w:rPr>
          <w:rFonts w:ascii="Times New Roman" w:hAnsi="Times New Roman"/>
          <w:sz w:val="22"/>
        </w:rPr>
        <w:t xml:space="preserve"> Aquinas maintains a strong commitment to natural reason and its role as the </w:t>
      </w:r>
      <w:r w:rsidRPr="00F835C8">
        <w:rPr>
          <w:rFonts w:ascii="Times New Roman" w:hAnsi="Times New Roman"/>
          <w:i/>
          <w:iCs/>
          <w:sz w:val="22"/>
        </w:rPr>
        <w:t>praeambula fidei</w:t>
      </w:r>
      <w:r>
        <w:rPr>
          <w:rFonts w:ascii="Times New Roman" w:hAnsi="Times New Roman"/>
          <w:sz w:val="22"/>
        </w:rPr>
        <w:t xml:space="preserve">, or the "preparation for faith." While debates persist about the extent of this commitment, it is evident that Aquinas upholds the neutrality of reason within his philosophical framework. </w:t>
      </w:r>
      <w:r w:rsidRPr="00F835C8">
        <w:rPr>
          <w:rFonts w:ascii="Times New Roman" w:hAnsi="Times New Roman"/>
          <w:b/>
          <w:bCs/>
          <w:sz w:val="22"/>
        </w:rPr>
        <w:t>Exegesis Challenges.</w:t>
      </w:r>
      <w:r>
        <w:rPr>
          <w:rFonts w:ascii="Times New Roman" w:hAnsi="Times New Roman"/>
          <w:sz w:val="22"/>
        </w:rPr>
        <w:t xml:space="preserve"> The core disagreements often revolve around the interpretation of biblical passages like John 1 and Romans 1, where concepts of 'the light' and 'the truth' are analyzed. These interpretations are often informed by philosophical considerations rather than strict exegetical approaches, leading to tension between theological and philosophical underpinnings in Aquinas’s work. </w:t>
      </w:r>
      <w:r w:rsidRPr="00F835C8">
        <w:rPr>
          <w:rFonts w:ascii="Times New Roman" w:hAnsi="Times New Roman"/>
          <w:b/>
          <w:bCs/>
          <w:sz w:val="22"/>
        </w:rPr>
        <w:t>Starting with Scripture.</w:t>
      </w:r>
      <w:r>
        <w:rPr>
          <w:rFonts w:ascii="Times New Roman" w:hAnsi="Times New Roman"/>
          <w:sz w:val="22"/>
        </w:rPr>
        <w:t xml:space="preserve"> Oliphint suggests that even the </w:t>
      </w:r>
      <w:r w:rsidRPr="00F835C8">
        <w:rPr>
          <w:rFonts w:ascii="Times New Roman" w:hAnsi="Times New Roman"/>
          <w:i/>
          <w:iCs/>
          <w:sz w:val="22"/>
        </w:rPr>
        <w:t>principium cognoscendi</w:t>
      </w:r>
      <w:r>
        <w:rPr>
          <w:rFonts w:ascii="Times New Roman" w:hAnsi="Times New Roman"/>
          <w:sz w:val="22"/>
        </w:rPr>
        <w:t xml:space="preserve">, the principle of knowing, should have its foundation in Scripture, rather than philosophy. Aquinas's reliance on natural reason is critiqued for its inability to fully account for the divine categories necessary to predicate God, highlighting limitations in his framework. </w:t>
      </w:r>
      <w:r w:rsidRPr="00F835C8">
        <w:rPr>
          <w:rFonts w:ascii="Times New Roman" w:hAnsi="Times New Roman"/>
          <w:b/>
          <w:bCs/>
          <w:sz w:val="22"/>
        </w:rPr>
        <w:t>Incompatibility of Principia.</w:t>
      </w:r>
      <w:r>
        <w:rPr>
          <w:rFonts w:ascii="Times New Roman" w:hAnsi="Times New Roman"/>
          <w:sz w:val="22"/>
        </w:rPr>
        <w:t xml:space="preserve"> The inherent tension between Aquinas's use of natural reason and the foundational starting point of Scripture suggests two incompatible </w:t>
      </w:r>
      <w:r w:rsidRPr="00F835C8">
        <w:rPr>
          <w:rFonts w:ascii="Times New Roman" w:hAnsi="Times New Roman"/>
          <w:i/>
          <w:iCs/>
          <w:sz w:val="22"/>
        </w:rPr>
        <w:t>principia</w:t>
      </w:r>
      <w:r>
        <w:rPr>
          <w:rFonts w:ascii="Times New Roman" w:hAnsi="Times New Roman"/>
          <w:sz w:val="22"/>
        </w:rPr>
        <w:t xml:space="preserve"> within his system. This incongruity underscores the need for a more integrated approach that aligns philosophical inquiry with theological revelation.</w:t>
      </w:r>
    </w:p>
    <w:sectPr w:rsidR="00F835C8" w:rsidRPr="004133B0">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D27A2" w:rsidRDefault="00CD27A2" w:rsidP="00F835C8">
      <w:r>
        <w:separator/>
      </w:r>
    </w:p>
  </w:endnote>
  <w:endnote w:type="continuationSeparator" w:id="0">
    <w:p w:rsidR="00CD27A2" w:rsidRDefault="00CD27A2" w:rsidP="00F835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OliKS</w:t>
      <w:tab/>
    </w:r>
    <w:r>
      <w:rPr>
        <w:rFonts w:ascii="Times New Roman" w:hAnsi="Times New Roman"/>
        <w:sz w:val="22"/>
      </w:rPr>
      <w:fldSimple w:instr="PAGE \* MERGEFORMA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D27A2" w:rsidRDefault="00CD27A2" w:rsidP="00F835C8">
      <w:r>
        <w:separator/>
      </w:r>
    </w:p>
  </w:footnote>
  <w:footnote w:type="continuationSeparator" w:id="0">
    <w:p w:rsidR="00CD27A2" w:rsidRDefault="00CD27A2" w:rsidP="00F835C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Thomas Aquinas (Great Thinkers)</w:t>
      <w:tab/>
      <w: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3E3FEF"/>
    <w:multiLevelType w:val="hybridMultilevel"/>
    <w:tmpl w:val="478A0B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FC5092"/>
    <w:multiLevelType w:val="hybridMultilevel"/>
    <w:tmpl w:val="C396FA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7500CD"/>
    <w:multiLevelType w:val="hybridMultilevel"/>
    <w:tmpl w:val="907ED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DA0E60"/>
    <w:multiLevelType w:val="hybridMultilevel"/>
    <w:tmpl w:val="33406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BD25A4"/>
    <w:multiLevelType w:val="hybridMultilevel"/>
    <w:tmpl w:val="0DBC3D30"/>
    <w:lvl w:ilvl="0" w:tplc="A7AAB41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EB427D"/>
    <w:multiLevelType w:val="hybridMultilevel"/>
    <w:tmpl w:val="D4DE0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E13E26"/>
    <w:multiLevelType w:val="hybridMultilevel"/>
    <w:tmpl w:val="FBDA99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5277154">
    <w:abstractNumId w:val="3"/>
  </w:num>
  <w:num w:numId="2" w16cid:durableId="1660963860">
    <w:abstractNumId w:val="1"/>
  </w:num>
  <w:num w:numId="3" w16cid:durableId="57480795">
    <w:abstractNumId w:val="5"/>
  </w:num>
  <w:num w:numId="4" w16cid:durableId="2250538">
    <w:abstractNumId w:val="0"/>
  </w:num>
  <w:num w:numId="5" w16cid:durableId="1895238401">
    <w:abstractNumId w:val="6"/>
  </w:num>
  <w:num w:numId="6" w16cid:durableId="2051880970">
    <w:abstractNumId w:val="4"/>
  </w:num>
  <w:num w:numId="7" w16cid:durableId="141428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288"/>
    <w:rsid w:val="00175D94"/>
    <w:rsid w:val="00282F99"/>
    <w:rsid w:val="004133B0"/>
    <w:rsid w:val="005C4E85"/>
    <w:rsid w:val="006F4C19"/>
    <w:rsid w:val="00A57F40"/>
    <w:rsid w:val="00AA008D"/>
    <w:rsid w:val="00CD27A2"/>
    <w:rsid w:val="00DE2625"/>
    <w:rsid w:val="00EB1288"/>
    <w:rsid w:val="00F83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F1B1C3"/>
  <w15:chartTrackingRefBased/>
  <w15:docId w15:val="{EC8462CD-CF00-0643-AF92-FBFB12430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1288"/>
    <w:pPr>
      <w:ind w:left="720"/>
      <w:contextualSpacing/>
    </w:pPr>
  </w:style>
  <w:style w:type="paragraph" w:styleId="Header">
    <w:name w:val="header"/>
    <w:basedOn w:val="Normal"/>
    <w:link w:val="HeaderChar"/>
    <w:uiPriority w:val="99"/>
    <w:unhideWhenUsed/>
    <w:rsid w:val="00F835C8"/>
    <w:pPr>
      <w:tabs>
        <w:tab w:val="center" w:pos="4680"/>
        <w:tab w:val="right" w:pos="9360"/>
      </w:tabs>
    </w:pPr>
  </w:style>
  <w:style w:type="character" w:customStyle="1" w:styleId="HeaderChar">
    <w:name w:val="Header Char"/>
    <w:basedOn w:val="DefaultParagraphFont"/>
    <w:link w:val="Header"/>
    <w:uiPriority w:val="99"/>
    <w:rsid w:val="00F835C8"/>
    <w:rPr>
      <w:rFonts w:ascii="Times New Roman" w:hAnsi="Times New Roman"/>
      <w:noProof/>
      <w:sz w:val="22"/>
    </w:rPr>
  </w:style>
  <w:style w:type="paragraph" w:styleId="Footer">
    <w:name w:val="footer"/>
    <w:basedOn w:val="Normal"/>
    <w:link w:val="FooterChar"/>
    <w:uiPriority w:val="99"/>
    <w:unhideWhenUsed/>
    <w:rsid w:val="00F835C8"/>
    <w:pPr>
      <w:tabs>
        <w:tab w:val="center" w:pos="4680"/>
        <w:tab w:val="right" w:pos="9360"/>
      </w:tabs>
    </w:pPr>
  </w:style>
  <w:style w:type="character" w:customStyle="1" w:styleId="FooterChar">
    <w:name w:val="Footer Char"/>
    <w:basedOn w:val="DefaultParagraphFont"/>
    <w:link w:val="Footer"/>
    <w:uiPriority w:val="99"/>
    <w:rsid w:val="00F835C8"/>
    <w:rPr>
      <w:rFonts w:ascii="Times New Roman" w:hAnsi="Times New Roman"/>
      <w:noProo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1575</Words>
  <Characters>8982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3</cp:revision>
  <dcterms:created xsi:type="dcterms:W3CDTF">2024-11-15T21:19:00Z</dcterms:created>
  <dcterms:modified xsi:type="dcterms:W3CDTF">2024-11-15T22:11:00Z</dcterms:modified>
</cp:coreProperties>
</file>