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Default="00E80C86" w:rsidP="00E80C86">
      <w:pPr>
        <w:jc w:val="both"/>
        <w:rPr>
          <w:b/>
          <w:bCs/>
        </w:rPr>
      </w:pPr>
      <w:r w:rsidRPr="00E80C86">
        <w:rPr>
          <w:rFonts w:ascii="Times New Roman" w:hAnsi="Times New Roman"/>
          <w:b/>
          <w:bCs/>
          <w:sz w:val="22"/>
        </w:rPr>
        <w:t xml:space="preserve">Chapters 3 – 5 of </w:t>
      </w:r>
      <w:r w:rsidRPr="00E80C86">
        <w:rPr>
          <w:rFonts w:ascii="Times New Roman" w:hAnsi="Times New Roman"/>
          <w:b/>
          <w:bCs/>
          <w:i/>
          <w:iCs/>
          <w:sz w:val="22"/>
        </w:rPr>
        <w:t>Gustavo Gutierez: An Introduction to Liberation Theology</w:t>
      </w:r>
      <w:r w:rsidRPr="00E80C86">
        <w:rPr>
          <w:rFonts w:ascii="Times New Roman" w:hAnsi="Times New Roman"/>
          <w:b/>
          <w:bCs/>
          <w:sz w:val="22"/>
        </w:rPr>
        <w:t xml:space="preserve"> – R. M. Brown</w:t>
      </w:r>
      <w:r>
        <w:rPr>
          <w:rFonts w:ascii="Times New Roman" w:hAnsi="Times New Roman"/>
          <w:b/>
          <w:bCs/>
          <w:sz w:val="22"/>
        </w:rPr>
        <w:t>.</w:t>
      </w:r>
    </w:p>
    <w:p w:rsidR="00E80C86" w:rsidRPr="00E80C86" w:rsidRDefault="00E80C86" w:rsidP="00E80C86">
      <w:pPr>
        <w:jc w:val="both"/>
        <w:rPr>
          <w:b/>
          <w:bCs/>
        </w:rPr>
      </w:pPr>
      <w:r w:rsidRPr="00E80C86">
        <w:rPr>
          <w:rFonts w:ascii="Times New Roman" w:hAnsi="Times New Roman"/>
          <w:b/>
          <w:bCs/>
          <w:sz w:val="22"/>
        </w:rPr>
        <w:t>Chapter 3: Act One: Commitment to the Poor (Praxis)</w:t>
      </w:r>
      <w:r>
        <w:rPr>
          <w:rFonts w:ascii="Times New Roman" w:hAnsi="Times New Roman"/>
          <w:b/>
          <w:bCs/>
          <w:sz w:val="22"/>
        </w:rPr>
        <w:t>.</w:t>
      </w:r>
    </w:p>
    <w:p w:rsidR="00E80C86" w:rsidRDefault="00E80C86" w:rsidP="00E80C86">
      <w:pPr>
        <w:jc w:val="both"/>
      </w:pPr>
      <w:r w:rsidRPr="00E80C86">
        <w:rPr>
          <w:rFonts w:ascii="Times New Roman" w:hAnsi="Times New Roman"/>
          <w:b/>
          <w:bCs/>
          <w:sz w:val="22"/>
        </w:rPr>
        <w:t>Engagement and Identification with the Poor</w:t>
      </w:r>
      <w:r>
        <w:rPr>
          <w:rFonts w:ascii="Times New Roman" w:hAnsi="Times New Roman"/>
          <w:b/>
          <w:bCs/>
          <w:sz w:val="22"/>
        </w:rPr>
        <w:t xml:space="preserve">. </w:t>
      </w:r>
      <w:r w:rsidRPr="00E80C86">
        <w:rPr>
          <w:rFonts w:ascii="Times New Roman" w:hAnsi="Times New Roman"/>
          <w:sz w:val="22"/>
        </w:rPr>
        <w:t>The first act in liberation theology emphasizes engaging with and identifying with the poor. This foundational step leads to the development of theological perspectives.</w:t>
      </w:r>
      <w:r w:rsidRPr="00E80C86">
        <w:rPr>
          <w:rFonts w:ascii="Times New Roman" w:hAnsi="Times New Roman"/>
          <w:i/>
          <w:iCs/>
          <w:sz w:val="22"/>
        </w:rPr>
        <w:t xml:space="preserve"> Popular religion</w:t>
      </w:r>
      <w:r w:rsidRPr="00E80C86">
        <w:rPr>
          <w:rFonts w:ascii="Times New Roman" w:hAnsi="Times New Roman"/>
          <w:sz w:val="22"/>
        </w:rPr>
        <w:t xml:space="preserve"> provides insight into the lives of the poor through their reliance on miracles, fiestas, and patron saints, which foster hope, community, and historical continuity.</w:t>
      </w:r>
      <w:r>
        <w:rPr>
          <w:rFonts w:ascii="Times New Roman" w:hAnsi="Times New Roman"/>
          <w:sz w:val="22"/>
        </w:rPr>
        <w:t xml:space="preserve"> </w:t>
      </w:r>
      <w:r w:rsidRPr="00E80C86">
        <w:rPr>
          <w:rFonts w:ascii="Times New Roman" w:hAnsi="Times New Roman"/>
          <w:b/>
          <w:bCs/>
          <w:sz w:val="22"/>
        </w:rPr>
        <w:t>Understanding Poverty</w:t>
      </w:r>
      <w:r>
        <w:rPr>
          <w:rFonts w:ascii="Times New Roman" w:hAnsi="Times New Roman"/>
          <w:b/>
          <w:bCs/>
          <w:sz w:val="22"/>
        </w:rPr>
        <w:t xml:space="preserve">. </w:t>
      </w:r>
      <w:r w:rsidRPr="00E80C86">
        <w:rPr>
          <w:rFonts w:ascii="Times New Roman" w:hAnsi="Times New Roman"/>
          <w:sz w:val="22"/>
        </w:rPr>
        <w:t>Poverty is viewed in multiple dimensions</w:t>
      </w:r>
      <w:r>
        <w:rPr>
          <w:rFonts w:ascii="Times New Roman" w:hAnsi="Times New Roman"/>
          <w:sz w:val="22"/>
        </w:rPr>
        <w:t>: 1)</w:t>
      </w:r>
      <w:r w:rsidRPr="00E80C86">
        <w:rPr>
          <w:rFonts w:ascii="Times New Roman" w:hAnsi="Times New Roman"/>
          <w:sz w:val="22"/>
        </w:rPr>
        <w:t xml:space="preserve"> </w:t>
      </w:r>
      <w:r>
        <w:rPr>
          <w:rFonts w:ascii="Times New Roman" w:hAnsi="Times New Roman"/>
          <w:sz w:val="22"/>
        </w:rPr>
        <w:t>m</w:t>
      </w:r>
      <w:r w:rsidRPr="00E80C86">
        <w:rPr>
          <w:rFonts w:ascii="Times New Roman" w:hAnsi="Times New Roman"/>
          <w:sz w:val="22"/>
        </w:rPr>
        <w:t>aterial poverty refers to the inability to support oneself or one's family financially</w:t>
      </w:r>
      <w:r>
        <w:rPr>
          <w:rFonts w:ascii="Times New Roman" w:hAnsi="Times New Roman"/>
          <w:sz w:val="22"/>
        </w:rPr>
        <w:t>; 2)</w:t>
      </w:r>
      <w:r w:rsidRPr="00E80C86">
        <w:rPr>
          <w:rFonts w:ascii="Times New Roman" w:hAnsi="Times New Roman"/>
          <w:sz w:val="22"/>
        </w:rPr>
        <w:t xml:space="preserve"> </w:t>
      </w:r>
      <w:r>
        <w:rPr>
          <w:rFonts w:ascii="Times New Roman" w:hAnsi="Times New Roman"/>
          <w:sz w:val="22"/>
        </w:rPr>
        <w:t>s</w:t>
      </w:r>
      <w:r w:rsidRPr="00E80C86">
        <w:rPr>
          <w:rFonts w:ascii="Times New Roman" w:hAnsi="Times New Roman"/>
          <w:sz w:val="22"/>
        </w:rPr>
        <w:t>piritual poverty involves a deep trust and dependence on Christ, reducing attachment to worldly goods</w:t>
      </w:r>
      <w:r>
        <w:rPr>
          <w:rFonts w:ascii="Times New Roman" w:hAnsi="Times New Roman"/>
          <w:sz w:val="22"/>
        </w:rPr>
        <w:t>; and 3)</w:t>
      </w:r>
      <w:r w:rsidRPr="00E80C86">
        <w:rPr>
          <w:rFonts w:ascii="Times New Roman" w:hAnsi="Times New Roman"/>
          <w:sz w:val="22"/>
        </w:rPr>
        <w:t xml:space="preserve"> Biblical poverty combines these aspects, highlighting solidarity with the poor and a protest against injustice.</w:t>
      </w:r>
      <w:r>
        <w:rPr>
          <w:rFonts w:ascii="Times New Roman" w:hAnsi="Times New Roman"/>
          <w:sz w:val="22"/>
        </w:rPr>
        <w:t xml:space="preserve"> </w:t>
      </w:r>
      <w:r w:rsidRPr="00E80C86">
        <w:rPr>
          <w:rFonts w:ascii="Times New Roman" w:hAnsi="Times New Roman"/>
          <w:b/>
          <w:bCs/>
          <w:sz w:val="22"/>
        </w:rPr>
        <w:t>Preferential Option for the Poor</w:t>
      </w:r>
      <w:r>
        <w:rPr>
          <w:rFonts w:ascii="Times New Roman" w:hAnsi="Times New Roman"/>
          <w:b/>
          <w:bCs/>
          <w:sz w:val="22"/>
        </w:rPr>
        <w:t xml:space="preserve">. </w:t>
      </w:r>
      <w:r w:rsidRPr="00E80C86">
        <w:rPr>
          <w:rFonts w:ascii="Times New Roman" w:hAnsi="Times New Roman"/>
          <w:sz w:val="22"/>
        </w:rPr>
        <w:t>A central theme is the commitment to prioritize the needs and rights of the poor. This approach critiques the notion of "development" as a false remedy, arguing that reformist capitalism only benefits the oligarchy and leaves the poor unchanged.</w:t>
      </w:r>
      <w:r>
        <w:rPr>
          <w:rFonts w:ascii="Times New Roman" w:hAnsi="Times New Roman"/>
          <w:sz w:val="22"/>
        </w:rPr>
        <w:t xml:space="preserve"> </w:t>
      </w:r>
      <w:r w:rsidRPr="00E80C86">
        <w:rPr>
          <w:rFonts w:ascii="Times New Roman" w:hAnsi="Times New Roman"/>
          <w:b/>
          <w:bCs/>
          <w:sz w:val="22"/>
        </w:rPr>
        <w:t>Critique of Development</w:t>
      </w:r>
      <w:r>
        <w:rPr>
          <w:rFonts w:ascii="Times New Roman" w:hAnsi="Times New Roman"/>
          <w:b/>
          <w:bCs/>
          <w:sz w:val="22"/>
        </w:rPr>
        <w:t xml:space="preserve">. </w:t>
      </w:r>
      <w:r w:rsidRPr="00E80C86">
        <w:rPr>
          <w:rFonts w:ascii="Times New Roman" w:hAnsi="Times New Roman"/>
          <w:sz w:val="22"/>
        </w:rPr>
        <w:t>The flaws in the concept of development include tokenism, exploitative practices, and paternalism. Instead of imposing superficial changes, the focus should be on subverting unjust structures.</w:t>
      </w:r>
      <w:r>
        <w:rPr>
          <w:rFonts w:ascii="Times New Roman" w:hAnsi="Times New Roman"/>
          <w:sz w:val="22"/>
        </w:rPr>
        <w:t xml:space="preserve"> </w:t>
      </w:r>
      <w:r w:rsidRPr="00E80C86">
        <w:rPr>
          <w:rFonts w:ascii="Times New Roman" w:hAnsi="Times New Roman"/>
          <w:b/>
          <w:bCs/>
          <w:sz w:val="22"/>
        </w:rPr>
        <w:t>Importance of Praxis</w:t>
      </w:r>
      <w:r>
        <w:rPr>
          <w:rFonts w:ascii="Times New Roman" w:hAnsi="Times New Roman"/>
          <w:b/>
          <w:bCs/>
          <w:sz w:val="22"/>
        </w:rPr>
        <w:t xml:space="preserve">. </w:t>
      </w:r>
      <w:r w:rsidRPr="00E80C86">
        <w:rPr>
          <w:rFonts w:ascii="Times New Roman" w:hAnsi="Times New Roman"/>
          <w:sz w:val="22"/>
        </w:rPr>
        <w:t>Praxis involves the integration of action and reflection. It pushes for change rather than mere supervision, aligning with Marx's idea that the goal is not just to interpret the world but to change it.</w:t>
      </w:r>
    </w:p>
    <w:p w:rsidR="00E80C86" w:rsidRDefault="00E80C86" w:rsidP="00E80C86">
      <w:pPr>
        <w:jc w:val="both"/>
      </w:pPr>
    </w:p>
    <w:p w:rsidR="00E80C86" w:rsidRPr="00E80C86" w:rsidRDefault="00E80C86" w:rsidP="00E80C86">
      <w:pPr>
        <w:jc w:val="both"/>
        <w:rPr>
          <w:b/>
          <w:bCs/>
        </w:rPr>
      </w:pPr>
      <w:r w:rsidRPr="00E80C86">
        <w:rPr>
          <w:rFonts w:ascii="Times New Roman" w:hAnsi="Times New Roman"/>
          <w:b/>
          <w:bCs/>
          <w:sz w:val="22"/>
        </w:rPr>
        <w:t>Chapter 4: Act Two, Scene One: Theology as Critical Reflection on Praxis (Method)</w:t>
      </w:r>
      <w:r>
        <w:rPr>
          <w:rFonts w:ascii="Times New Roman" w:hAnsi="Times New Roman"/>
          <w:b/>
          <w:bCs/>
          <w:sz w:val="22"/>
        </w:rPr>
        <w:t>.</w:t>
      </w:r>
    </w:p>
    <w:p w:rsidR="00E80C86" w:rsidRDefault="00E80C86" w:rsidP="00E80C86">
      <w:pPr>
        <w:jc w:val="both"/>
        <w:rPr>
          <w:b/>
          <w:bCs/>
        </w:rPr>
      </w:pPr>
      <w:r w:rsidRPr="00E80C86">
        <w:rPr>
          <w:rFonts w:ascii="Times New Roman" w:hAnsi="Times New Roman"/>
          <w:b/>
          <w:bCs/>
          <w:sz w:val="22"/>
        </w:rPr>
        <w:t>The Second Reflection</w:t>
      </w:r>
      <w:r>
        <w:rPr>
          <w:rFonts w:ascii="Times New Roman" w:hAnsi="Times New Roman"/>
          <w:b/>
          <w:bCs/>
          <w:sz w:val="22"/>
        </w:rPr>
        <w:t xml:space="preserve">. </w:t>
      </w:r>
      <w:r>
        <w:rPr>
          <w:rFonts w:ascii="Times New Roman" w:hAnsi="Times New Roman"/>
          <w:sz w:val="22"/>
        </w:rPr>
        <w:t xml:space="preserve">The second act in liberation theology focuses on theology as a critical reflection on praxis. This method involves a hermeneutical presupposition that allows individuals to bring their concerns to scripture, reading it through those lenses. </w:t>
      </w:r>
      <w:r w:rsidRPr="009B2BE5">
        <w:rPr>
          <w:rFonts w:ascii="Times New Roman" w:hAnsi="Times New Roman"/>
          <w:b/>
          <w:bCs/>
          <w:sz w:val="22"/>
        </w:rPr>
        <w:t>Relationship Between Revelation and Gratuitousness</w:t>
      </w:r>
      <w:r w:rsidR="009B2BE5">
        <w:rPr>
          <w:rFonts w:ascii="Times New Roman" w:hAnsi="Times New Roman"/>
          <w:b/>
          <w:bCs/>
          <w:sz w:val="22"/>
        </w:rPr>
        <w:t xml:space="preserve">. </w:t>
      </w:r>
      <w:r>
        <w:rPr>
          <w:rFonts w:ascii="Times New Roman" w:hAnsi="Times New Roman"/>
          <w:sz w:val="22"/>
        </w:rPr>
        <w:t>The idea that God reaches out to the least likely and loves all, but with a special preference for the poor, is central to this theological perspective. This is illustrated in the Book of Job, where the notion that suffering is deserved is challenged. It suggests that God cares for the poor not because of their goodness, but because of their poverty.</w:t>
      </w:r>
      <w:r w:rsidR="009B2BE5">
        <w:rPr>
          <w:rFonts w:ascii="Times New Roman" w:hAnsi="Times New Roman"/>
          <w:sz w:val="22"/>
        </w:rPr>
        <w:t xml:space="preserve"> </w:t>
      </w:r>
      <w:r w:rsidRPr="009B2BE5">
        <w:rPr>
          <w:rFonts w:ascii="Times New Roman" w:hAnsi="Times New Roman"/>
          <w:b/>
          <w:bCs/>
          <w:sz w:val="22"/>
        </w:rPr>
        <w:t>The Role of Contemplation and Prophecy</w:t>
      </w:r>
      <w:r w:rsidR="009B2BE5">
        <w:rPr>
          <w:rFonts w:ascii="Times New Roman" w:hAnsi="Times New Roman"/>
          <w:b/>
          <w:bCs/>
          <w:sz w:val="22"/>
        </w:rPr>
        <w:t xml:space="preserve">. </w:t>
      </w:r>
      <w:r>
        <w:rPr>
          <w:rFonts w:ascii="Times New Roman" w:hAnsi="Times New Roman"/>
          <w:sz w:val="22"/>
        </w:rPr>
        <w:t>Liberation theology emphasizes a blend of contemplative and prophetic language, recognizing that while the poor may be illiterate, their hard-won wisdom brings them closer to God. Theology should not remain too intellectualized but should connect with lived experiences.</w:t>
      </w:r>
      <w:r w:rsidR="009B2BE5">
        <w:rPr>
          <w:rFonts w:ascii="Times New Roman" w:hAnsi="Times New Roman"/>
          <w:sz w:val="22"/>
        </w:rPr>
        <w:t xml:space="preserve"> </w:t>
      </w:r>
      <w:r w:rsidRPr="009B2BE5">
        <w:rPr>
          <w:rFonts w:ascii="Times New Roman" w:hAnsi="Times New Roman"/>
          <w:b/>
          <w:bCs/>
          <w:sz w:val="22"/>
        </w:rPr>
        <w:t>Dominant vs. Liberation Theology</w:t>
      </w:r>
      <w:r w:rsidR="009B2BE5">
        <w:rPr>
          <w:rFonts w:ascii="Times New Roman" w:hAnsi="Times New Roman"/>
          <w:b/>
          <w:bCs/>
          <w:sz w:val="22"/>
        </w:rPr>
        <w:t>:</w:t>
      </w:r>
    </w:p>
    <w:p w:rsidR="00E80C86" w:rsidRDefault="00E80C86" w:rsidP="00E80C86">
      <w:pPr>
        <w:jc w:val="both"/>
      </w:pPr>
      <w:r>
        <w:rPr>
          <w:rFonts w:ascii="Times New Roman" w:hAnsi="Times New Roman"/>
          <w:sz w:val="22"/>
        </w:rPr>
        <w:t>The comparison between dominant theology and liberation theology</w:t>
      </w:r>
      <w:r w:rsidR="009B2BE5">
        <w:rPr>
          <w:rFonts w:ascii="Times New Roman" w:hAnsi="Times New Roman"/>
          <w:sz w:val="22"/>
        </w:rPr>
        <w:t xml:space="preserve"> </w:t>
      </w:r>
      <w:r>
        <w:rPr>
          <w:rFonts w:ascii="Times New Roman" w:hAnsi="Times New Roman"/>
          <w:sz w:val="22"/>
        </w:rPr>
        <w:t>highlights key differences:</w:t>
      </w:r>
    </w:p>
    <w:p w:rsidR="00E80C86" w:rsidRDefault="00E80C86" w:rsidP="009B2BE5">
      <w:pPr>
        <w:pStyle w:val="ListParagraph"/>
        <w:numPr>
          <w:ilvl w:val="0"/>
          <w:numId w:val="2"/>
        </w:numPr>
        <w:jc w:val="both"/>
      </w:pPr>
      <w:r w:rsidRPr="009B2BE5">
        <w:rPr>
          <w:rFonts w:ascii="Times New Roman" w:hAnsi="Times New Roman"/>
          <w:b/>
          <w:bCs/>
          <w:sz w:val="22"/>
        </w:rPr>
        <w:t>Response Focus:</w:t>
      </w:r>
      <w:r>
        <w:rPr>
          <w:rFonts w:ascii="Times New Roman" w:hAnsi="Times New Roman"/>
          <w:sz w:val="22"/>
        </w:rPr>
        <w:t xml:space="preserve"> </w:t>
      </w:r>
      <w:r w:rsidR="009B2BE5">
        <w:rPr>
          <w:rFonts w:ascii="Times New Roman" w:hAnsi="Times New Roman"/>
          <w:sz w:val="22"/>
        </w:rPr>
        <w:t>Dominant Theology</w:t>
      </w:r>
      <w:r>
        <w:rPr>
          <w:rFonts w:ascii="Times New Roman" w:hAnsi="Times New Roman"/>
          <w:sz w:val="22"/>
        </w:rPr>
        <w:t xml:space="preserve"> is oriented toward modernity and nonbelievers; </w:t>
      </w:r>
      <w:r w:rsidR="009B2BE5">
        <w:rPr>
          <w:rFonts w:ascii="Times New Roman" w:hAnsi="Times New Roman"/>
          <w:sz w:val="22"/>
        </w:rPr>
        <w:t>Liberation Theology</w:t>
      </w:r>
      <w:r>
        <w:rPr>
          <w:rFonts w:ascii="Times New Roman" w:hAnsi="Times New Roman"/>
          <w:sz w:val="22"/>
        </w:rPr>
        <w:t xml:space="preserve"> addresses oppression and nonpersons.</w:t>
      </w:r>
    </w:p>
    <w:p w:rsidR="00E80C86" w:rsidRDefault="00E80C86" w:rsidP="009B2BE5">
      <w:pPr>
        <w:pStyle w:val="ListParagraph"/>
        <w:numPr>
          <w:ilvl w:val="0"/>
          <w:numId w:val="2"/>
        </w:numPr>
        <w:jc w:val="both"/>
      </w:pPr>
      <w:r w:rsidRPr="009B2BE5">
        <w:rPr>
          <w:rFonts w:ascii="Times New Roman" w:hAnsi="Times New Roman"/>
          <w:b/>
          <w:bCs/>
          <w:sz w:val="22"/>
        </w:rPr>
        <w:t>Perspective:</w:t>
      </w:r>
      <w:r>
        <w:rPr>
          <w:rFonts w:ascii="Times New Roman" w:hAnsi="Times New Roman"/>
          <w:sz w:val="22"/>
        </w:rPr>
        <w:t xml:space="preserve"> </w:t>
      </w:r>
      <w:r w:rsidR="009B2BE5">
        <w:rPr>
          <w:rFonts w:ascii="Times New Roman" w:hAnsi="Times New Roman"/>
          <w:sz w:val="22"/>
        </w:rPr>
        <w:t>Dominant Theology</w:t>
      </w:r>
      <w:r>
        <w:rPr>
          <w:rFonts w:ascii="Times New Roman" w:hAnsi="Times New Roman"/>
          <w:sz w:val="22"/>
        </w:rPr>
        <w:t xml:space="preserve"> begins with modern society; </w:t>
      </w:r>
      <w:r w:rsidR="009B2BE5">
        <w:rPr>
          <w:rFonts w:ascii="Times New Roman" w:hAnsi="Times New Roman"/>
          <w:sz w:val="22"/>
        </w:rPr>
        <w:t>Liberation Theology</w:t>
      </w:r>
      <w:r>
        <w:rPr>
          <w:rFonts w:ascii="Times New Roman" w:hAnsi="Times New Roman"/>
          <w:sz w:val="22"/>
        </w:rPr>
        <w:t xml:space="preserve"> starts with oppression, emphasizing action.</w:t>
      </w:r>
    </w:p>
    <w:p w:rsidR="00E80C86" w:rsidRDefault="00E80C86" w:rsidP="009B2BE5">
      <w:pPr>
        <w:pStyle w:val="ListParagraph"/>
        <w:numPr>
          <w:ilvl w:val="0"/>
          <w:numId w:val="2"/>
        </w:numPr>
        <w:jc w:val="both"/>
      </w:pPr>
      <w:r w:rsidRPr="009B2BE5">
        <w:rPr>
          <w:rFonts w:ascii="Times New Roman" w:hAnsi="Times New Roman"/>
          <w:b/>
          <w:bCs/>
          <w:sz w:val="22"/>
        </w:rPr>
        <w:t>Development:</w:t>
      </w:r>
      <w:r>
        <w:rPr>
          <w:rFonts w:ascii="Times New Roman" w:hAnsi="Times New Roman"/>
          <w:sz w:val="22"/>
        </w:rPr>
        <w:t xml:space="preserve"> </w:t>
      </w:r>
      <w:r w:rsidR="009B2BE5">
        <w:rPr>
          <w:rFonts w:ascii="Times New Roman" w:hAnsi="Times New Roman"/>
          <w:sz w:val="22"/>
        </w:rPr>
        <w:t>Dominant Theology</w:t>
      </w:r>
      <w:r>
        <w:rPr>
          <w:rFonts w:ascii="Times New Roman" w:hAnsi="Times New Roman"/>
          <w:sz w:val="22"/>
        </w:rPr>
        <w:t xml:space="preserve"> is from privileged positions; </w:t>
      </w:r>
      <w:r w:rsidR="009B2BE5">
        <w:rPr>
          <w:rFonts w:ascii="Times New Roman" w:hAnsi="Times New Roman"/>
          <w:sz w:val="22"/>
        </w:rPr>
        <w:t>Liberation Theology</w:t>
      </w:r>
      <w:r>
        <w:rPr>
          <w:rFonts w:ascii="Times New Roman" w:hAnsi="Times New Roman"/>
          <w:sz w:val="22"/>
        </w:rPr>
        <w:t xml:space="preserve"> emerges from marginalized experiences.</w:t>
      </w:r>
    </w:p>
    <w:p w:rsidR="00E80C86" w:rsidRDefault="00E80C86" w:rsidP="009B2BE5">
      <w:pPr>
        <w:pStyle w:val="ListParagraph"/>
        <w:numPr>
          <w:ilvl w:val="0"/>
          <w:numId w:val="2"/>
        </w:numPr>
        <w:jc w:val="both"/>
      </w:pPr>
      <w:r w:rsidRPr="009B2BE5">
        <w:rPr>
          <w:rFonts w:ascii="Times New Roman" w:hAnsi="Times New Roman"/>
          <w:b/>
          <w:bCs/>
          <w:sz w:val="22"/>
        </w:rPr>
        <w:t>Authors:</w:t>
      </w:r>
      <w:r>
        <w:rPr>
          <w:rFonts w:ascii="Times New Roman" w:hAnsi="Times New Roman"/>
          <w:sz w:val="22"/>
        </w:rPr>
        <w:t xml:space="preserve"> </w:t>
      </w:r>
      <w:r w:rsidR="009B2BE5">
        <w:rPr>
          <w:rFonts w:ascii="Times New Roman" w:hAnsi="Times New Roman"/>
          <w:sz w:val="22"/>
        </w:rPr>
        <w:t>Dominant Theology</w:t>
      </w:r>
      <w:r>
        <w:rPr>
          <w:rFonts w:ascii="Times New Roman" w:hAnsi="Times New Roman"/>
          <w:sz w:val="22"/>
        </w:rPr>
        <w:t xml:space="preserve"> is mainly articulated by the "winners" of history; </w:t>
      </w:r>
      <w:r w:rsidR="009B2BE5">
        <w:rPr>
          <w:rFonts w:ascii="Times New Roman" w:hAnsi="Times New Roman"/>
          <w:sz w:val="22"/>
        </w:rPr>
        <w:t>Liberation Theology</w:t>
      </w:r>
      <w:r>
        <w:rPr>
          <w:rFonts w:ascii="Times New Roman" w:hAnsi="Times New Roman"/>
          <w:sz w:val="22"/>
        </w:rPr>
        <w:t xml:space="preserve"> seeks to empower those often voiceless.</w:t>
      </w:r>
    </w:p>
    <w:p w:rsidR="00E80C86" w:rsidRDefault="00E80C86" w:rsidP="009B2BE5">
      <w:pPr>
        <w:pStyle w:val="ListParagraph"/>
        <w:numPr>
          <w:ilvl w:val="0"/>
          <w:numId w:val="2"/>
        </w:numPr>
        <w:jc w:val="both"/>
      </w:pPr>
      <w:r w:rsidRPr="009B2BE5">
        <w:rPr>
          <w:rFonts w:ascii="Times New Roman" w:hAnsi="Times New Roman"/>
          <w:b/>
          <w:bCs/>
          <w:sz w:val="22"/>
        </w:rPr>
        <w:t>Focus:</w:t>
      </w:r>
      <w:r>
        <w:rPr>
          <w:rFonts w:ascii="Times New Roman" w:hAnsi="Times New Roman"/>
          <w:sz w:val="22"/>
        </w:rPr>
        <w:t xml:space="preserve"> </w:t>
      </w:r>
      <w:r w:rsidR="009B2BE5">
        <w:rPr>
          <w:rFonts w:ascii="Times New Roman" w:hAnsi="Times New Roman"/>
          <w:sz w:val="22"/>
        </w:rPr>
        <w:t>Dominant Theology</w:t>
      </w:r>
      <w:r>
        <w:rPr>
          <w:rFonts w:ascii="Times New Roman" w:hAnsi="Times New Roman"/>
          <w:sz w:val="22"/>
        </w:rPr>
        <w:t xml:space="preserve"> reinforces religious structures; </w:t>
      </w:r>
      <w:r w:rsidR="009B2BE5">
        <w:rPr>
          <w:rFonts w:ascii="Times New Roman" w:hAnsi="Times New Roman"/>
          <w:sz w:val="22"/>
        </w:rPr>
        <w:t>Liberation Theology</w:t>
      </w:r>
      <w:r>
        <w:rPr>
          <w:rFonts w:ascii="Times New Roman" w:hAnsi="Times New Roman"/>
          <w:sz w:val="22"/>
        </w:rPr>
        <w:t xml:space="preserve"> seeks political change.</w:t>
      </w:r>
    </w:p>
    <w:p w:rsidR="00E80C86" w:rsidRDefault="00E80C86" w:rsidP="009B2BE5">
      <w:pPr>
        <w:pStyle w:val="ListParagraph"/>
        <w:numPr>
          <w:ilvl w:val="0"/>
          <w:numId w:val="2"/>
        </w:numPr>
        <w:jc w:val="both"/>
      </w:pPr>
      <w:r w:rsidRPr="009B2BE5">
        <w:rPr>
          <w:rFonts w:ascii="Times New Roman" w:hAnsi="Times New Roman"/>
          <w:b/>
          <w:bCs/>
          <w:sz w:val="22"/>
        </w:rPr>
        <w:t>Cultural Links:</w:t>
      </w:r>
      <w:r>
        <w:rPr>
          <w:rFonts w:ascii="Times New Roman" w:hAnsi="Times New Roman"/>
          <w:sz w:val="22"/>
        </w:rPr>
        <w:t xml:space="preserve"> </w:t>
      </w:r>
      <w:r w:rsidR="009B2BE5">
        <w:rPr>
          <w:rFonts w:ascii="Times New Roman" w:hAnsi="Times New Roman"/>
          <w:sz w:val="22"/>
        </w:rPr>
        <w:t>Dominant Theology</w:t>
      </w:r>
      <w:r>
        <w:rPr>
          <w:rFonts w:ascii="Times New Roman" w:hAnsi="Times New Roman"/>
          <w:sz w:val="22"/>
        </w:rPr>
        <w:t xml:space="preserve"> aligns with Western and privileged demographics; </w:t>
      </w:r>
      <w:r w:rsidR="009B2BE5">
        <w:rPr>
          <w:rFonts w:ascii="Times New Roman" w:hAnsi="Times New Roman"/>
          <w:sz w:val="22"/>
        </w:rPr>
        <w:t>Liberation Theology</w:t>
      </w:r>
      <w:r>
        <w:rPr>
          <w:rFonts w:ascii="Times New Roman" w:hAnsi="Times New Roman"/>
          <w:sz w:val="22"/>
        </w:rPr>
        <w:t xml:space="preserve"> is connected to marginalized and exploited communities.</w:t>
      </w:r>
    </w:p>
    <w:p w:rsidR="00E80C86" w:rsidRDefault="00E80C86" w:rsidP="009B2BE5">
      <w:pPr>
        <w:pStyle w:val="ListParagraph"/>
        <w:numPr>
          <w:ilvl w:val="0"/>
          <w:numId w:val="2"/>
        </w:numPr>
        <w:jc w:val="both"/>
      </w:pPr>
      <w:r w:rsidRPr="009B2BE5">
        <w:rPr>
          <w:rFonts w:ascii="Times New Roman" w:hAnsi="Times New Roman"/>
          <w:b/>
          <w:bCs/>
          <w:sz w:val="22"/>
        </w:rPr>
        <w:t>Cultural Achievements:</w:t>
      </w:r>
      <w:r>
        <w:rPr>
          <w:rFonts w:ascii="Times New Roman" w:hAnsi="Times New Roman"/>
          <w:sz w:val="22"/>
        </w:rPr>
        <w:t xml:space="preserve"> </w:t>
      </w:r>
      <w:r w:rsidR="009B2BE5">
        <w:rPr>
          <w:rFonts w:ascii="Times New Roman" w:hAnsi="Times New Roman"/>
          <w:sz w:val="22"/>
        </w:rPr>
        <w:t>Dominant Theology</w:t>
      </w:r>
      <w:r>
        <w:rPr>
          <w:rFonts w:ascii="Times New Roman" w:hAnsi="Times New Roman"/>
          <w:sz w:val="22"/>
        </w:rPr>
        <w:t xml:space="preserve"> affirms cultural successes such as capitalism; </w:t>
      </w:r>
      <w:r w:rsidR="009B2BE5">
        <w:rPr>
          <w:rFonts w:ascii="Times New Roman" w:hAnsi="Times New Roman"/>
          <w:sz w:val="22"/>
        </w:rPr>
        <w:t>Liberation Theology</w:t>
      </w:r>
      <w:r>
        <w:rPr>
          <w:rFonts w:ascii="Times New Roman" w:hAnsi="Times New Roman"/>
          <w:sz w:val="22"/>
        </w:rPr>
        <w:t xml:space="preserve"> critiques cultural achievements used for exploitation.</w:t>
      </w:r>
    </w:p>
    <w:p w:rsidR="00E80C86" w:rsidRDefault="00E80C86" w:rsidP="009B2BE5">
      <w:pPr>
        <w:pStyle w:val="ListParagraph"/>
        <w:numPr>
          <w:ilvl w:val="0"/>
          <w:numId w:val="2"/>
        </w:numPr>
        <w:jc w:val="both"/>
      </w:pPr>
      <w:r w:rsidRPr="009B2BE5">
        <w:rPr>
          <w:rFonts w:ascii="Times New Roman" w:hAnsi="Times New Roman"/>
          <w:b/>
          <w:bCs/>
          <w:sz w:val="22"/>
        </w:rPr>
        <w:t>Approach:</w:t>
      </w:r>
      <w:r>
        <w:rPr>
          <w:rFonts w:ascii="Times New Roman" w:hAnsi="Times New Roman"/>
          <w:sz w:val="22"/>
        </w:rPr>
        <w:t xml:space="preserve"> </w:t>
      </w:r>
      <w:r w:rsidR="009B2BE5">
        <w:rPr>
          <w:rFonts w:ascii="Times New Roman" w:hAnsi="Times New Roman"/>
          <w:sz w:val="22"/>
        </w:rPr>
        <w:t>Dominant Theology</w:t>
      </w:r>
      <w:r>
        <w:rPr>
          <w:rFonts w:ascii="Times New Roman" w:hAnsi="Times New Roman"/>
          <w:sz w:val="22"/>
        </w:rPr>
        <w:t xml:space="preserve"> favors gradual reform; </w:t>
      </w:r>
      <w:r w:rsidR="009B2BE5">
        <w:rPr>
          <w:rFonts w:ascii="Times New Roman" w:hAnsi="Times New Roman"/>
          <w:sz w:val="22"/>
        </w:rPr>
        <w:t>Liberation Theology</w:t>
      </w:r>
      <w:r>
        <w:rPr>
          <w:rFonts w:ascii="Times New Roman" w:hAnsi="Times New Roman"/>
          <w:sz w:val="22"/>
        </w:rPr>
        <w:t xml:space="preserve"> advocates rapid liberation through structural change.</w:t>
      </w:r>
    </w:p>
    <w:p w:rsidR="00E80C86" w:rsidRPr="009B2BE5" w:rsidRDefault="00E80C86" w:rsidP="00E80C86">
      <w:pPr>
        <w:jc w:val="both"/>
        <w:rPr>
          <w:b/>
          <w:bCs/>
        </w:rPr>
      </w:pPr>
      <w:r w:rsidRPr="009B2BE5">
        <w:rPr>
          <w:rFonts w:ascii="Times New Roman" w:hAnsi="Times New Roman"/>
          <w:b/>
          <w:bCs/>
          <w:sz w:val="22"/>
        </w:rPr>
        <w:t xml:space="preserve">Critique of </w:t>
      </w:r>
      <w:r w:rsidR="009B2BE5">
        <w:rPr>
          <w:rFonts w:ascii="Times New Roman" w:hAnsi="Times New Roman"/>
          <w:b/>
          <w:bCs/>
          <w:sz w:val="22"/>
        </w:rPr>
        <w:t xml:space="preserve">the Dichotomy. </w:t>
      </w:r>
      <w:r>
        <w:rPr>
          <w:rFonts w:ascii="Times New Roman" w:hAnsi="Times New Roman"/>
          <w:sz w:val="22"/>
        </w:rPr>
        <w:t xml:space="preserve">There are questions regarding whether </w:t>
      </w:r>
      <w:r w:rsidR="009B2BE5">
        <w:rPr>
          <w:rFonts w:ascii="Times New Roman" w:hAnsi="Times New Roman"/>
          <w:sz w:val="22"/>
        </w:rPr>
        <w:t>Dominant Theology</w:t>
      </w:r>
      <w:r>
        <w:rPr>
          <w:rFonts w:ascii="Times New Roman" w:hAnsi="Times New Roman"/>
          <w:sz w:val="22"/>
        </w:rPr>
        <w:t xml:space="preserve"> effectively addresses atheists and if </w:t>
      </w:r>
      <w:r w:rsidR="009B2BE5">
        <w:rPr>
          <w:rFonts w:ascii="Times New Roman" w:hAnsi="Times New Roman"/>
          <w:sz w:val="22"/>
        </w:rPr>
        <w:t xml:space="preserve">Liberation </w:t>
      </w:r>
      <w:r w:rsidR="009B2BE5" w:rsidRPr="009B2BE5">
        <w:rPr>
          <w:rFonts w:ascii="Times New Roman" w:hAnsi="Times New Roman"/>
          <w:i/>
          <w:iCs/>
          <w:sz w:val="22"/>
        </w:rPr>
        <w:t>Theology</w:t>
      </w:r>
      <w:r>
        <w:rPr>
          <w:rFonts w:ascii="Times New Roman" w:hAnsi="Times New Roman"/>
          <w:sz w:val="22"/>
        </w:rPr>
        <w:t xml:space="preserve"> maintains historical awareness. The contrast highlighted between winners and losers, and religious versus political realms, is seen as oversimplified. Further, while highlighting differences in cultural and racial contexts, it raises questions about inclusivity in theology. Lastly, the distinction between </w:t>
      </w:r>
      <w:r w:rsidR="009B2BE5">
        <w:rPr>
          <w:rFonts w:ascii="Times New Roman" w:hAnsi="Times New Roman"/>
          <w:sz w:val="22"/>
        </w:rPr>
        <w:t>Dominant Theology</w:t>
      </w:r>
      <w:r>
        <w:rPr>
          <w:rFonts w:ascii="Times New Roman" w:hAnsi="Times New Roman"/>
          <w:sz w:val="22"/>
        </w:rPr>
        <w:t xml:space="preserve">’s gradualism and </w:t>
      </w:r>
      <w:r w:rsidR="009B2BE5">
        <w:rPr>
          <w:rFonts w:ascii="Times New Roman" w:hAnsi="Times New Roman"/>
          <w:sz w:val="22"/>
        </w:rPr>
        <w:t>Liberation Theology</w:t>
      </w:r>
      <w:r>
        <w:rPr>
          <w:rFonts w:ascii="Times New Roman" w:hAnsi="Times New Roman"/>
          <w:sz w:val="22"/>
        </w:rPr>
        <w:t xml:space="preserve">’s rapid change </w:t>
      </w:r>
      <w:r>
        <w:rPr>
          <w:rFonts w:ascii="Times New Roman" w:hAnsi="Times New Roman"/>
          <w:sz w:val="22"/>
        </w:rPr>
        <w:lastRenderedPageBreak/>
        <w:t>is explored.</w:t>
      </w:r>
      <w:r w:rsidR="009B2BE5">
        <w:rPr>
          <w:rFonts w:ascii="Times New Roman" w:hAnsi="Times New Roman"/>
          <w:sz w:val="22"/>
        </w:rPr>
        <w:t xml:space="preserve"> </w:t>
      </w:r>
      <w:r w:rsidRPr="009B2BE5">
        <w:rPr>
          <w:rFonts w:ascii="Times New Roman" w:hAnsi="Times New Roman"/>
          <w:b/>
          <w:bCs/>
          <w:sz w:val="22"/>
        </w:rPr>
        <w:t>Distinction Between Theology and Marxism</w:t>
      </w:r>
      <w:r w:rsidR="009B2BE5">
        <w:rPr>
          <w:rFonts w:ascii="Times New Roman" w:hAnsi="Times New Roman"/>
          <w:b/>
          <w:bCs/>
          <w:sz w:val="22"/>
        </w:rPr>
        <w:t xml:space="preserve">. </w:t>
      </w:r>
      <w:r>
        <w:rPr>
          <w:rFonts w:ascii="Times New Roman" w:hAnsi="Times New Roman"/>
          <w:sz w:val="22"/>
        </w:rPr>
        <w:t>Liberation theology employs Marxist social analysis without promoting Marxist ideology, focusing instead on critically evaluating social structures to address the roots of oppression rather than inciting conflict.</w:t>
      </w:r>
      <w:r w:rsidR="009B2BE5">
        <w:rPr>
          <w:rFonts w:ascii="Times New Roman" w:hAnsi="Times New Roman"/>
          <w:sz w:val="22"/>
        </w:rPr>
        <w:t xml:space="preserve"> </w:t>
      </w:r>
      <w:r w:rsidRPr="009B2BE5">
        <w:rPr>
          <w:rFonts w:ascii="Times New Roman" w:hAnsi="Times New Roman"/>
          <w:b/>
          <w:bCs/>
          <w:sz w:val="22"/>
        </w:rPr>
        <w:t>Themes in Liberation Theology</w:t>
      </w:r>
      <w:r w:rsidR="009B2BE5">
        <w:rPr>
          <w:rFonts w:ascii="Times New Roman" w:hAnsi="Times New Roman"/>
          <w:b/>
          <w:bCs/>
          <w:sz w:val="22"/>
        </w:rPr>
        <w:t>.</w:t>
      </w:r>
    </w:p>
    <w:p w:rsidR="00E80C86" w:rsidRPr="009B2BE5" w:rsidRDefault="00E80C86" w:rsidP="009B2BE5">
      <w:pPr>
        <w:pStyle w:val="ListParagraph"/>
        <w:numPr>
          <w:ilvl w:val="0"/>
          <w:numId w:val="4"/>
        </w:numPr>
        <w:jc w:val="both"/>
        <w:rPr>
          <w:b/>
          <w:bCs/>
        </w:rPr>
      </w:pPr>
      <w:r>
        <w:rPr>
          <w:rFonts w:ascii="Times New Roman" w:hAnsi="Times New Roman"/>
          <w:sz w:val="22"/>
        </w:rPr>
        <w:t xml:space="preserve">Conversion: </w:t>
      </w:r>
      <w:r w:rsidR="009B2BE5">
        <w:rPr>
          <w:rFonts w:ascii="Times New Roman" w:hAnsi="Times New Roman"/>
          <w:sz w:val="22"/>
        </w:rPr>
        <w:t xml:space="preserve">A Requirement of </w:t>
      </w:r>
      <w:r w:rsidR="009B2BE5" w:rsidRPr="009B2BE5">
        <w:rPr>
          <w:rFonts w:ascii="Times New Roman" w:hAnsi="Times New Roman"/>
          <w:b/>
          <w:bCs/>
          <w:sz w:val="22"/>
        </w:rPr>
        <w:t>Solidarity.</w:t>
      </w:r>
    </w:p>
    <w:p w:rsidR="00E80C86" w:rsidRPr="009B2BE5" w:rsidRDefault="00E80C86" w:rsidP="009B2BE5">
      <w:pPr>
        <w:pStyle w:val="ListParagraph"/>
        <w:numPr>
          <w:ilvl w:val="0"/>
          <w:numId w:val="4"/>
        </w:numPr>
        <w:jc w:val="both"/>
        <w:rPr>
          <w:b/>
          <w:bCs/>
        </w:rPr>
      </w:pPr>
      <w:r>
        <w:rPr>
          <w:rFonts w:ascii="Times New Roman" w:hAnsi="Times New Roman"/>
          <w:sz w:val="22"/>
        </w:rPr>
        <w:t xml:space="preserve">Grace: </w:t>
      </w:r>
      <w:r w:rsidR="009B2BE5">
        <w:rPr>
          <w:rFonts w:ascii="Times New Roman" w:hAnsi="Times New Roman"/>
          <w:sz w:val="22"/>
        </w:rPr>
        <w:t xml:space="preserve">The Power of </w:t>
      </w:r>
      <w:r w:rsidR="009B2BE5" w:rsidRPr="009B2BE5">
        <w:rPr>
          <w:rFonts w:ascii="Times New Roman" w:hAnsi="Times New Roman"/>
          <w:b/>
          <w:bCs/>
          <w:sz w:val="22"/>
        </w:rPr>
        <w:t>Action.</w:t>
      </w:r>
    </w:p>
    <w:p w:rsidR="00E80C86" w:rsidRDefault="00E80C86" w:rsidP="009B2BE5">
      <w:pPr>
        <w:pStyle w:val="ListParagraph"/>
        <w:numPr>
          <w:ilvl w:val="0"/>
          <w:numId w:val="4"/>
        </w:numPr>
        <w:jc w:val="both"/>
      </w:pPr>
      <w:r>
        <w:rPr>
          <w:rFonts w:ascii="Times New Roman" w:hAnsi="Times New Roman"/>
          <w:sz w:val="22"/>
        </w:rPr>
        <w:t xml:space="preserve">Joy: </w:t>
      </w:r>
      <w:r w:rsidR="009B2BE5" w:rsidRPr="009B2BE5">
        <w:rPr>
          <w:rFonts w:ascii="Times New Roman" w:hAnsi="Times New Roman"/>
          <w:b/>
          <w:bCs/>
          <w:sz w:val="22"/>
        </w:rPr>
        <w:t>Victory</w:t>
      </w:r>
      <w:r w:rsidR="009B2BE5">
        <w:rPr>
          <w:rFonts w:ascii="Times New Roman" w:hAnsi="Times New Roman"/>
          <w:sz w:val="22"/>
        </w:rPr>
        <w:t xml:space="preserve"> over Suffering</w:t>
      </w:r>
      <w:r>
        <w:rPr>
          <w:rFonts w:ascii="Times New Roman" w:hAnsi="Times New Roman"/>
          <w:sz w:val="22"/>
        </w:rPr>
        <w:t>.</w:t>
      </w:r>
    </w:p>
    <w:p w:rsidR="00E80C86" w:rsidRDefault="00E80C86" w:rsidP="009B2BE5">
      <w:pPr>
        <w:pStyle w:val="ListParagraph"/>
        <w:numPr>
          <w:ilvl w:val="0"/>
          <w:numId w:val="4"/>
        </w:numPr>
        <w:jc w:val="both"/>
        <w:rPr>
          <w:b/>
          <w:bCs/>
        </w:rPr>
      </w:pPr>
      <w:r>
        <w:rPr>
          <w:rFonts w:ascii="Times New Roman" w:hAnsi="Times New Roman"/>
          <w:sz w:val="22"/>
        </w:rPr>
        <w:t xml:space="preserve">Spiritual Childhood: </w:t>
      </w:r>
      <w:r w:rsidR="009B2BE5">
        <w:rPr>
          <w:rFonts w:ascii="Times New Roman" w:hAnsi="Times New Roman"/>
          <w:sz w:val="22"/>
        </w:rPr>
        <w:t xml:space="preserve">A Requirement for </w:t>
      </w:r>
      <w:r w:rsidR="009B2BE5" w:rsidRPr="009B2BE5">
        <w:rPr>
          <w:rFonts w:ascii="Times New Roman" w:hAnsi="Times New Roman"/>
          <w:b/>
          <w:bCs/>
          <w:sz w:val="22"/>
        </w:rPr>
        <w:t>Commitment to the Poor.</w:t>
      </w:r>
    </w:p>
    <w:p w:rsidR="009B2BE5" w:rsidRDefault="009B2BE5" w:rsidP="009B2BE5">
      <w:pPr>
        <w:jc w:val="both"/>
        <w:rPr>
          <w:b/>
          <w:bCs/>
        </w:rPr>
      </w:pPr>
    </w:p>
    <w:p w:rsidR="009B2BE5" w:rsidRPr="009B2BE5" w:rsidRDefault="009B2BE5" w:rsidP="009B2BE5">
      <w:pPr>
        <w:jc w:val="both"/>
        <w:rPr>
          <w:b/>
          <w:bCs/>
        </w:rPr>
      </w:pPr>
      <w:r w:rsidRPr="009B2BE5">
        <w:rPr>
          <w:rFonts w:ascii="Times New Roman" w:hAnsi="Times New Roman"/>
          <w:b/>
          <w:bCs/>
          <w:sz w:val="22"/>
        </w:rPr>
        <w:t>Chapter 5: Act Two, Scene Two: Theology in Light of the Word of God (Content)</w:t>
      </w:r>
      <w:r>
        <w:rPr>
          <w:rFonts w:ascii="Times New Roman" w:hAnsi="Times New Roman"/>
          <w:b/>
          <w:bCs/>
          <w:sz w:val="22"/>
        </w:rPr>
        <w:t>.</w:t>
      </w:r>
    </w:p>
    <w:p w:rsidR="009B2BE5" w:rsidRPr="009B2BE5" w:rsidRDefault="009B2BE5" w:rsidP="009B2BE5">
      <w:pPr>
        <w:jc w:val="both"/>
      </w:pPr>
      <w:r w:rsidRPr="009B2BE5">
        <w:rPr>
          <w:rFonts w:ascii="Times New Roman" w:hAnsi="Times New Roman"/>
          <w:b/>
          <w:bCs/>
          <w:sz w:val="22"/>
        </w:rPr>
        <w:t>Theology of the Whole Person</w:t>
      </w:r>
      <w:r>
        <w:rPr>
          <w:rFonts w:ascii="Times New Roman" w:hAnsi="Times New Roman"/>
          <w:b/>
          <w:bCs/>
          <w:sz w:val="22"/>
        </w:rPr>
        <w:t xml:space="preserve">. </w:t>
      </w:r>
      <w:r w:rsidRPr="009B2BE5">
        <w:rPr>
          <w:rFonts w:ascii="Times New Roman" w:hAnsi="Times New Roman"/>
          <w:sz w:val="22"/>
        </w:rPr>
        <w:t>Liberation theology addresses the whole person</w:t>
      </w:r>
      <w:r>
        <w:rPr>
          <w:rFonts w:ascii="Times New Roman" w:hAnsi="Times New Roman"/>
          <w:sz w:val="22"/>
        </w:rPr>
        <w:t>, aligning with Micah 6:8 (acting justly, loving tenderly, and walking humbly with God)</w:t>
      </w:r>
      <w:r w:rsidRPr="009B2BE5">
        <w:rPr>
          <w:rFonts w:ascii="Times New Roman" w:hAnsi="Times New Roman"/>
          <w:sz w:val="22"/>
        </w:rPr>
        <w:t xml:space="preserve"> by promoting:</w:t>
      </w:r>
    </w:p>
    <w:p w:rsidR="009B2BE5" w:rsidRPr="009B2BE5" w:rsidRDefault="009B2BE5" w:rsidP="009B2BE5">
      <w:pPr>
        <w:pStyle w:val="ListParagraph"/>
        <w:numPr>
          <w:ilvl w:val="0"/>
          <w:numId w:val="6"/>
        </w:numPr>
        <w:jc w:val="both"/>
      </w:pPr>
      <w:r w:rsidRPr="009B2BE5">
        <w:rPr>
          <w:rFonts w:ascii="Times New Roman" w:hAnsi="Times New Roman"/>
          <w:sz w:val="22"/>
        </w:rPr>
        <w:t xml:space="preserve">Liberation from oppressive </w:t>
      </w:r>
      <w:r w:rsidRPr="009B2BE5">
        <w:rPr>
          <w:rFonts w:ascii="Times New Roman" w:hAnsi="Times New Roman"/>
          <w:i/>
          <w:iCs/>
          <w:sz w:val="22"/>
        </w:rPr>
        <w:t>social situations</w:t>
      </w:r>
      <w:r w:rsidRPr="009B2BE5">
        <w:rPr>
          <w:rFonts w:ascii="Times New Roman" w:hAnsi="Times New Roman"/>
          <w:sz w:val="22"/>
        </w:rPr>
        <w:t>, leading to active participation in creating a just society.</w:t>
      </w:r>
    </w:p>
    <w:p w:rsidR="009B2BE5" w:rsidRPr="009B2BE5" w:rsidRDefault="009B2BE5" w:rsidP="009B2BE5">
      <w:pPr>
        <w:pStyle w:val="ListParagraph"/>
        <w:numPr>
          <w:ilvl w:val="0"/>
          <w:numId w:val="6"/>
        </w:numPr>
        <w:jc w:val="both"/>
      </w:pPr>
      <w:r w:rsidRPr="009B2BE5">
        <w:rPr>
          <w:rFonts w:ascii="Times New Roman" w:hAnsi="Times New Roman"/>
          <w:sz w:val="22"/>
        </w:rPr>
        <w:t xml:space="preserve">Liberation from the notion of </w:t>
      </w:r>
      <w:r w:rsidRPr="009B2BE5">
        <w:rPr>
          <w:rFonts w:ascii="Times New Roman" w:hAnsi="Times New Roman"/>
          <w:i/>
          <w:iCs/>
          <w:sz w:val="22"/>
        </w:rPr>
        <w:t>fate</w:t>
      </w:r>
      <w:r w:rsidRPr="009B2BE5">
        <w:rPr>
          <w:rFonts w:ascii="Times New Roman" w:hAnsi="Times New Roman"/>
          <w:sz w:val="22"/>
        </w:rPr>
        <w:t>, encouraging responsible action.</w:t>
      </w:r>
    </w:p>
    <w:p w:rsidR="009B2BE5" w:rsidRPr="009B2BE5" w:rsidRDefault="009B2BE5" w:rsidP="009B2BE5">
      <w:pPr>
        <w:pStyle w:val="ListParagraph"/>
        <w:numPr>
          <w:ilvl w:val="0"/>
          <w:numId w:val="6"/>
        </w:numPr>
        <w:jc w:val="both"/>
      </w:pPr>
      <w:r w:rsidRPr="009B2BE5">
        <w:rPr>
          <w:rFonts w:ascii="Times New Roman" w:hAnsi="Times New Roman"/>
          <w:sz w:val="22"/>
        </w:rPr>
        <w:t xml:space="preserve">Liberation from </w:t>
      </w:r>
      <w:r w:rsidRPr="009B2BE5">
        <w:rPr>
          <w:rFonts w:ascii="Times New Roman" w:hAnsi="Times New Roman"/>
          <w:i/>
          <w:iCs/>
          <w:sz w:val="22"/>
        </w:rPr>
        <w:t>personal sin and guilt</w:t>
      </w:r>
      <w:r w:rsidRPr="009B2BE5">
        <w:rPr>
          <w:rFonts w:ascii="Times New Roman" w:hAnsi="Times New Roman"/>
          <w:sz w:val="22"/>
        </w:rPr>
        <w:t>, fostering a grace-filled life.</w:t>
      </w:r>
    </w:p>
    <w:p w:rsidR="009B2BE5" w:rsidRDefault="009B2BE5" w:rsidP="009B2BE5">
      <w:pPr>
        <w:jc w:val="both"/>
      </w:pPr>
      <w:r w:rsidRPr="009B2BE5">
        <w:rPr>
          <w:rFonts w:ascii="Times New Roman" w:hAnsi="Times New Roman"/>
          <w:b/>
          <w:bCs/>
          <w:sz w:val="22"/>
        </w:rPr>
        <w:t>Reappropriating Theological Terminology</w:t>
      </w:r>
      <w:r>
        <w:rPr>
          <w:rFonts w:ascii="Times New Roman" w:hAnsi="Times New Roman"/>
          <w:b/>
          <w:bCs/>
          <w:sz w:val="22"/>
        </w:rPr>
        <w:t xml:space="preserve">. </w:t>
      </w:r>
      <w:r w:rsidRPr="009B2BE5">
        <w:rPr>
          <w:rFonts w:ascii="Times New Roman" w:hAnsi="Times New Roman"/>
          <w:sz w:val="22"/>
        </w:rPr>
        <w:t>Gustavo Gutiérrez reinterprets theological concepts from the perspective of the oppressed. Western perspectives often critique this approach as biased, yet Gutiérrez and Brown argue that such perspectives are closer to the original meaning of Scripture.</w:t>
      </w:r>
      <w:r>
        <w:rPr>
          <w:rFonts w:ascii="Times New Roman" w:hAnsi="Times New Roman"/>
          <w:sz w:val="22"/>
        </w:rPr>
        <w:t xml:space="preserve"> </w:t>
      </w:r>
      <w:r w:rsidRPr="009B2BE5">
        <w:rPr>
          <w:rFonts w:ascii="Times New Roman" w:hAnsi="Times New Roman"/>
          <w:b/>
          <w:bCs/>
          <w:sz w:val="22"/>
        </w:rPr>
        <w:t>Critique of Scholarly Perspectives</w:t>
      </w:r>
      <w:r>
        <w:rPr>
          <w:rFonts w:ascii="Times New Roman" w:hAnsi="Times New Roman"/>
          <w:b/>
          <w:bCs/>
          <w:sz w:val="22"/>
        </w:rPr>
        <w:t xml:space="preserve">. </w:t>
      </w:r>
      <w:r w:rsidRPr="009B2BE5">
        <w:rPr>
          <w:rFonts w:ascii="Times New Roman" w:hAnsi="Times New Roman"/>
          <w:sz w:val="22"/>
        </w:rPr>
        <w:t>Scholarship is viewed as being entrenched in Western cultural values, described as an "exclusive, expensive club," and therefore not always helpful. The idea emerges that "the God of the masters is not the same as the God of the poor."</w:t>
      </w:r>
      <w:r>
        <w:rPr>
          <w:rFonts w:ascii="Times New Roman" w:hAnsi="Times New Roman"/>
          <w:sz w:val="22"/>
        </w:rPr>
        <w:t xml:space="preserve"> </w:t>
      </w:r>
      <w:r w:rsidRPr="009B2BE5">
        <w:rPr>
          <w:rFonts w:ascii="Times New Roman" w:hAnsi="Times New Roman"/>
          <w:b/>
          <w:bCs/>
          <w:sz w:val="22"/>
        </w:rPr>
        <w:t>Situating the Poor Within God's Will</w:t>
      </w:r>
      <w:r>
        <w:rPr>
          <w:rFonts w:ascii="Times New Roman" w:hAnsi="Times New Roman"/>
          <w:b/>
          <w:bCs/>
          <w:sz w:val="22"/>
        </w:rPr>
        <w:t xml:space="preserve">. </w:t>
      </w:r>
      <w:r w:rsidRPr="009B2BE5">
        <w:rPr>
          <w:rFonts w:ascii="Times New Roman" w:hAnsi="Times New Roman"/>
          <w:sz w:val="22"/>
        </w:rPr>
        <w:t>The condition of poverty is framed as contrary to God's will, questioning whether this refers to God's prescriptive or decretive will. Jesus, by becoming poor, emphasized this disparity.</w:t>
      </w:r>
      <w:r>
        <w:rPr>
          <w:rFonts w:ascii="Times New Roman" w:hAnsi="Times New Roman"/>
          <w:sz w:val="22"/>
        </w:rPr>
        <w:t xml:space="preserve"> </w:t>
      </w:r>
      <w:r w:rsidRPr="009B2BE5">
        <w:rPr>
          <w:rFonts w:ascii="Times New Roman" w:hAnsi="Times New Roman"/>
          <w:b/>
          <w:bCs/>
          <w:sz w:val="22"/>
        </w:rPr>
        <w:t>Base Communities and Christian Solidarity</w:t>
      </w:r>
      <w:r>
        <w:rPr>
          <w:rFonts w:ascii="Times New Roman" w:hAnsi="Times New Roman"/>
          <w:b/>
          <w:bCs/>
          <w:sz w:val="22"/>
        </w:rPr>
        <w:t xml:space="preserve">. </w:t>
      </w:r>
      <w:r w:rsidRPr="009B2BE5">
        <w:rPr>
          <w:rFonts w:ascii="Times New Roman" w:hAnsi="Times New Roman"/>
          <w:sz w:val="22"/>
        </w:rPr>
        <w:t>Base communities, comprised of small groups of poor laypeople, take control of their reflection and action within the church, promoting community and solidarity. This aligns with a shift from seeing salvation quantitatively to qualitatively, viewing salvation as a present reality, grounded in history.</w:t>
      </w:r>
      <w:r>
        <w:rPr>
          <w:rFonts w:ascii="Times New Roman" w:hAnsi="Times New Roman"/>
          <w:sz w:val="22"/>
        </w:rPr>
        <w:t xml:space="preserve"> </w:t>
      </w:r>
      <w:r w:rsidRPr="009B2BE5">
        <w:rPr>
          <w:rFonts w:ascii="Times New Roman" w:hAnsi="Times New Roman"/>
          <w:b/>
          <w:bCs/>
          <w:sz w:val="22"/>
        </w:rPr>
        <w:t>Understanding Sin and Salvation</w:t>
      </w:r>
      <w:r>
        <w:rPr>
          <w:rFonts w:ascii="Times New Roman" w:hAnsi="Times New Roman"/>
          <w:b/>
          <w:bCs/>
          <w:sz w:val="22"/>
        </w:rPr>
        <w:t xml:space="preserve">. </w:t>
      </w:r>
      <w:r w:rsidRPr="009B2BE5">
        <w:rPr>
          <w:rFonts w:ascii="Times New Roman" w:hAnsi="Times New Roman"/>
          <w:sz w:val="22"/>
        </w:rPr>
        <w:t>While sin is described as a historical fact, there's a discussion around whether this refers to systemic evil and its consequences rather than personal ethics. The political dimensions of the Gospel are emphasized, suggesting that Jesus was executed for being a political challenger.</w:t>
      </w:r>
      <w:r w:rsidR="00856E00">
        <w:rPr>
          <w:rFonts w:ascii="Times New Roman" w:hAnsi="Times New Roman"/>
          <w:sz w:val="22"/>
        </w:rPr>
        <w:t xml:space="preserve"> </w:t>
      </w:r>
      <w:r w:rsidRPr="00856E00">
        <w:rPr>
          <w:rFonts w:ascii="Times New Roman" w:hAnsi="Times New Roman"/>
          <w:b/>
          <w:bCs/>
          <w:sz w:val="22"/>
        </w:rPr>
        <w:t>Role of the Oppressed</w:t>
      </w:r>
      <w:r w:rsidR="00856E00">
        <w:rPr>
          <w:rFonts w:ascii="Times New Roman" w:hAnsi="Times New Roman"/>
          <w:b/>
          <w:bCs/>
          <w:sz w:val="22"/>
        </w:rPr>
        <w:t xml:space="preserve">. </w:t>
      </w:r>
      <w:r w:rsidRPr="009B2BE5">
        <w:rPr>
          <w:rFonts w:ascii="Times New Roman" w:hAnsi="Times New Roman"/>
          <w:sz w:val="22"/>
        </w:rPr>
        <w:t>There's a perspective that in today’s world, only the oppressed can truly denounce and announce the Gospel’s message, prompting discussions on whether this view might be exclusivist.</w:t>
      </w:r>
    </w:p>
    <w:p w:rsidR="006B2A1F" w:rsidRDefault="006B2A1F" w:rsidP="009B2BE5">
      <w:pPr>
        <w:jc w:val="both"/>
      </w:pPr>
    </w:p>
    <w:p w:rsidR="006B2A1F" w:rsidRPr="009B2BE5" w:rsidRDefault="006B2A1F" w:rsidP="009B2BE5">
      <w:pPr>
        <w:jc w:val="both"/>
      </w:pPr>
    </w:p>
    <w:sectPr w:rsidR="006B2A1F" w:rsidRPr="009B2BE5">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BroRM</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Gustavo Guitierez: An Introduction to Liberation Theology (Chapters 3-5)</w:t>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72287"/>
    <w:multiLevelType w:val="hybridMultilevel"/>
    <w:tmpl w:val="3E907334"/>
    <w:lvl w:ilvl="0" w:tplc="285E1C1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D27E0"/>
    <w:multiLevelType w:val="hybridMultilevel"/>
    <w:tmpl w:val="F1F27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B659AC"/>
    <w:multiLevelType w:val="hybridMultilevel"/>
    <w:tmpl w:val="C38C7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EB4501"/>
    <w:multiLevelType w:val="hybridMultilevel"/>
    <w:tmpl w:val="27AC6B2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AE0C5F"/>
    <w:multiLevelType w:val="hybridMultilevel"/>
    <w:tmpl w:val="BA2A7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214659"/>
    <w:multiLevelType w:val="hybridMultilevel"/>
    <w:tmpl w:val="EB9A0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0065235">
    <w:abstractNumId w:val="5"/>
  </w:num>
  <w:num w:numId="2" w16cid:durableId="235165103">
    <w:abstractNumId w:val="4"/>
  </w:num>
  <w:num w:numId="3" w16cid:durableId="1325476773">
    <w:abstractNumId w:val="2"/>
  </w:num>
  <w:num w:numId="4" w16cid:durableId="1179351869">
    <w:abstractNumId w:val="3"/>
  </w:num>
  <w:num w:numId="5" w16cid:durableId="200896046">
    <w:abstractNumId w:val="1"/>
  </w:num>
  <w:num w:numId="6" w16cid:durableId="1335691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C86"/>
    <w:rsid w:val="00282F99"/>
    <w:rsid w:val="006B2A1F"/>
    <w:rsid w:val="00856E00"/>
    <w:rsid w:val="009B2BE5"/>
    <w:rsid w:val="00A57F40"/>
    <w:rsid w:val="00AA008D"/>
    <w:rsid w:val="00DE2625"/>
    <w:rsid w:val="00E80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7C1ACF"/>
  <w15:chartTrackingRefBased/>
  <w15:docId w15:val="{F3E4E524-5318-6041-A488-15000B42B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2B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1052</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2024-11-20T19:12:00Z</dcterms:created>
  <dcterms:modified xsi:type="dcterms:W3CDTF">2024-11-20T19:34:00Z</dcterms:modified>
</cp:coreProperties>
</file>