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6244" w:rsidRPr="00C36290" w:rsidRDefault="00436244" w:rsidP="00436244">
      <w:pPr>
        <w:jc w:val="both"/>
        <w:rPr>
          <w:rFonts w:ascii="Times New Roman" w:hAnsi="Times New Roman" w:cs="Times New Roman"/>
          <w:sz w:val="22"/>
          <w:szCs w:val="22"/>
        </w:rPr>
      </w:pPr>
      <w:r w:rsidRPr="00C36290">
        <w:rPr>
          <w:rFonts w:ascii="Times New Roman" w:hAnsi="Times New Roman" w:cs="Times New Roman"/>
          <w:sz w:val="22"/>
          <w:szCs w:val="22"/>
        </w:rPr>
        <w:t>John Knox (c. 15</w:t>
      </w:r>
      <w:r>
        <w:rPr>
          <w:rFonts w:ascii="Times New Roman" w:hAnsi="Times New Roman" w:cs="Times New Roman"/>
          <w:sz w:val="22"/>
          <w:szCs w:val="22"/>
        </w:rPr>
        <w:t>05</w:t>
      </w:r>
      <w:r w:rsidRPr="00C36290">
        <w:rPr>
          <w:rFonts w:ascii="Times New Roman" w:hAnsi="Times New Roman" w:cs="Times New Roman"/>
          <w:sz w:val="22"/>
          <w:szCs w:val="22"/>
        </w:rPr>
        <w:t xml:space="preserve"> – 1572) was a Scottish reformer, a leading figure in the Protestant Reformation, and one of the founders of the Presbyterian church in Scotland. His works and preachings were pivotal in reforming the Church in Scotland, moving it away from Catholic doctrines towards a more Reformed theology that emphasized the authority of the Scriptures and salvation by grace through faith in Jesus Christ.</w:t>
      </w:r>
    </w:p>
    <w:p w:rsidR="00436244" w:rsidRPr="00C36290" w:rsidRDefault="00436244" w:rsidP="00436244">
      <w:pPr>
        <w:jc w:val="both"/>
        <w:rPr>
          <w:rFonts w:ascii="Times New Roman" w:hAnsi="Times New Roman" w:cs="Times New Roman"/>
          <w:sz w:val="22"/>
          <w:szCs w:val="22"/>
        </w:rPr>
      </w:pPr>
      <w:r w:rsidRPr="00C36290">
        <w:rPr>
          <w:rFonts w:ascii="Times New Roman" w:hAnsi="Times New Roman" w:cs="Times New Roman"/>
          <w:sz w:val="22"/>
          <w:szCs w:val="22"/>
        </w:rPr>
        <w:t xml:space="preserve">Knox's unique contribution was exhorting the common people, which was part of his broader efforts to involve ordinary people in the religious reforms of the 16th century. Knox believed strongly in the priesthood of all </w:t>
      </w:r>
      <w:proofErr w:type="gramStart"/>
      <w:r w:rsidR="005D0891" w:rsidRPr="00C36290">
        <w:rPr>
          <w:rFonts w:ascii="Times New Roman" w:hAnsi="Times New Roman" w:cs="Times New Roman"/>
          <w:sz w:val="22"/>
          <w:szCs w:val="22"/>
        </w:rPr>
        <w:t>believers</w:t>
      </w:r>
      <w:r w:rsidR="005D0891">
        <w:rPr>
          <w:rFonts w:ascii="Times New Roman" w:hAnsi="Times New Roman" w:cs="Times New Roman"/>
          <w:sz w:val="22"/>
          <w:szCs w:val="22"/>
        </w:rPr>
        <w:t>,</w:t>
      </w:r>
      <w:proofErr w:type="gramEnd"/>
      <w:r w:rsidRPr="00C36290">
        <w:rPr>
          <w:rFonts w:ascii="Times New Roman" w:hAnsi="Times New Roman" w:cs="Times New Roman"/>
          <w:sz w:val="22"/>
          <w:szCs w:val="22"/>
        </w:rPr>
        <w:t xml:space="preserve"> a principle that suggests every Christian has direct access to God without the need for a human intermediary like a priest. This idea undermined the traditional Catholic Church hierarchical structure and placed a strong emphasis on individual scripture reading and interpretation.</w:t>
      </w:r>
    </w:p>
    <w:p w:rsidR="00436244" w:rsidRPr="00436244" w:rsidRDefault="00436244" w:rsidP="00436244">
      <w:pPr>
        <w:jc w:val="both"/>
        <w:rPr>
          <w:rFonts w:ascii="Times New Roman" w:hAnsi="Times New Roman" w:cs="Times New Roman"/>
          <w:sz w:val="22"/>
          <w:szCs w:val="22"/>
        </w:rPr>
      </w:pPr>
      <w:r>
        <w:rPr>
          <w:rFonts w:ascii="Times New Roman" w:hAnsi="Times New Roman" w:cs="Times New Roman"/>
          <w:sz w:val="22"/>
          <w:szCs w:val="22"/>
        </w:rPr>
        <w:t xml:space="preserve">His </w:t>
      </w:r>
      <w:r>
        <w:rPr>
          <w:rFonts w:ascii="Times New Roman" w:hAnsi="Times New Roman" w:cs="Times New Roman"/>
          <w:i/>
          <w:iCs/>
          <w:sz w:val="22"/>
          <w:szCs w:val="22"/>
        </w:rPr>
        <w:t xml:space="preserve">Exhortation to the </w:t>
      </w:r>
      <w:r w:rsidR="005D0891">
        <w:rPr>
          <w:rFonts w:ascii="Times New Roman" w:hAnsi="Times New Roman" w:cs="Times New Roman"/>
          <w:i/>
          <w:iCs/>
          <w:sz w:val="22"/>
          <w:szCs w:val="22"/>
        </w:rPr>
        <w:t xml:space="preserve">Commonalty </w:t>
      </w:r>
      <w:r>
        <w:rPr>
          <w:rFonts w:ascii="Times New Roman" w:hAnsi="Times New Roman" w:cs="Times New Roman"/>
          <w:i/>
          <w:iCs/>
          <w:sz w:val="22"/>
          <w:szCs w:val="22"/>
        </w:rPr>
        <w:t xml:space="preserve">of </w:t>
      </w:r>
      <w:r w:rsidR="005D0891">
        <w:rPr>
          <w:rFonts w:ascii="Times New Roman" w:hAnsi="Times New Roman" w:cs="Times New Roman"/>
          <w:i/>
          <w:iCs/>
          <w:sz w:val="22"/>
          <w:szCs w:val="22"/>
        </w:rPr>
        <w:t>Scotland</w:t>
      </w:r>
      <w:r>
        <w:rPr>
          <w:rFonts w:ascii="Times New Roman" w:hAnsi="Times New Roman" w:cs="Times New Roman"/>
          <w:sz w:val="22"/>
          <w:szCs w:val="22"/>
        </w:rPr>
        <w:t xml:space="preserve"> </w:t>
      </w:r>
      <w:r w:rsidRPr="00436244">
        <w:rPr>
          <w:rFonts w:ascii="Times New Roman" w:hAnsi="Times New Roman" w:cs="Times New Roman"/>
          <w:sz w:val="22"/>
          <w:szCs w:val="22"/>
        </w:rPr>
        <w:t xml:space="preserve">is </w:t>
      </w:r>
      <w:r>
        <w:rPr>
          <w:rFonts w:ascii="Times New Roman" w:hAnsi="Times New Roman" w:cs="Times New Roman"/>
          <w:sz w:val="22"/>
          <w:szCs w:val="22"/>
        </w:rPr>
        <w:t>an</w:t>
      </w:r>
      <w:r w:rsidRPr="00436244">
        <w:rPr>
          <w:rFonts w:ascii="Times New Roman" w:hAnsi="Times New Roman" w:cs="Times New Roman"/>
          <w:sz w:val="22"/>
          <w:szCs w:val="22"/>
        </w:rPr>
        <w:t xml:space="preserve"> intricate appeal directed toward the lay population of Scotland amid the </w:t>
      </w:r>
      <w:r w:rsidRPr="00436244">
        <w:rPr>
          <w:rFonts w:ascii="Times New Roman" w:hAnsi="Times New Roman" w:cs="Times New Roman"/>
          <w:sz w:val="22"/>
          <w:szCs w:val="22"/>
        </w:rPr>
        <w:t>zealous</w:t>
      </w:r>
      <w:r w:rsidRPr="00436244">
        <w:rPr>
          <w:rFonts w:ascii="Times New Roman" w:hAnsi="Times New Roman" w:cs="Times New Roman"/>
          <w:sz w:val="22"/>
          <w:szCs w:val="22"/>
        </w:rPr>
        <w:t xml:space="preserve"> wave of the Protestant Reformation sweeping across Europe in the 16th century. Knox, a pivotal figure in the reformation movement within Scotland, articulates his plea with a profound sense of urgency and theological conviction</w:t>
      </w:r>
      <w:r>
        <w:rPr>
          <w:rFonts w:ascii="Times New Roman" w:hAnsi="Times New Roman" w:cs="Times New Roman"/>
          <w:sz w:val="22"/>
          <w:szCs w:val="22"/>
        </w:rPr>
        <w:t>. He aims to dismantle the established Roman Catholic dominion and</w:t>
      </w:r>
      <w:r w:rsidRPr="00436244">
        <w:rPr>
          <w:rFonts w:ascii="Times New Roman" w:hAnsi="Times New Roman" w:cs="Times New Roman"/>
          <w:sz w:val="22"/>
          <w:szCs w:val="22"/>
        </w:rPr>
        <w:t xml:space="preserve"> sow the seeds of Protestant belief and ecclesiastical practices among the common people.</w:t>
      </w:r>
    </w:p>
    <w:p w:rsidR="00436244" w:rsidRPr="00436244" w:rsidRDefault="00436244" w:rsidP="00436244">
      <w:pPr>
        <w:jc w:val="both"/>
        <w:rPr>
          <w:rFonts w:ascii="Times New Roman" w:hAnsi="Times New Roman" w:cs="Times New Roman"/>
          <w:sz w:val="22"/>
          <w:szCs w:val="22"/>
        </w:rPr>
      </w:pPr>
      <w:r w:rsidRPr="00436244">
        <w:rPr>
          <w:rFonts w:ascii="Times New Roman" w:hAnsi="Times New Roman" w:cs="Times New Roman"/>
          <w:sz w:val="22"/>
          <w:szCs w:val="22"/>
        </w:rPr>
        <w:t xml:space="preserve">In </w:t>
      </w:r>
      <w:r>
        <w:rPr>
          <w:rFonts w:ascii="Times New Roman" w:hAnsi="Times New Roman" w:cs="Times New Roman"/>
          <w:sz w:val="22"/>
          <w:szCs w:val="22"/>
        </w:rPr>
        <w:t>opening</w:t>
      </w:r>
      <w:r w:rsidRPr="00436244">
        <w:rPr>
          <w:rFonts w:ascii="Times New Roman" w:hAnsi="Times New Roman" w:cs="Times New Roman"/>
          <w:sz w:val="22"/>
          <w:szCs w:val="22"/>
        </w:rPr>
        <w:t xml:space="preserve"> his address, Knox extends wishes of grace, mercy, and peace to his brethren, immediately establishing a tone of communal solidarity and spiritual kinship. He implores the commonal</w:t>
      </w:r>
      <w:r>
        <w:rPr>
          <w:rFonts w:ascii="Times New Roman" w:hAnsi="Times New Roman" w:cs="Times New Roman"/>
          <w:sz w:val="22"/>
          <w:szCs w:val="22"/>
        </w:rPr>
        <w:t>i</w:t>
      </w:r>
      <w:r w:rsidRPr="00436244">
        <w:rPr>
          <w:rFonts w:ascii="Times New Roman" w:hAnsi="Times New Roman" w:cs="Times New Roman"/>
          <w:sz w:val="22"/>
          <w:szCs w:val="22"/>
        </w:rPr>
        <w:t xml:space="preserve">ty, presenting himself as a fellow member of their collective body, seeking fairness and open-mindedness as he prepares to </w:t>
      </w:r>
      <w:r>
        <w:rPr>
          <w:rFonts w:ascii="Times New Roman" w:hAnsi="Times New Roman" w:cs="Times New Roman"/>
          <w:sz w:val="22"/>
          <w:szCs w:val="22"/>
        </w:rPr>
        <w:t>put forward</w:t>
      </w:r>
      <w:r w:rsidRPr="00436244">
        <w:rPr>
          <w:rFonts w:ascii="Times New Roman" w:hAnsi="Times New Roman" w:cs="Times New Roman"/>
          <w:sz w:val="22"/>
          <w:szCs w:val="22"/>
        </w:rPr>
        <w:t xml:space="preserve"> his objections against the injustices and fallacies </w:t>
      </w:r>
      <w:r>
        <w:rPr>
          <w:rFonts w:ascii="Times New Roman" w:hAnsi="Times New Roman" w:cs="Times New Roman"/>
          <w:sz w:val="22"/>
          <w:szCs w:val="22"/>
        </w:rPr>
        <w:t>committed</w:t>
      </w:r>
      <w:r w:rsidRPr="00436244">
        <w:rPr>
          <w:rFonts w:ascii="Times New Roman" w:hAnsi="Times New Roman" w:cs="Times New Roman"/>
          <w:sz w:val="22"/>
          <w:szCs w:val="22"/>
        </w:rPr>
        <w:t xml:space="preserve"> by the Catholic Church's </w:t>
      </w:r>
      <w:r>
        <w:rPr>
          <w:rFonts w:ascii="Times New Roman" w:hAnsi="Times New Roman" w:cs="Times New Roman"/>
          <w:sz w:val="22"/>
          <w:szCs w:val="22"/>
        </w:rPr>
        <w:t xml:space="preserve">clergy and </w:t>
      </w:r>
      <w:r w:rsidRPr="00436244">
        <w:rPr>
          <w:rFonts w:ascii="Times New Roman" w:hAnsi="Times New Roman" w:cs="Times New Roman"/>
          <w:sz w:val="22"/>
          <w:szCs w:val="22"/>
        </w:rPr>
        <w:t>hierarchy. Knox</w:t>
      </w:r>
      <w:r>
        <w:rPr>
          <w:rFonts w:ascii="Times New Roman" w:hAnsi="Times New Roman" w:cs="Times New Roman"/>
          <w:sz w:val="22"/>
          <w:szCs w:val="22"/>
        </w:rPr>
        <w:t xml:space="preserve"> calls</w:t>
      </w:r>
      <w:r w:rsidRPr="00436244">
        <w:rPr>
          <w:rFonts w:ascii="Times New Roman" w:hAnsi="Times New Roman" w:cs="Times New Roman"/>
          <w:sz w:val="22"/>
          <w:szCs w:val="22"/>
        </w:rPr>
        <w:t xml:space="preserve"> for an impartial hearing of his </w:t>
      </w:r>
      <w:r>
        <w:rPr>
          <w:rFonts w:ascii="Times New Roman" w:hAnsi="Times New Roman" w:cs="Times New Roman"/>
          <w:sz w:val="22"/>
          <w:szCs w:val="22"/>
        </w:rPr>
        <w:t>exhortation, which signifies</w:t>
      </w:r>
      <w:r w:rsidRPr="00436244">
        <w:rPr>
          <w:rFonts w:ascii="Times New Roman" w:hAnsi="Times New Roman" w:cs="Times New Roman"/>
          <w:sz w:val="22"/>
          <w:szCs w:val="22"/>
        </w:rPr>
        <w:t xml:space="preserve"> not only his desire </w:t>
      </w:r>
      <w:r>
        <w:rPr>
          <w:rFonts w:ascii="Times New Roman" w:hAnsi="Times New Roman" w:cs="Times New Roman"/>
          <w:sz w:val="22"/>
          <w:szCs w:val="22"/>
        </w:rPr>
        <w:t>to be proven right but</w:t>
      </w:r>
      <w:r w:rsidRPr="00436244">
        <w:rPr>
          <w:rFonts w:ascii="Times New Roman" w:hAnsi="Times New Roman" w:cs="Times New Roman"/>
          <w:sz w:val="22"/>
          <w:szCs w:val="22"/>
        </w:rPr>
        <w:t xml:space="preserve"> also underscores the necessity of actively engaging the laity in theological discourse, thereby democratizing religious </w:t>
      </w:r>
      <w:r>
        <w:rPr>
          <w:rFonts w:ascii="Times New Roman" w:hAnsi="Times New Roman" w:cs="Times New Roman"/>
          <w:sz w:val="22"/>
          <w:szCs w:val="22"/>
        </w:rPr>
        <w:t>study</w:t>
      </w:r>
      <w:r w:rsidRPr="00436244">
        <w:rPr>
          <w:rFonts w:ascii="Times New Roman" w:hAnsi="Times New Roman" w:cs="Times New Roman"/>
          <w:sz w:val="22"/>
          <w:szCs w:val="22"/>
        </w:rPr>
        <w:t xml:space="preserve"> and interpretation.</w:t>
      </w:r>
    </w:p>
    <w:p w:rsidR="00436244" w:rsidRPr="00436244" w:rsidRDefault="00436244" w:rsidP="00436244">
      <w:pPr>
        <w:jc w:val="both"/>
        <w:rPr>
          <w:rFonts w:ascii="Times New Roman" w:hAnsi="Times New Roman" w:cs="Times New Roman"/>
          <w:sz w:val="22"/>
          <w:szCs w:val="22"/>
        </w:rPr>
      </w:pPr>
      <w:r w:rsidRPr="00436244">
        <w:rPr>
          <w:rFonts w:ascii="Times New Roman" w:hAnsi="Times New Roman" w:cs="Times New Roman"/>
          <w:sz w:val="22"/>
          <w:szCs w:val="22"/>
        </w:rPr>
        <w:t xml:space="preserve">Central to Knox's argument is the unwavering assertion that Catholic practices starkly contradict the pure ordinances of Christ, </w:t>
      </w:r>
      <w:r w:rsidRPr="00436244">
        <w:rPr>
          <w:rFonts w:ascii="Times New Roman" w:hAnsi="Times New Roman" w:cs="Times New Roman"/>
          <w:sz w:val="22"/>
          <w:szCs w:val="22"/>
        </w:rPr>
        <w:t>labeling</w:t>
      </w:r>
      <w:r w:rsidRPr="00436244">
        <w:rPr>
          <w:rFonts w:ascii="Times New Roman" w:hAnsi="Times New Roman" w:cs="Times New Roman"/>
          <w:sz w:val="22"/>
          <w:szCs w:val="22"/>
        </w:rPr>
        <w:t xml:space="preserve"> them </w:t>
      </w:r>
      <w:r>
        <w:rPr>
          <w:rFonts w:ascii="Times New Roman" w:hAnsi="Times New Roman" w:cs="Times New Roman"/>
          <w:sz w:val="22"/>
          <w:szCs w:val="22"/>
        </w:rPr>
        <w:t>poison</w:t>
      </w:r>
      <w:r w:rsidRPr="00436244">
        <w:rPr>
          <w:rFonts w:ascii="Times New Roman" w:hAnsi="Times New Roman" w:cs="Times New Roman"/>
          <w:sz w:val="22"/>
          <w:szCs w:val="22"/>
        </w:rPr>
        <w:t xml:space="preserve"> leading to spiritual death and</w:t>
      </w:r>
      <w:r>
        <w:rPr>
          <w:rFonts w:ascii="Times New Roman" w:hAnsi="Times New Roman" w:cs="Times New Roman"/>
          <w:sz w:val="22"/>
          <w:szCs w:val="22"/>
        </w:rPr>
        <w:t xml:space="preserve"> eternal</w:t>
      </w:r>
      <w:r w:rsidRPr="00436244">
        <w:rPr>
          <w:rFonts w:ascii="Times New Roman" w:hAnsi="Times New Roman" w:cs="Times New Roman"/>
          <w:sz w:val="22"/>
          <w:szCs w:val="22"/>
        </w:rPr>
        <w:t xml:space="preserve"> damnation unless remedied by sincere repentance and divine grace. Knox </w:t>
      </w:r>
      <w:r>
        <w:rPr>
          <w:rFonts w:ascii="Times New Roman" w:hAnsi="Times New Roman" w:cs="Times New Roman"/>
          <w:sz w:val="22"/>
          <w:szCs w:val="22"/>
        </w:rPr>
        <w:t>laments</w:t>
      </w:r>
      <w:r w:rsidRPr="00436244">
        <w:rPr>
          <w:rFonts w:ascii="Times New Roman" w:hAnsi="Times New Roman" w:cs="Times New Roman"/>
          <w:sz w:val="22"/>
          <w:szCs w:val="22"/>
        </w:rPr>
        <w:t xml:space="preserve"> the </w:t>
      </w:r>
      <w:r w:rsidRPr="00436244">
        <w:rPr>
          <w:rFonts w:ascii="Times New Roman" w:hAnsi="Times New Roman" w:cs="Times New Roman"/>
          <w:sz w:val="22"/>
          <w:szCs w:val="22"/>
        </w:rPr>
        <w:t>long</w:t>
      </w:r>
      <w:r w:rsidRPr="00436244">
        <w:rPr>
          <w:rFonts w:ascii="Times New Roman" w:hAnsi="Times New Roman" w:cs="Times New Roman"/>
          <w:sz w:val="22"/>
          <w:szCs w:val="22"/>
        </w:rPr>
        <w:t xml:space="preserve"> absence of </w:t>
      </w:r>
      <w:r w:rsidRPr="00436244">
        <w:rPr>
          <w:rFonts w:ascii="Times New Roman" w:hAnsi="Times New Roman" w:cs="Times New Roman"/>
          <w:sz w:val="22"/>
          <w:szCs w:val="22"/>
        </w:rPr>
        <w:t>pure</w:t>
      </w:r>
      <w:r w:rsidRPr="00436244">
        <w:rPr>
          <w:rFonts w:ascii="Times New Roman" w:hAnsi="Times New Roman" w:cs="Times New Roman"/>
          <w:sz w:val="22"/>
          <w:szCs w:val="22"/>
        </w:rPr>
        <w:t xml:space="preserve"> Scriptural preaching, attributing the entrenchment</w:t>
      </w:r>
      <w:r>
        <w:rPr>
          <w:rFonts w:ascii="Times New Roman" w:hAnsi="Times New Roman" w:cs="Times New Roman"/>
          <w:sz w:val="22"/>
          <w:szCs w:val="22"/>
        </w:rPr>
        <w:t xml:space="preserve"> </w:t>
      </w:r>
      <w:r w:rsidRPr="00436244">
        <w:rPr>
          <w:rFonts w:ascii="Times New Roman" w:hAnsi="Times New Roman" w:cs="Times New Roman"/>
          <w:sz w:val="22"/>
          <w:szCs w:val="22"/>
        </w:rPr>
        <w:t xml:space="preserve">of Catholic superstition to a widespread ignorance </w:t>
      </w:r>
      <w:r w:rsidRPr="00436244">
        <w:rPr>
          <w:rFonts w:ascii="Times New Roman" w:hAnsi="Times New Roman" w:cs="Times New Roman"/>
          <w:sz w:val="22"/>
          <w:szCs w:val="22"/>
        </w:rPr>
        <w:t>caused</w:t>
      </w:r>
      <w:r w:rsidRPr="00436244">
        <w:rPr>
          <w:rFonts w:ascii="Times New Roman" w:hAnsi="Times New Roman" w:cs="Times New Roman"/>
          <w:sz w:val="22"/>
          <w:szCs w:val="22"/>
        </w:rPr>
        <w:t xml:space="preserve"> by ecclesiastical </w:t>
      </w:r>
      <w:r w:rsidRPr="00436244">
        <w:rPr>
          <w:rFonts w:ascii="Times New Roman" w:hAnsi="Times New Roman" w:cs="Times New Roman"/>
          <w:sz w:val="22"/>
          <w:szCs w:val="22"/>
        </w:rPr>
        <w:t>suppressi</w:t>
      </w:r>
      <w:r w:rsidR="007C0F9D">
        <w:rPr>
          <w:rFonts w:ascii="Times New Roman" w:hAnsi="Times New Roman" w:cs="Times New Roman"/>
          <w:sz w:val="22"/>
          <w:szCs w:val="22"/>
        </w:rPr>
        <w:t>on</w:t>
      </w:r>
      <w:r w:rsidRPr="00436244">
        <w:rPr>
          <w:rFonts w:ascii="Times New Roman" w:hAnsi="Times New Roman" w:cs="Times New Roman"/>
          <w:sz w:val="22"/>
          <w:szCs w:val="22"/>
        </w:rPr>
        <w:t xml:space="preserve"> of biblical truth. His plea for public preaching </w:t>
      </w:r>
      <w:r w:rsidRPr="00436244">
        <w:rPr>
          <w:rFonts w:ascii="Times New Roman" w:hAnsi="Times New Roman" w:cs="Times New Roman"/>
          <w:sz w:val="22"/>
          <w:szCs w:val="22"/>
        </w:rPr>
        <w:t>arises</w:t>
      </w:r>
      <w:r w:rsidRPr="00436244">
        <w:rPr>
          <w:rFonts w:ascii="Times New Roman" w:hAnsi="Times New Roman" w:cs="Times New Roman"/>
          <w:sz w:val="22"/>
          <w:szCs w:val="22"/>
        </w:rPr>
        <w:t xml:space="preserve"> from a deep-seated belief in the transformative power of the Gospel when fearlessly proclaimed and critically examined.</w:t>
      </w:r>
    </w:p>
    <w:p w:rsidR="00436244" w:rsidRPr="00436244" w:rsidRDefault="00436244" w:rsidP="00436244">
      <w:pPr>
        <w:jc w:val="both"/>
        <w:rPr>
          <w:rFonts w:ascii="Times New Roman" w:hAnsi="Times New Roman" w:cs="Times New Roman"/>
          <w:sz w:val="22"/>
          <w:szCs w:val="22"/>
        </w:rPr>
      </w:pPr>
      <w:r w:rsidRPr="00436244">
        <w:rPr>
          <w:rFonts w:ascii="Times New Roman" w:hAnsi="Times New Roman" w:cs="Times New Roman"/>
          <w:sz w:val="22"/>
          <w:szCs w:val="22"/>
        </w:rPr>
        <w:t xml:space="preserve">Knox addresses anticipated counterarguments </w:t>
      </w:r>
      <w:r w:rsidRPr="00436244">
        <w:rPr>
          <w:rFonts w:ascii="Times New Roman" w:hAnsi="Times New Roman" w:cs="Times New Roman"/>
          <w:sz w:val="22"/>
          <w:szCs w:val="22"/>
        </w:rPr>
        <w:t>concerning</w:t>
      </w:r>
      <w:r w:rsidRPr="00436244">
        <w:rPr>
          <w:rFonts w:ascii="Times New Roman" w:hAnsi="Times New Roman" w:cs="Times New Roman"/>
          <w:sz w:val="22"/>
          <w:szCs w:val="22"/>
        </w:rPr>
        <w:t xml:space="preserve"> the validity of Catholicism, notably its historical </w:t>
      </w:r>
      <w:r>
        <w:rPr>
          <w:rFonts w:ascii="Times New Roman" w:hAnsi="Times New Roman" w:cs="Times New Roman"/>
          <w:sz w:val="22"/>
          <w:szCs w:val="22"/>
        </w:rPr>
        <w:t>antiquity</w:t>
      </w:r>
      <w:r w:rsidRPr="00436244">
        <w:rPr>
          <w:rFonts w:ascii="Times New Roman" w:hAnsi="Times New Roman" w:cs="Times New Roman"/>
          <w:sz w:val="22"/>
          <w:szCs w:val="22"/>
        </w:rPr>
        <w:t xml:space="preserve"> and </w:t>
      </w:r>
      <w:r>
        <w:rPr>
          <w:rFonts w:ascii="Times New Roman" w:hAnsi="Times New Roman" w:cs="Times New Roman"/>
          <w:sz w:val="22"/>
          <w:szCs w:val="22"/>
        </w:rPr>
        <w:t>majority</w:t>
      </w:r>
      <w:r w:rsidRPr="00436244">
        <w:rPr>
          <w:rFonts w:ascii="Times New Roman" w:hAnsi="Times New Roman" w:cs="Times New Roman"/>
          <w:sz w:val="22"/>
          <w:szCs w:val="22"/>
        </w:rPr>
        <w:t xml:space="preserve">. </w:t>
      </w:r>
      <w:r>
        <w:rPr>
          <w:rFonts w:ascii="Times New Roman" w:hAnsi="Times New Roman" w:cs="Times New Roman"/>
          <w:sz w:val="22"/>
          <w:szCs w:val="22"/>
        </w:rPr>
        <w:t>C</w:t>
      </w:r>
      <w:r w:rsidRPr="00436244">
        <w:rPr>
          <w:rFonts w:ascii="Times New Roman" w:hAnsi="Times New Roman" w:cs="Times New Roman"/>
          <w:sz w:val="22"/>
          <w:szCs w:val="22"/>
        </w:rPr>
        <w:t xml:space="preserve">hallenging </w:t>
      </w:r>
      <w:r>
        <w:rPr>
          <w:rFonts w:ascii="Times New Roman" w:hAnsi="Times New Roman" w:cs="Times New Roman"/>
          <w:sz w:val="22"/>
          <w:szCs w:val="22"/>
        </w:rPr>
        <w:t>this</w:t>
      </w:r>
      <w:r w:rsidRPr="00436244">
        <w:rPr>
          <w:rFonts w:ascii="Times New Roman" w:hAnsi="Times New Roman" w:cs="Times New Roman"/>
          <w:sz w:val="22"/>
          <w:szCs w:val="22"/>
        </w:rPr>
        <w:t xml:space="preserve">, he </w:t>
      </w:r>
      <w:r w:rsidRPr="00436244">
        <w:rPr>
          <w:rFonts w:ascii="Times New Roman" w:hAnsi="Times New Roman" w:cs="Times New Roman"/>
          <w:sz w:val="22"/>
          <w:szCs w:val="22"/>
        </w:rPr>
        <w:t>passionately</w:t>
      </w:r>
      <w:r w:rsidRPr="00436244">
        <w:rPr>
          <w:rFonts w:ascii="Times New Roman" w:hAnsi="Times New Roman" w:cs="Times New Roman"/>
          <w:sz w:val="22"/>
          <w:szCs w:val="22"/>
        </w:rPr>
        <w:t xml:space="preserve"> </w:t>
      </w:r>
      <w:r>
        <w:rPr>
          <w:rFonts w:ascii="Times New Roman" w:hAnsi="Times New Roman" w:cs="Times New Roman"/>
          <w:sz w:val="22"/>
          <w:szCs w:val="22"/>
        </w:rPr>
        <w:t>argues</w:t>
      </w:r>
      <w:r w:rsidRPr="00436244">
        <w:rPr>
          <w:rFonts w:ascii="Times New Roman" w:hAnsi="Times New Roman" w:cs="Times New Roman"/>
          <w:sz w:val="22"/>
          <w:szCs w:val="22"/>
        </w:rPr>
        <w:t xml:space="preserve"> that true religion cannot be authenticated by mere tradition or popular consensus but must </w:t>
      </w:r>
      <w:r>
        <w:rPr>
          <w:rFonts w:ascii="Times New Roman" w:hAnsi="Times New Roman" w:cs="Times New Roman"/>
          <w:sz w:val="22"/>
          <w:szCs w:val="22"/>
        </w:rPr>
        <w:t>be validated by</w:t>
      </w:r>
      <w:r w:rsidRPr="00436244">
        <w:rPr>
          <w:rFonts w:ascii="Times New Roman" w:hAnsi="Times New Roman" w:cs="Times New Roman"/>
          <w:sz w:val="22"/>
          <w:szCs w:val="22"/>
        </w:rPr>
        <w:t xml:space="preserve"> the infallible </w:t>
      </w:r>
      <w:r w:rsidRPr="00436244">
        <w:rPr>
          <w:rFonts w:ascii="Times New Roman" w:hAnsi="Times New Roman" w:cs="Times New Roman"/>
          <w:sz w:val="22"/>
          <w:szCs w:val="22"/>
        </w:rPr>
        <w:t>standard</w:t>
      </w:r>
      <w:r w:rsidRPr="00436244">
        <w:rPr>
          <w:rFonts w:ascii="Times New Roman" w:hAnsi="Times New Roman" w:cs="Times New Roman"/>
          <w:sz w:val="22"/>
          <w:szCs w:val="22"/>
        </w:rPr>
        <w:t xml:space="preserve"> of Scripture. This stance reveals Knox's </w:t>
      </w:r>
      <w:r>
        <w:rPr>
          <w:rFonts w:ascii="Times New Roman" w:hAnsi="Times New Roman" w:cs="Times New Roman"/>
          <w:sz w:val="22"/>
          <w:szCs w:val="22"/>
        </w:rPr>
        <w:t>belief</w:t>
      </w:r>
      <w:r w:rsidRPr="00436244">
        <w:rPr>
          <w:rFonts w:ascii="Times New Roman" w:hAnsi="Times New Roman" w:cs="Times New Roman"/>
          <w:sz w:val="22"/>
          <w:szCs w:val="22"/>
        </w:rPr>
        <w:t xml:space="preserve"> in the supremacy of the Bible as the ultimate </w:t>
      </w:r>
      <w:r w:rsidRPr="00436244">
        <w:rPr>
          <w:rFonts w:ascii="Times New Roman" w:hAnsi="Times New Roman" w:cs="Times New Roman"/>
          <w:sz w:val="22"/>
          <w:szCs w:val="22"/>
        </w:rPr>
        <w:t>authority</w:t>
      </w:r>
      <w:r w:rsidRPr="00436244">
        <w:rPr>
          <w:rFonts w:ascii="Times New Roman" w:hAnsi="Times New Roman" w:cs="Times New Roman"/>
          <w:sz w:val="22"/>
          <w:szCs w:val="22"/>
        </w:rPr>
        <w:t xml:space="preserve"> of faith, underscoring the Reformation's foundational principle of Sola Scriptura.</w:t>
      </w:r>
    </w:p>
    <w:p w:rsidR="005D0891" w:rsidRPr="00C36290" w:rsidRDefault="005D0891" w:rsidP="005D0891">
      <w:pPr>
        <w:jc w:val="both"/>
        <w:rPr>
          <w:rFonts w:ascii="Times New Roman" w:hAnsi="Times New Roman" w:cs="Times New Roman"/>
          <w:sz w:val="22"/>
          <w:szCs w:val="22"/>
        </w:rPr>
      </w:pPr>
      <w:r w:rsidRPr="00436244">
        <w:rPr>
          <w:rFonts w:ascii="Times New Roman" w:hAnsi="Times New Roman" w:cs="Times New Roman"/>
          <w:sz w:val="22"/>
          <w:szCs w:val="22"/>
        </w:rPr>
        <w:t>The exhortation passionately a</w:t>
      </w:r>
      <w:r>
        <w:rPr>
          <w:rFonts w:ascii="Times New Roman" w:hAnsi="Times New Roman" w:cs="Times New Roman"/>
          <w:sz w:val="22"/>
          <w:szCs w:val="22"/>
        </w:rPr>
        <w:t>dvocates for commonality's active role in religious reformation</w:t>
      </w:r>
      <w:r>
        <w:rPr>
          <w:rFonts w:ascii="Times New Roman" w:hAnsi="Times New Roman" w:cs="Times New Roman"/>
          <w:sz w:val="22"/>
          <w:szCs w:val="22"/>
        </w:rPr>
        <w:t xml:space="preserve">, </w:t>
      </w:r>
      <w:r w:rsidRPr="00C36290">
        <w:rPr>
          <w:rFonts w:ascii="Times New Roman" w:hAnsi="Times New Roman" w:cs="Times New Roman"/>
          <w:sz w:val="22"/>
          <w:szCs w:val="22"/>
        </w:rPr>
        <w:t xml:space="preserve">asserting the spiritual equality of all individuals before God. He </w:t>
      </w:r>
      <w:r>
        <w:rPr>
          <w:rFonts w:ascii="Times New Roman" w:hAnsi="Times New Roman" w:cs="Times New Roman"/>
          <w:sz w:val="22"/>
          <w:szCs w:val="22"/>
        </w:rPr>
        <w:t>dismantles</w:t>
      </w:r>
      <w:r w:rsidRPr="00C36290">
        <w:rPr>
          <w:rFonts w:ascii="Times New Roman" w:hAnsi="Times New Roman" w:cs="Times New Roman"/>
          <w:sz w:val="22"/>
          <w:szCs w:val="22"/>
        </w:rPr>
        <w:t xml:space="preserve"> prevailing social hierarchies by arguing that God's grace and sanctification are uniformly accessible, transcending class, wealth, and status. Drawing from the Old Testament, Knox cited the uniform contributions </w:t>
      </w:r>
      <w:r>
        <w:rPr>
          <w:rFonts w:ascii="Times New Roman" w:hAnsi="Times New Roman" w:cs="Times New Roman"/>
          <w:sz w:val="22"/>
          <w:szCs w:val="22"/>
        </w:rPr>
        <w:t>of both rich and poor to the Tabernacle</w:t>
      </w:r>
      <w:r w:rsidRPr="00C36290">
        <w:rPr>
          <w:rFonts w:ascii="Times New Roman" w:hAnsi="Times New Roman" w:cs="Times New Roman"/>
          <w:sz w:val="22"/>
          <w:szCs w:val="22"/>
        </w:rPr>
        <w:t xml:space="preserve"> as evidence that salvation through Jesus Christ is universally attainable, restoring the unity with God that humanity lost through the fall of Adam. </w:t>
      </w:r>
      <w:r>
        <w:rPr>
          <w:rFonts w:ascii="Times New Roman" w:hAnsi="Times New Roman" w:cs="Times New Roman"/>
          <w:sz w:val="22"/>
          <w:szCs w:val="22"/>
        </w:rPr>
        <w:t>He contends</w:t>
      </w:r>
      <w:r w:rsidRPr="00C36290">
        <w:rPr>
          <w:rFonts w:ascii="Times New Roman" w:hAnsi="Times New Roman" w:cs="Times New Roman"/>
          <w:sz w:val="22"/>
          <w:szCs w:val="22"/>
        </w:rPr>
        <w:t xml:space="preserve"> that neither poverty nor wealth </w:t>
      </w:r>
      <w:r>
        <w:rPr>
          <w:rFonts w:ascii="Times New Roman" w:hAnsi="Times New Roman" w:cs="Times New Roman"/>
          <w:sz w:val="22"/>
          <w:szCs w:val="22"/>
        </w:rPr>
        <w:t>can</w:t>
      </w:r>
      <w:r w:rsidRPr="00C36290">
        <w:rPr>
          <w:rFonts w:ascii="Times New Roman" w:hAnsi="Times New Roman" w:cs="Times New Roman"/>
          <w:sz w:val="22"/>
          <w:szCs w:val="22"/>
        </w:rPr>
        <w:t xml:space="preserve"> obstruct or facilitate one's access to God's grace, making every individual, from the lowliest subject to the mightiest king, equal in the pursuit of salvation.</w:t>
      </w:r>
    </w:p>
    <w:p w:rsidR="005D0891" w:rsidRPr="00C36290" w:rsidRDefault="005D0891" w:rsidP="005D0891">
      <w:pPr>
        <w:jc w:val="both"/>
        <w:rPr>
          <w:rFonts w:ascii="Times New Roman" w:hAnsi="Times New Roman" w:cs="Times New Roman"/>
          <w:sz w:val="22"/>
          <w:szCs w:val="22"/>
        </w:rPr>
      </w:pPr>
      <w:r w:rsidRPr="00C36290">
        <w:rPr>
          <w:rFonts w:ascii="Times New Roman" w:hAnsi="Times New Roman" w:cs="Times New Roman"/>
          <w:sz w:val="22"/>
          <w:szCs w:val="22"/>
        </w:rPr>
        <w:t>Moreover, Knox present</w:t>
      </w:r>
      <w:r>
        <w:rPr>
          <w:rFonts w:ascii="Times New Roman" w:hAnsi="Times New Roman" w:cs="Times New Roman"/>
          <w:sz w:val="22"/>
          <w:szCs w:val="22"/>
        </w:rPr>
        <w:t>s</w:t>
      </w:r>
      <w:r w:rsidRPr="00C36290">
        <w:rPr>
          <w:rFonts w:ascii="Times New Roman" w:hAnsi="Times New Roman" w:cs="Times New Roman"/>
          <w:sz w:val="22"/>
          <w:szCs w:val="22"/>
        </w:rPr>
        <w:t xml:space="preserve"> himself and his fellow reformers as the true shepherds of God's flock, tasked with guiding the Scottish people back to the pure teachings of the gospel, which</w:t>
      </w:r>
      <w:r>
        <w:rPr>
          <w:rFonts w:ascii="Times New Roman" w:hAnsi="Times New Roman" w:cs="Times New Roman"/>
          <w:sz w:val="22"/>
          <w:szCs w:val="22"/>
        </w:rPr>
        <w:t>, he argues</w:t>
      </w:r>
      <w:r>
        <w:rPr>
          <w:rFonts w:ascii="Times New Roman" w:hAnsi="Times New Roman" w:cs="Times New Roman"/>
          <w:sz w:val="22"/>
          <w:szCs w:val="22"/>
        </w:rPr>
        <w:t>,</w:t>
      </w:r>
      <w:r w:rsidRPr="00C36290">
        <w:rPr>
          <w:rFonts w:ascii="Times New Roman" w:hAnsi="Times New Roman" w:cs="Times New Roman"/>
          <w:sz w:val="22"/>
          <w:szCs w:val="22"/>
        </w:rPr>
        <w:t xml:space="preserve"> ha</w:t>
      </w:r>
      <w:r>
        <w:rPr>
          <w:rFonts w:ascii="Times New Roman" w:hAnsi="Times New Roman" w:cs="Times New Roman"/>
          <w:sz w:val="22"/>
          <w:szCs w:val="22"/>
        </w:rPr>
        <w:t>s</w:t>
      </w:r>
      <w:r w:rsidRPr="00C36290">
        <w:rPr>
          <w:rFonts w:ascii="Times New Roman" w:hAnsi="Times New Roman" w:cs="Times New Roman"/>
          <w:sz w:val="22"/>
          <w:szCs w:val="22"/>
        </w:rPr>
        <w:t xml:space="preserve"> been obscured by the corrupt practices of the Catholic clergy. This self-assigned role </w:t>
      </w:r>
      <w:r>
        <w:rPr>
          <w:rFonts w:ascii="Times New Roman" w:hAnsi="Times New Roman" w:cs="Times New Roman"/>
          <w:sz w:val="22"/>
          <w:szCs w:val="22"/>
        </w:rPr>
        <w:t>is</w:t>
      </w:r>
      <w:r w:rsidRPr="00C36290">
        <w:rPr>
          <w:rFonts w:ascii="Times New Roman" w:hAnsi="Times New Roman" w:cs="Times New Roman"/>
          <w:sz w:val="22"/>
          <w:szCs w:val="22"/>
        </w:rPr>
        <w:t xml:space="preserve"> not merely spiritual but also deeply political, as Knox call</w:t>
      </w:r>
      <w:r>
        <w:rPr>
          <w:rFonts w:ascii="Times New Roman" w:hAnsi="Times New Roman" w:cs="Times New Roman"/>
          <w:sz w:val="22"/>
          <w:szCs w:val="22"/>
        </w:rPr>
        <w:t>s</w:t>
      </w:r>
      <w:r w:rsidRPr="00C36290">
        <w:rPr>
          <w:rFonts w:ascii="Times New Roman" w:hAnsi="Times New Roman" w:cs="Times New Roman"/>
          <w:sz w:val="22"/>
          <w:szCs w:val="22"/>
        </w:rPr>
        <w:t xml:space="preserve"> for a reevaluation of the clergy's power and influence in society. He urge</w:t>
      </w:r>
      <w:r>
        <w:rPr>
          <w:rFonts w:ascii="Times New Roman" w:hAnsi="Times New Roman" w:cs="Times New Roman"/>
          <w:sz w:val="22"/>
          <w:szCs w:val="22"/>
        </w:rPr>
        <w:t>s</w:t>
      </w:r>
      <w:r w:rsidRPr="00C36290">
        <w:rPr>
          <w:rFonts w:ascii="Times New Roman" w:hAnsi="Times New Roman" w:cs="Times New Roman"/>
          <w:sz w:val="22"/>
          <w:szCs w:val="22"/>
        </w:rPr>
        <w:t xml:space="preserve"> the people to critically evaluate the doctrine presented to them, favoring the </w:t>
      </w:r>
      <w:r w:rsidRPr="00C36290">
        <w:rPr>
          <w:rFonts w:ascii="Times New Roman" w:hAnsi="Times New Roman" w:cs="Times New Roman"/>
          <w:sz w:val="22"/>
          <w:szCs w:val="22"/>
        </w:rPr>
        <w:t>pure</w:t>
      </w:r>
      <w:r w:rsidRPr="00C36290">
        <w:rPr>
          <w:rFonts w:ascii="Times New Roman" w:hAnsi="Times New Roman" w:cs="Times New Roman"/>
          <w:sz w:val="22"/>
          <w:szCs w:val="22"/>
        </w:rPr>
        <w:t xml:space="preserve"> gospel of God over any doctrine emanating from earthly authorities.</w:t>
      </w:r>
      <w:r w:rsidR="003062D2">
        <w:rPr>
          <w:rFonts w:ascii="Times New Roman" w:hAnsi="Times New Roman" w:cs="Times New Roman"/>
          <w:sz w:val="22"/>
          <w:szCs w:val="22"/>
        </w:rPr>
        <w:t xml:space="preserve"> </w:t>
      </w:r>
      <w:r w:rsidRPr="00C36290">
        <w:rPr>
          <w:rFonts w:ascii="Times New Roman" w:hAnsi="Times New Roman" w:cs="Times New Roman"/>
          <w:sz w:val="22"/>
          <w:szCs w:val="22"/>
        </w:rPr>
        <w:t>Knox's call to action include</w:t>
      </w:r>
      <w:r>
        <w:rPr>
          <w:rFonts w:ascii="Times New Roman" w:hAnsi="Times New Roman" w:cs="Times New Roman"/>
          <w:sz w:val="22"/>
          <w:szCs w:val="22"/>
        </w:rPr>
        <w:t>s</w:t>
      </w:r>
      <w:r w:rsidRPr="00C36290">
        <w:rPr>
          <w:rFonts w:ascii="Times New Roman" w:hAnsi="Times New Roman" w:cs="Times New Roman"/>
          <w:sz w:val="22"/>
          <w:szCs w:val="22"/>
        </w:rPr>
        <w:t xml:space="preserve"> a bold directive for the laity to assert their right to withhold taxes and other forms of support from bishops and clergy </w:t>
      </w:r>
      <w:r w:rsidR="003062D2">
        <w:rPr>
          <w:rFonts w:ascii="Times New Roman" w:hAnsi="Times New Roman" w:cs="Times New Roman"/>
          <w:sz w:val="22"/>
          <w:szCs w:val="22"/>
        </w:rPr>
        <w:t>unfaithful to the gospel's true teachings</w:t>
      </w:r>
      <w:r>
        <w:rPr>
          <w:rFonts w:ascii="Times New Roman" w:hAnsi="Times New Roman" w:cs="Times New Roman"/>
          <w:sz w:val="22"/>
          <w:szCs w:val="22"/>
        </w:rPr>
        <w:t xml:space="preserve"> and abuse their ecclesiastical power</w:t>
      </w:r>
      <w:r w:rsidRPr="00C36290">
        <w:rPr>
          <w:rFonts w:ascii="Times New Roman" w:hAnsi="Times New Roman" w:cs="Times New Roman"/>
          <w:sz w:val="22"/>
          <w:szCs w:val="22"/>
        </w:rPr>
        <w:t xml:space="preserve">. This move </w:t>
      </w:r>
      <w:r>
        <w:rPr>
          <w:rFonts w:ascii="Times New Roman" w:hAnsi="Times New Roman" w:cs="Times New Roman"/>
          <w:sz w:val="22"/>
          <w:szCs w:val="22"/>
        </w:rPr>
        <w:t>is</w:t>
      </w:r>
      <w:r w:rsidRPr="00C36290">
        <w:rPr>
          <w:rFonts w:ascii="Times New Roman" w:hAnsi="Times New Roman" w:cs="Times New Roman"/>
          <w:sz w:val="22"/>
          <w:szCs w:val="22"/>
        </w:rPr>
        <w:t xml:space="preserve"> </w:t>
      </w:r>
      <w:r w:rsidR="003062D2">
        <w:rPr>
          <w:rFonts w:ascii="Times New Roman" w:hAnsi="Times New Roman" w:cs="Times New Roman"/>
          <w:sz w:val="22"/>
          <w:szCs w:val="22"/>
        </w:rPr>
        <w:t>a call for spiritual reformation and</w:t>
      </w:r>
      <w:r w:rsidRPr="00C36290">
        <w:rPr>
          <w:rFonts w:ascii="Times New Roman" w:hAnsi="Times New Roman" w:cs="Times New Roman"/>
          <w:sz w:val="22"/>
          <w:szCs w:val="22"/>
        </w:rPr>
        <w:t xml:space="preserve"> a challenge to the economic structures that supported the Catholic Church's hegemony in Scotland. Knox's rejection of passivity in the face of ecclesiastical corruption and his insistence on proactive engagement in religious reform underscore</w:t>
      </w:r>
      <w:r>
        <w:rPr>
          <w:rFonts w:ascii="Times New Roman" w:hAnsi="Times New Roman" w:cs="Times New Roman"/>
          <w:sz w:val="22"/>
          <w:szCs w:val="22"/>
        </w:rPr>
        <w:t>s</w:t>
      </w:r>
      <w:r w:rsidRPr="00C36290">
        <w:rPr>
          <w:rFonts w:ascii="Times New Roman" w:hAnsi="Times New Roman" w:cs="Times New Roman"/>
          <w:sz w:val="22"/>
          <w:szCs w:val="22"/>
        </w:rPr>
        <w:t xml:space="preserve"> the responsibility of both rulers and subjects to foster a true Christian community.</w:t>
      </w:r>
    </w:p>
    <w:p w:rsidR="00436244" w:rsidRPr="00436244" w:rsidRDefault="00436244" w:rsidP="00436244">
      <w:pPr>
        <w:jc w:val="both"/>
        <w:rPr>
          <w:rFonts w:ascii="Times New Roman" w:hAnsi="Times New Roman" w:cs="Times New Roman"/>
          <w:sz w:val="22"/>
          <w:szCs w:val="22"/>
        </w:rPr>
      </w:pPr>
      <w:r w:rsidRPr="00436244">
        <w:rPr>
          <w:rFonts w:ascii="Times New Roman" w:hAnsi="Times New Roman" w:cs="Times New Roman"/>
          <w:sz w:val="22"/>
          <w:szCs w:val="22"/>
        </w:rPr>
        <w:lastRenderedPageBreak/>
        <w:t xml:space="preserve">Knox </w:t>
      </w:r>
      <w:r w:rsidR="007C0F9D">
        <w:rPr>
          <w:rFonts w:ascii="Times New Roman" w:hAnsi="Times New Roman" w:cs="Times New Roman"/>
          <w:sz w:val="22"/>
          <w:szCs w:val="22"/>
        </w:rPr>
        <w:t>employs</w:t>
      </w:r>
      <w:r w:rsidRPr="00436244">
        <w:rPr>
          <w:rFonts w:ascii="Times New Roman" w:hAnsi="Times New Roman" w:cs="Times New Roman"/>
          <w:sz w:val="22"/>
          <w:szCs w:val="22"/>
        </w:rPr>
        <w:t xml:space="preserve"> biblical narratives and theological reasoning to embolden his audience, </w:t>
      </w:r>
      <w:r w:rsidR="005D0891">
        <w:rPr>
          <w:rFonts w:ascii="Times New Roman" w:hAnsi="Times New Roman" w:cs="Times New Roman"/>
          <w:sz w:val="22"/>
          <w:szCs w:val="22"/>
        </w:rPr>
        <w:t>explicating</w:t>
      </w:r>
      <w:r w:rsidRPr="00436244">
        <w:rPr>
          <w:rFonts w:ascii="Times New Roman" w:hAnsi="Times New Roman" w:cs="Times New Roman"/>
          <w:sz w:val="22"/>
          <w:szCs w:val="22"/>
        </w:rPr>
        <w:t xml:space="preserve"> the egalitarian nature of salvation accessible to all through faith in Jesus Christ, irrespective of societal stature or wealth. This democratic vision of Christianity not only challenges the hierarchical structure of the Catholic Church but also aims to galvanize the common people by affirming their intrinsic worth and direct access to divine grace.</w:t>
      </w:r>
      <w:r w:rsidR="007C0F9D">
        <w:rPr>
          <w:rFonts w:ascii="Times New Roman" w:hAnsi="Times New Roman" w:cs="Times New Roman"/>
          <w:sz w:val="22"/>
          <w:szCs w:val="22"/>
        </w:rPr>
        <w:t xml:space="preserve"> </w:t>
      </w:r>
      <w:r w:rsidR="003062D2">
        <w:rPr>
          <w:rFonts w:ascii="Times New Roman" w:hAnsi="Times New Roman" w:cs="Times New Roman"/>
          <w:sz w:val="22"/>
          <w:szCs w:val="22"/>
        </w:rPr>
        <w:t>Knox employs vivid imagery, historical precedents, and allegorical references throughout the text</w:t>
      </w:r>
      <w:r w:rsidRPr="00436244">
        <w:rPr>
          <w:rFonts w:ascii="Times New Roman" w:hAnsi="Times New Roman" w:cs="Times New Roman"/>
          <w:sz w:val="22"/>
          <w:szCs w:val="22"/>
        </w:rPr>
        <w:t xml:space="preserve"> to underscore the </w:t>
      </w:r>
      <w:r w:rsidR="007C0F9D">
        <w:rPr>
          <w:rFonts w:ascii="Times New Roman" w:hAnsi="Times New Roman" w:cs="Times New Roman"/>
          <w:sz w:val="22"/>
          <w:szCs w:val="22"/>
        </w:rPr>
        <w:t>disastrous</w:t>
      </w:r>
      <w:r w:rsidRPr="00436244">
        <w:rPr>
          <w:rFonts w:ascii="Times New Roman" w:hAnsi="Times New Roman" w:cs="Times New Roman"/>
          <w:sz w:val="22"/>
          <w:szCs w:val="22"/>
        </w:rPr>
        <w:t xml:space="preserve"> consequences of complacency and </w:t>
      </w:r>
      <w:r w:rsidR="007C0F9D" w:rsidRPr="00436244">
        <w:rPr>
          <w:rFonts w:ascii="Times New Roman" w:hAnsi="Times New Roman" w:cs="Times New Roman"/>
          <w:sz w:val="22"/>
          <w:szCs w:val="22"/>
        </w:rPr>
        <w:t>participation</w:t>
      </w:r>
      <w:r w:rsidRPr="00436244">
        <w:rPr>
          <w:rFonts w:ascii="Times New Roman" w:hAnsi="Times New Roman" w:cs="Times New Roman"/>
          <w:sz w:val="22"/>
          <w:szCs w:val="22"/>
        </w:rPr>
        <w:t xml:space="preserve"> in religious corruption. He draws parallels to biblical </w:t>
      </w:r>
      <w:r w:rsidR="007C0F9D">
        <w:rPr>
          <w:rFonts w:ascii="Times New Roman" w:hAnsi="Times New Roman" w:cs="Times New Roman"/>
          <w:sz w:val="22"/>
          <w:szCs w:val="22"/>
        </w:rPr>
        <w:t>examples</w:t>
      </w:r>
      <w:r w:rsidRPr="00436244">
        <w:rPr>
          <w:rFonts w:ascii="Times New Roman" w:hAnsi="Times New Roman" w:cs="Times New Roman"/>
          <w:sz w:val="22"/>
          <w:szCs w:val="22"/>
        </w:rPr>
        <w:t xml:space="preserve"> of divine wrath</w:t>
      </w:r>
      <w:r w:rsidR="007C0F9D">
        <w:rPr>
          <w:rFonts w:ascii="Times New Roman" w:hAnsi="Times New Roman" w:cs="Times New Roman"/>
          <w:sz w:val="22"/>
          <w:szCs w:val="22"/>
        </w:rPr>
        <w:t xml:space="preserve"> (the Flood, Sodom and Gomorrah, and Babylon)</w:t>
      </w:r>
      <w:r w:rsidRPr="00436244">
        <w:rPr>
          <w:rFonts w:ascii="Times New Roman" w:hAnsi="Times New Roman" w:cs="Times New Roman"/>
          <w:sz w:val="22"/>
          <w:szCs w:val="22"/>
        </w:rPr>
        <w:t xml:space="preserve"> as a warning of communal accountability in the eyes of God, </w:t>
      </w:r>
      <w:r w:rsidR="007C0F9D" w:rsidRPr="00436244">
        <w:rPr>
          <w:rFonts w:ascii="Times New Roman" w:hAnsi="Times New Roman" w:cs="Times New Roman"/>
          <w:sz w:val="22"/>
          <w:szCs w:val="22"/>
        </w:rPr>
        <w:t>cultivating</w:t>
      </w:r>
      <w:r w:rsidRPr="00436244">
        <w:rPr>
          <w:rFonts w:ascii="Times New Roman" w:hAnsi="Times New Roman" w:cs="Times New Roman"/>
          <w:sz w:val="22"/>
          <w:szCs w:val="22"/>
        </w:rPr>
        <w:t xml:space="preserve"> a sense of urgency to </w:t>
      </w:r>
      <w:r w:rsidR="007C0F9D" w:rsidRPr="00436244">
        <w:rPr>
          <w:rFonts w:ascii="Times New Roman" w:hAnsi="Times New Roman" w:cs="Times New Roman"/>
          <w:sz w:val="22"/>
          <w:szCs w:val="22"/>
        </w:rPr>
        <w:t>avoid</w:t>
      </w:r>
      <w:r w:rsidRPr="00436244">
        <w:rPr>
          <w:rFonts w:ascii="Times New Roman" w:hAnsi="Times New Roman" w:cs="Times New Roman"/>
          <w:sz w:val="22"/>
          <w:szCs w:val="22"/>
        </w:rPr>
        <w:t xml:space="preserve"> idolatry and to embrace reformative action.</w:t>
      </w:r>
    </w:p>
    <w:p w:rsidR="00436244" w:rsidRPr="00436244" w:rsidRDefault="00436244" w:rsidP="00436244">
      <w:pPr>
        <w:jc w:val="both"/>
        <w:rPr>
          <w:rFonts w:ascii="Times New Roman" w:hAnsi="Times New Roman" w:cs="Times New Roman"/>
          <w:sz w:val="22"/>
          <w:szCs w:val="22"/>
        </w:rPr>
      </w:pPr>
      <w:r w:rsidRPr="00436244">
        <w:rPr>
          <w:rFonts w:ascii="Times New Roman" w:hAnsi="Times New Roman" w:cs="Times New Roman"/>
          <w:sz w:val="22"/>
          <w:szCs w:val="22"/>
        </w:rPr>
        <w:t>In his concluding remarks, Knox e</w:t>
      </w:r>
      <w:r w:rsidR="007C0F9D">
        <w:rPr>
          <w:rFonts w:ascii="Times New Roman" w:hAnsi="Times New Roman" w:cs="Times New Roman"/>
          <w:sz w:val="22"/>
          <w:szCs w:val="22"/>
        </w:rPr>
        <w:t>arnestly prays</w:t>
      </w:r>
      <w:r w:rsidRPr="00436244">
        <w:rPr>
          <w:rFonts w:ascii="Times New Roman" w:hAnsi="Times New Roman" w:cs="Times New Roman"/>
          <w:sz w:val="22"/>
          <w:szCs w:val="22"/>
        </w:rPr>
        <w:t xml:space="preserve"> for spiritual enlightenment and </w:t>
      </w:r>
      <w:r w:rsidR="007C0F9D" w:rsidRPr="00436244">
        <w:rPr>
          <w:rFonts w:ascii="Times New Roman" w:hAnsi="Times New Roman" w:cs="Times New Roman"/>
          <w:sz w:val="22"/>
          <w:szCs w:val="22"/>
        </w:rPr>
        <w:t>courage</w:t>
      </w:r>
      <w:r w:rsidRPr="00436244">
        <w:rPr>
          <w:rFonts w:ascii="Times New Roman" w:hAnsi="Times New Roman" w:cs="Times New Roman"/>
          <w:sz w:val="22"/>
          <w:szCs w:val="22"/>
        </w:rPr>
        <w:t xml:space="preserve"> among the commonalty, emphasizing the </w:t>
      </w:r>
      <w:r w:rsidR="007C0F9D">
        <w:rPr>
          <w:rFonts w:ascii="Times New Roman" w:hAnsi="Times New Roman" w:cs="Times New Roman"/>
          <w:sz w:val="22"/>
          <w:szCs w:val="22"/>
        </w:rPr>
        <w:t xml:space="preserve">eternal stakes – </w:t>
      </w:r>
      <w:r w:rsidRPr="00436244">
        <w:rPr>
          <w:rFonts w:ascii="Times New Roman" w:hAnsi="Times New Roman" w:cs="Times New Roman"/>
          <w:sz w:val="22"/>
          <w:szCs w:val="22"/>
        </w:rPr>
        <w:t xml:space="preserve">the salvation of their souls and the promise of eternal life. His closing reflections exhort the people to prioritize their allegiance to God and the Gospel above all temporal concerns, </w:t>
      </w:r>
      <w:r w:rsidR="007C0F9D">
        <w:rPr>
          <w:rFonts w:ascii="Times New Roman" w:hAnsi="Times New Roman" w:cs="Times New Roman"/>
          <w:sz w:val="22"/>
          <w:szCs w:val="22"/>
        </w:rPr>
        <w:t>creating</w:t>
      </w:r>
      <w:r w:rsidRPr="00436244">
        <w:rPr>
          <w:rFonts w:ascii="Times New Roman" w:hAnsi="Times New Roman" w:cs="Times New Roman"/>
          <w:sz w:val="22"/>
          <w:szCs w:val="22"/>
        </w:rPr>
        <w:t xml:space="preserve"> a hopeful vision of redemption and spiritual </w:t>
      </w:r>
      <w:r w:rsidR="007C0F9D" w:rsidRPr="00436244">
        <w:rPr>
          <w:rFonts w:ascii="Times New Roman" w:hAnsi="Times New Roman" w:cs="Times New Roman"/>
          <w:sz w:val="22"/>
          <w:szCs w:val="22"/>
        </w:rPr>
        <w:t>revival</w:t>
      </w:r>
      <w:r w:rsidRPr="00436244">
        <w:rPr>
          <w:rFonts w:ascii="Times New Roman" w:hAnsi="Times New Roman" w:cs="Times New Roman"/>
          <w:sz w:val="22"/>
          <w:szCs w:val="22"/>
        </w:rPr>
        <w:t xml:space="preserve"> through collective </w:t>
      </w:r>
      <w:r w:rsidR="007C0F9D" w:rsidRPr="00436244">
        <w:rPr>
          <w:rFonts w:ascii="Times New Roman" w:hAnsi="Times New Roman" w:cs="Times New Roman"/>
          <w:sz w:val="22"/>
          <w:szCs w:val="22"/>
        </w:rPr>
        <w:t>devotion</w:t>
      </w:r>
      <w:r w:rsidRPr="00436244">
        <w:rPr>
          <w:rFonts w:ascii="Times New Roman" w:hAnsi="Times New Roman" w:cs="Times New Roman"/>
          <w:sz w:val="22"/>
          <w:szCs w:val="22"/>
        </w:rPr>
        <w:t xml:space="preserve"> to </w:t>
      </w:r>
      <w:r w:rsidR="007C0F9D">
        <w:rPr>
          <w:rFonts w:ascii="Times New Roman" w:hAnsi="Times New Roman" w:cs="Times New Roman"/>
          <w:sz w:val="22"/>
          <w:szCs w:val="22"/>
        </w:rPr>
        <w:t xml:space="preserve">scriptural and reformed </w:t>
      </w:r>
      <w:r w:rsidRPr="00436244">
        <w:rPr>
          <w:rFonts w:ascii="Times New Roman" w:hAnsi="Times New Roman" w:cs="Times New Roman"/>
          <w:sz w:val="22"/>
          <w:szCs w:val="22"/>
        </w:rPr>
        <w:t>principles.</w:t>
      </w:r>
    </w:p>
    <w:p w:rsidR="00B52ACF" w:rsidRDefault="005873BA" w:rsidP="00B52ACF">
      <w:pPr>
        <w:jc w:val="both"/>
        <w:rPr>
          <w:rFonts w:ascii="Times New Roman" w:hAnsi="Times New Roman" w:cs="Times New Roman"/>
          <w:sz w:val="22"/>
          <w:szCs w:val="22"/>
        </w:rPr>
      </w:pPr>
      <w:r w:rsidRPr="005D0891">
        <w:rPr>
          <w:rFonts w:ascii="Times New Roman" w:hAnsi="Times New Roman" w:cs="Times New Roman"/>
          <w:sz w:val="22"/>
          <w:szCs w:val="22"/>
        </w:rPr>
        <w:t xml:space="preserve">John Knox's </w:t>
      </w:r>
      <w:r w:rsidRPr="005873BA">
        <w:rPr>
          <w:rFonts w:ascii="Times New Roman" w:hAnsi="Times New Roman" w:cs="Times New Roman"/>
          <w:i/>
          <w:iCs/>
          <w:sz w:val="22"/>
          <w:szCs w:val="22"/>
        </w:rPr>
        <w:t>Exhortation to the Commonalty of Scotland</w:t>
      </w:r>
      <w:r w:rsidRPr="005D0891">
        <w:rPr>
          <w:rFonts w:ascii="Times New Roman" w:hAnsi="Times New Roman" w:cs="Times New Roman"/>
          <w:sz w:val="22"/>
          <w:szCs w:val="22"/>
        </w:rPr>
        <w:t xml:space="preserve"> is a seminal work in the history of the Protestant Reformation, particularly within the context of </w:t>
      </w:r>
      <w:r>
        <w:rPr>
          <w:rFonts w:ascii="Times New Roman" w:hAnsi="Times New Roman" w:cs="Times New Roman"/>
          <w:sz w:val="22"/>
          <w:szCs w:val="22"/>
        </w:rPr>
        <w:t xml:space="preserve">the </w:t>
      </w:r>
      <w:r w:rsidRPr="005D0891">
        <w:rPr>
          <w:rFonts w:ascii="Times New Roman" w:hAnsi="Times New Roman" w:cs="Times New Roman"/>
          <w:sz w:val="22"/>
          <w:szCs w:val="22"/>
        </w:rPr>
        <w:t xml:space="preserve">Scottish </w:t>
      </w:r>
      <w:r w:rsidR="003062D2">
        <w:rPr>
          <w:rFonts w:ascii="Times New Roman" w:hAnsi="Times New Roman" w:cs="Times New Roman"/>
          <w:sz w:val="22"/>
          <w:szCs w:val="22"/>
        </w:rPr>
        <w:t>R</w:t>
      </w:r>
      <w:r w:rsidRPr="005D0891">
        <w:rPr>
          <w:rFonts w:ascii="Times New Roman" w:hAnsi="Times New Roman" w:cs="Times New Roman"/>
          <w:sz w:val="22"/>
          <w:szCs w:val="22"/>
        </w:rPr>
        <w:t>eform</w:t>
      </w:r>
      <w:r>
        <w:rPr>
          <w:rFonts w:ascii="Times New Roman" w:hAnsi="Times New Roman" w:cs="Times New Roman"/>
          <w:sz w:val="22"/>
          <w:szCs w:val="22"/>
        </w:rPr>
        <w:t>ation</w:t>
      </w:r>
      <w:r w:rsidRPr="005D0891">
        <w:rPr>
          <w:rFonts w:ascii="Times New Roman" w:hAnsi="Times New Roman" w:cs="Times New Roman"/>
          <w:sz w:val="22"/>
          <w:szCs w:val="22"/>
        </w:rPr>
        <w:t xml:space="preserve">. Knox's approach combines rigorous theological argumentation with emotive appeals to the collective conscience of the Scottish commonalty. He systematically addresses the theological, moral, and social issues stemming from Catholic practices, </w:t>
      </w:r>
      <w:r>
        <w:rPr>
          <w:rFonts w:ascii="Times New Roman" w:hAnsi="Times New Roman" w:cs="Times New Roman"/>
          <w:sz w:val="22"/>
          <w:szCs w:val="22"/>
        </w:rPr>
        <w:t>and calls for</w:t>
      </w:r>
      <w:r w:rsidRPr="005D0891">
        <w:rPr>
          <w:rFonts w:ascii="Times New Roman" w:hAnsi="Times New Roman" w:cs="Times New Roman"/>
          <w:sz w:val="22"/>
          <w:szCs w:val="22"/>
        </w:rPr>
        <w:t xml:space="preserve"> sweeping reforms based on the Scriptur</w:t>
      </w:r>
      <w:r>
        <w:rPr>
          <w:rFonts w:ascii="Times New Roman" w:hAnsi="Times New Roman" w:cs="Times New Roman"/>
          <w:sz w:val="22"/>
          <w:szCs w:val="22"/>
        </w:rPr>
        <w:t>al principles</w:t>
      </w:r>
      <w:r w:rsidRPr="005D0891">
        <w:rPr>
          <w:rFonts w:ascii="Times New Roman" w:hAnsi="Times New Roman" w:cs="Times New Roman"/>
          <w:sz w:val="22"/>
          <w:szCs w:val="22"/>
        </w:rPr>
        <w:t>. Knox's method is dialectical; he anticipates counterarguments regarding the authority of tradition and the Church, countering them with the primacy of biblical text and the personal responsibility of believers to seek truth.</w:t>
      </w:r>
      <w:r>
        <w:rPr>
          <w:rFonts w:ascii="Times New Roman" w:hAnsi="Times New Roman" w:cs="Times New Roman"/>
          <w:sz w:val="22"/>
          <w:szCs w:val="22"/>
        </w:rPr>
        <w:t xml:space="preserve"> </w:t>
      </w:r>
      <w:r w:rsidRPr="005D0891">
        <w:rPr>
          <w:rFonts w:ascii="Times New Roman" w:hAnsi="Times New Roman" w:cs="Times New Roman"/>
          <w:sz w:val="22"/>
          <w:szCs w:val="22"/>
        </w:rPr>
        <w:t xml:space="preserve">Knox's contribution to the reformation discourse is </w:t>
      </w:r>
      <w:r w:rsidR="00B52ACF">
        <w:rPr>
          <w:rFonts w:ascii="Times New Roman" w:hAnsi="Times New Roman" w:cs="Times New Roman"/>
          <w:sz w:val="22"/>
          <w:szCs w:val="22"/>
        </w:rPr>
        <w:t>unique</w:t>
      </w:r>
      <w:r w:rsidRPr="005D0891">
        <w:rPr>
          <w:rFonts w:ascii="Times New Roman" w:hAnsi="Times New Roman" w:cs="Times New Roman"/>
          <w:sz w:val="22"/>
          <w:szCs w:val="22"/>
        </w:rPr>
        <w:t>. He emphasizes the priesthood of all believers, democratizing access to divine grace and spiritual authority. His focus on the commonalty's role in religious reform underscores a broader shift towards inclusivity in religious discourse, extending theological and ecclesiastical agency beyond the clerical and aristocratic elites. This work notably contributes to the national narrative of the Scottish Reformation, advocating for a communal embrace of Protestantism and laying a foundational argument for the establishment of the Presbyterian Church in Scotland.</w:t>
      </w:r>
      <w:r w:rsidR="00B52ACF">
        <w:rPr>
          <w:rFonts w:ascii="Times New Roman" w:hAnsi="Times New Roman" w:cs="Times New Roman"/>
          <w:sz w:val="22"/>
          <w:szCs w:val="22"/>
        </w:rPr>
        <w:t xml:space="preserve"> Because there is still some space left in this precis, this is a unique opportunity to discuss the readings of </w:t>
      </w:r>
      <w:proofErr w:type="spellStart"/>
      <w:r w:rsidR="00B52ACF">
        <w:rPr>
          <w:rFonts w:ascii="Times New Roman" w:hAnsi="Times New Roman" w:cs="Times New Roman"/>
          <w:sz w:val="22"/>
          <w:szCs w:val="22"/>
        </w:rPr>
        <w:t>Bucer</w:t>
      </w:r>
      <w:proofErr w:type="spellEnd"/>
      <w:r w:rsidR="00B52ACF">
        <w:rPr>
          <w:rFonts w:ascii="Times New Roman" w:hAnsi="Times New Roman" w:cs="Times New Roman"/>
          <w:sz w:val="22"/>
          <w:szCs w:val="22"/>
        </w:rPr>
        <w:t xml:space="preserve">, Calvin, and Luther, which, in their own way, also call for a reform of the church. </w:t>
      </w:r>
    </w:p>
    <w:p w:rsidR="005873BA" w:rsidRPr="005D0891" w:rsidRDefault="00B52ACF" w:rsidP="00B52ACF">
      <w:pPr>
        <w:jc w:val="both"/>
        <w:rPr>
          <w:rFonts w:ascii="Times New Roman" w:hAnsi="Times New Roman" w:cs="Times New Roman"/>
          <w:sz w:val="22"/>
          <w:szCs w:val="22"/>
        </w:rPr>
      </w:pPr>
      <w:r>
        <w:rPr>
          <w:rFonts w:ascii="Times New Roman" w:hAnsi="Times New Roman" w:cs="Times New Roman"/>
          <w:sz w:val="22"/>
          <w:szCs w:val="22"/>
        </w:rPr>
        <w:t xml:space="preserve">Martin </w:t>
      </w:r>
      <w:proofErr w:type="spellStart"/>
      <w:r>
        <w:rPr>
          <w:rFonts w:ascii="Times New Roman" w:hAnsi="Times New Roman" w:cs="Times New Roman"/>
          <w:sz w:val="22"/>
          <w:szCs w:val="22"/>
        </w:rPr>
        <w:t>Bucer’s</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De Regno Christi</w:t>
      </w:r>
      <w:r w:rsidR="005873BA" w:rsidRPr="005D0891">
        <w:rPr>
          <w:rFonts w:ascii="Times New Roman" w:hAnsi="Times New Roman" w:cs="Times New Roman"/>
          <w:sz w:val="22"/>
          <w:szCs w:val="22"/>
        </w:rPr>
        <w:t xml:space="preserve"> focuses on the governance of the Christian community, emphasizing ecclesiastical discipline and moral reform within a comprehensive framework of Christian ethics. While </w:t>
      </w:r>
      <w:proofErr w:type="spellStart"/>
      <w:r w:rsidR="005873BA" w:rsidRPr="005D0891">
        <w:rPr>
          <w:rFonts w:ascii="Times New Roman" w:hAnsi="Times New Roman" w:cs="Times New Roman"/>
          <w:sz w:val="22"/>
          <w:szCs w:val="22"/>
        </w:rPr>
        <w:t>Bucer</w:t>
      </w:r>
      <w:proofErr w:type="spellEnd"/>
      <w:r w:rsidR="005873BA" w:rsidRPr="005D0891">
        <w:rPr>
          <w:rFonts w:ascii="Times New Roman" w:hAnsi="Times New Roman" w:cs="Times New Roman"/>
          <w:sz w:val="22"/>
          <w:szCs w:val="22"/>
        </w:rPr>
        <w:t xml:space="preserve"> offers a detailed outline for a theocratic </w:t>
      </w:r>
      <w:r>
        <w:rPr>
          <w:rFonts w:ascii="Times New Roman" w:hAnsi="Times New Roman" w:cs="Times New Roman"/>
          <w:sz w:val="22"/>
          <w:szCs w:val="22"/>
        </w:rPr>
        <w:t xml:space="preserve">– or rather Christocratic – </w:t>
      </w:r>
      <w:r w:rsidR="005873BA" w:rsidRPr="005D0891">
        <w:rPr>
          <w:rFonts w:ascii="Times New Roman" w:hAnsi="Times New Roman" w:cs="Times New Roman"/>
          <w:sz w:val="22"/>
          <w:szCs w:val="22"/>
        </w:rPr>
        <w:t xml:space="preserve">governance model rooted in Christian principles, Knox's exhortation is more directly confrontational and populist, emphasizing </w:t>
      </w:r>
      <w:r w:rsidRPr="005D0891">
        <w:rPr>
          <w:rFonts w:ascii="Times New Roman" w:hAnsi="Times New Roman" w:cs="Times New Roman"/>
          <w:sz w:val="22"/>
          <w:szCs w:val="22"/>
        </w:rPr>
        <w:t>popular</w:t>
      </w:r>
      <w:r w:rsidR="005873BA" w:rsidRPr="005D0891">
        <w:rPr>
          <w:rFonts w:ascii="Times New Roman" w:hAnsi="Times New Roman" w:cs="Times New Roman"/>
          <w:sz w:val="22"/>
          <w:szCs w:val="22"/>
        </w:rPr>
        <w:t xml:space="preserve"> activism against ecclesiastical corruption.</w:t>
      </w:r>
    </w:p>
    <w:p w:rsidR="005873BA" w:rsidRPr="005D0891" w:rsidRDefault="00B52ACF" w:rsidP="00B52ACF">
      <w:pPr>
        <w:jc w:val="both"/>
        <w:rPr>
          <w:rFonts w:ascii="Times New Roman" w:hAnsi="Times New Roman" w:cs="Times New Roman"/>
          <w:sz w:val="22"/>
          <w:szCs w:val="22"/>
        </w:rPr>
      </w:pPr>
      <w:r>
        <w:rPr>
          <w:rFonts w:ascii="Times New Roman" w:hAnsi="Times New Roman" w:cs="Times New Roman"/>
          <w:sz w:val="22"/>
          <w:szCs w:val="22"/>
        </w:rPr>
        <w:t>John</w:t>
      </w:r>
      <w:r w:rsidR="005873BA" w:rsidRPr="005D0891">
        <w:rPr>
          <w:rFonts w:ascii="Times New Roman" w:hAnsi="Times New Roman" w:cs="Times New Roman"/>
          <w:sz w:val="22"/>
          <w:szCs w:val="22"/>
        </w:rPr>
        <w:t xml:space="preserve"> </w:t>
      </w:r>
      <w:r>
        <w:rPr>
          <w:rFonts w:ascii="Times New Roman" w:hAnsi="Times New Roman" w:cs="Times New Roman"/>
          <w:sz w:val="22"/>
          <w:szCs w:val="22"/>
        </w:rPr>
        <w:t xml:space="preserve">Calvin’s </w:t>
      </w:r>
      <w:r w:rsidR="005873BA" w:rsidRPr="00B52ACF">
        <w:rPr>
          <w:rFonts w:ascii="Times New Roman" w:hAnsi="Times New Roman" w:cs="Times New Roman"/>
          <w:i/>
          <w:iCs/>
          <w:sz w:val="22"/>
          <w:szCs w:val="22"/>
        </w:rPr>
        <w:t>The Necessity of Reforming the Church</w:t>
      </w:r>
      <w:r w:rsidR="005873BA" w:rsidRPr="005D0891">
        <w:rPr>
          <w:rFonts w:ascii="Times New Roman" w:hAnsi="Times New Roman" w:cs="Times New Roman"/>
          <w:sz w:val="22"/>
          <w:szCs w:val="22"/>
        </w:rPr>
        <w:t xml:space="preserve"> presents a systematic theological argument for reform, critiquing the Catholic Church's deviations from scriptural doctrine. Calvin's methodical approach to defining the scope and necessity of reform parallels Knox's appeal but is broader in its target, addressing the Church universal rather than focusing primarily on a national or communal context.</w:t>
      </w:r>
    </w:p>
    <w:p w:rsidR="005873BA" w:rsidRPr="005D0891" w:rsidRDefault="00B52ACF" w:rsidP="00B52ACF">
      <w:pPr>
        <w:jc w:val="both"/>
        <w:rPr>
          <w:rFonts w:ascii="Times New Roman" w:hAnsi="Times New Roman" w:cs="Times New Roman"/>
          <w:sz w:val="22"/>
          <w:szCs w:val="22"/>
        </w:rPr>
      </w:pPr>
      <w:r>
        <w:rPr>
          <w:rFonts w:ascii="Times New Roman" w:hAnsi="Times New Roman" w:cs="Times New Roman"/>
          <w:sz w:val="22"/>
          <w:szCs w:val="22"/>
        </w:rPr>
        <w:t xml:space="preserve">Martin Luther’s </w:t>
      </w:r>
      <w:r w:rsidR="005873BA" w:rsidRPr="00CE7AB4">
        <w:rPr>
          <w:rFonts w:ascii="Times New Roman" w:hAnsi="Times New Roman" w:cs="Times New Roman"/>
          <w:i/>
          <w:iCs/>
          <w:sz w:val="22"/>
          <w:szCs w:val="22"/>
        </w:rPr>
        <w:t>The Babylonian Captivity of the Church</w:t>
      </w:r>
      <w:r w:rsidR="005873BA" w:rsidRPr="005D0891">
        <w:rPr>
          <w:rFonts w:ascii="Times New Roman" w:hAnsi="Times New Roman" w:cs="Times New Roman"/>
          <w:sz w:val="22"/>
          <w:szCs w:val="22"/>
        </w:rPr>
        <w:t xml:space="preserve"> challenges the sacramental system of the Catholic Church, proposing a radical return to Scripture as the sole source of divine authority. Luther's work </w:t>
      </w:r>
      <w:r w:rsidR="00CE7AB4">
        <w:rPr>
          <w:rFonts w:ascii="Times New Roman" w:hAnsi="Times New Roman" w:cs="Times New Roman"/>
          <w:sz w:val="22"/>
          <w:szCs w:val="22"/>
        </w:rPr>
        <w:t xml:space="preserve">is thematically similar to </w:t>
      </w:r>
      <w:r w:rsidR="005873BA" w:rsidRPr="005D0891">
        <w:rPr>
          <w:rFonts w:ascii="Times New Roman" w:hAnsi="Times New Roman" w:cs="Times New Roman"/>
          <w:sz w:val="22"/>
          <w:szCs w:val="22"/>
        </w:rPr>
        <w:t>Knox's exhortation, particularly in their mutual rejection of papal authority and emphasis on Bibl</w:t>
      </w:r>
      <w:r w:rsidR="00CE7AB4">
        <w:rPr>
          <w:rFonts w:ascii="Times New Roman" w:hAnsi="Times New Roman" w:cs="Times New Roman"/>
          <w:sz w:val="22"/>
          <w:szCs w:val="22"/>
        </w:rPr>
        <w:t>ical authority</w:t>
      </w:r>
      <w:r w:rsidR="005873BA" w:rsidRPr="005D0891">
        <w:rPr>
          <w:rFonts w:ascii="Times New Roman" w:hAnsi="Times New Roman" w:cs="Times New Roman"/>
          <w:sz w:val="22"/>
          <w:szCs w:val="22"/>
        </w:rPr>
        <w:t>. However, Luther focus</w:t>
      </w:r>
      <w:r w:rsidR="00CE7AB4">
        <w:rPr>
          <w:rFonts w:ascii="Times New Roman" w:hAnsi="Times New Roman" w:cs="Times New Roman"/>
          <w:sz w:val="22"/>
          <w:szCs w:val="22"/>
        </w:rPr>
        <w:t>es</w:t>
      </w:r>
      <w:r w:rsidR="005873BA" w:rsidRPr="005D0891">
        <w:rPr>
          <w:rFonts w:ascii="Times New Roman" w:hAnsi="Times New Roman" w:cs="Times New Roman"/>
          <w:sz w:val="22"/>
          <w:szCs w:val="22"/>
        </w:rPr>
        <w:t xml:space="preserve"> more narrowly on sacramental theology, whereas Knox </w:t>
      </w:r>
      <w:r w:rsidR="00CE7AB4">
        <w:rPr>
          <w:rFonts w:ascii="Times New Roman" w:hAnsi="Times New Roman" w:cs="Times New Roman"/>
          <w:sz w:val="22"/>
          <w:szCs w:val="22"/>
        </w:rPr>
        <w:t>puts forward</w:t>
      </w:r>
      <w:r w:rsidR="005873BA" w:rsidRPr="005D0891">
        <w:rPr>
          <w:rFonts w:ascii="Times New Roman" w:hAnsi="Times New Roman" w:cs="Times New Roman"/>
          <w:sz w:val="22"/>
          <w:szCs w:val="22"/>
        </w:rPr>
        <w:t xml:space="preserve"> a broader critique of ecclesiastical practice and governance.</w:t>
      </w:r>
    </w:p>
    <w:p w:rsidR="005D0891" w:rsidRPr="00436244" w:rsidRDefault="003062D2" w:rsidP="005D0891">
      <w:pPr>
        <w:jc w:val="both"/>
        <w:rPr>
          <w:rFonts w:ascii="Times New Roman" w:hAnsi="Times New Roman" w:cs="Times New Roman"/>
          <w:sz w:val="22"/>
          <w:szCs w:val="22"/>
        </w:rPr>
      </w:pPr>
      <w:r>
        <w:rPr>
          <w:rFonts w:ascii="Times New Roman" w:hAnsi="Times New Roman" w:cs="Times New Roman"/>
          <w:sz w:val="22"/>
          <w:szCs w:val="22"/>
        </w:rPr>
        <w:t>Wrapping up</w:t>
      </w:r>
      <w:r w:rsidR="005873BA" w:rsidRPr="005D0891">
        <w:rPr>
          <w:rFonts w:ascii="Times New Roman" w:hAnsi="Times New Roman" w:cs="Times New Roman"/>
          <w:sz w:val="22"/>
          <w:szCs w:val="22"/>
        </w:rPr>
        <w:t xml:space="preserve">, Knox's </w:t>
      </w:r>
      <w:r w:rsidR="005873BA" w:rsidRPr="003062D2">
        <w:rPr>
          <w:rFonts w:ascii="Times New Roman" w:hAnsi="Times New Roman" w:cs="Times New Roman"/>
          <w:i/>
          <w:iCs/>
          <w:sz w:val="22"/>
          <w:szCs w:val="22"/>
        </w:rPr>
        <w:t>Exhortation to the Commonalty of Scotland</w:t>
      </w:r>
      <w:r w:rsidR="005873BA" w:rsidRPr="005D0891">
        <w:rPr>
          <w:rFonts w:ascii="Times New Roman" w:hAnsi="Times New Roman" w:cs="Times New Roman"/>
          <w:sz w:val="22"/>
          <w:szCs w:val="22"/>
        </w:rPr>
        <w:t xml:space="preserve"> occupies a unique place in Reformation literature. Its direct appeal to the laity, democratic ethos, and integration of theological critique with a call to action distinguish it from the works of contemporaries like </w:t>
      </w:r>
      <w:proofErr w:type="spellStart"/>
      <w:r w:rsidR="005873BA" w:rsidRPr="005D0891">
        <w:rPr>
          <w:rFonts w:ascii="Times New Roman" w:hAnsi="Times New Roman" w:cs="Times New Roman"/>
          <w:sz w:val="22"/>
          <w:szCs w:val="22"/>
        </w:rPr>
        <w:t>Bucer</w:t>
      </w:r>
      <w:proofErr w:type="spellEnd"/>
      <w:r w:rsidR="005873BA" w:rsidRPr="005D0891">
        <w:rPr>
          <w:rFonts w:ascii="Times New Roman" w:hAnsi="Times New Roman" w:cs="Times New Roman"/>
          <w:sz w:val="22"/>
          <w:szCs w:val="22"/>
        </w:rPr>
        <w:t xml:space="preserve">, Calvin, and Luther. Each of these reformers contributed distinct perspectives to the shared project of ecclesiastical reform, with Knox's work highlighting the </w:t>
      </w:r>
      <w:r>
        <w:rPr>
          <w:rFonts w:ascii="Times New Roman" w:hAnsi="Times New Roman" w:cs="Times New Roman"/>
          <w:sz w:val="22"/>
          <w:szCs w:val="22"/>
        </w:rPr>
        <w:t>essential</w:t>
      </w:r>
      <w:r w:rsidR="005873BA" w:rsidRPr="005D0891">
        <w:rPr>
          <w:rFonts w:ascii="Times New Roman" w:hAnsi="Times New Roman" w:cs="Times New Roman"/>
          <w:sz w:val="22"/>
          <w:szCs w:val="22"/>
        </w:rPr>
        <w:t xml:space="preserve"> role of community engagement and the empowerment of ordinary believers within the broader reformation movement.</w:t>
      </w:r>
    </w:p>
    <w:sectPr w:rsidR="005D0891" w:rsidRPr="00436244">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KnoJ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Exhortation to the Commonality of Scotland</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44"/>
    <w:rsid w:val="003062D2"/>
    <w:rsid w:val="00436244"/>
    <w:rsid w:val="005873BA"/>
    <w:rsid w:val="005D0891"/>
    <w:rsid w:val="00693BC5"/>
    <w:rsid w:val="007C0F9D"/>
    <w:rsid w:val="00A51E41"/>
    <w:rsid w:val="00B52ACF"/>
    <w:rsid w:val="00CE7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3DA177"/>
  <w15:chartTrackingRefBased/>
  <w15:docId w15:val="{E9C88E49-6493-5F4B-9017-55677AF9A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2024-04-24T12:27:00Z</dcterms:created>
  <dcterms:modified xsi:type="dcterms:W3CDTF">2024-04-24T13:21:00Z</dcterms:modified>
</cp:coreProperties>
</file>