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5D87" w:rsidRPr="006B67B9" w:rsidRDefault="00ED5D87" w:rsidP="00ED5D87">
      <w:pPr>
        <w:pStyle w:val="Heading1"/>
        <w:jc w:val="both"/>
        <w:rPr>
          <w:rFonts w:ascii="Times New Roman" w:hAnsi="Times New Roman" w:cs="Times New Roman"/>
          <w:b/>
          <w:bCs/>
          <w:color w:val="000000" w:themeColor="text1"/>
          <w:sz w:val="22"/>
          <w:szCs w:val="22"/>
        </w:rPr>
      </w:pPr>
      <w:r w:rsidRPr="006B67B9">
        <w:rPr>
          <w:rFonts w:ascii="Times New Roman" w:hAnsi="Times New Roman" w:cs="Times New Roman"/>
          <w:b/>
          <w:bCs/>
          <w:color w:val="000000" w:themeColor="text1"/>
          <w:sz w:val="22"/>
          <w:szCs w:val="22"/>
        </w:rPr>
        <w:t>25. Liberation of Theology – Luis Segundo</w:t>
      </w:r>
    </w:p>
    <w:p w:rsidR="00ED5D87" w:rsidRPr="006B67B9" w:rsidRDefault="00ED5D87" w:rsidP="00345E9F">
      <w:pPr>
        <w:jc w:val="both"/>
        <w:rPr>
          <w:szCs w:val="22"/>
        </w:rPr>
      </w:pPr>
      <w:r w:rsidRPr="006B67B9">
        <w:rPr>
          <w:rFonts w:ascii="Times New Roman" w:hAnsi="Times New Roman"/>
          <w:i/>
          <w:iCs/>
          <w:sz w:val="22"/>
          <w:szCs w:val="22"/>
        </w:rPr>
        <w:t>Chapter 3: The Political Option.</w:t>
      </w:r>
      <w:r w:rsidRPr="006B67B9">
        <w:rPr>
          <w:rFonts w:ascii="Times New Roman" w:hAnsi="Times New Roman"/>
          <w:sz w:val="22"/>
          <w:szCs w:val="22"/>
        </w:rPr>
        <w:t xml:space="preserve"> Section I delves into the inherent political nature of theology and the Church</w:t>
      </w:r>
      <w:r w:rsidR="005670AA" w:rsidRPr="006B67B9">
        <w:rPr>
          <w:rFonts w:ascii="Times New Roman" w:hAnsi="Times New Roman"/>
          <w:sz w:val="22"/>
          <w:szCs w:val="22"/>
        </w:rPr>
        <w:t>’</w:t>
      </w:r>
      <w:r w:rsidRPr="006B67B9">
        <w:rPr>
          <w:rFonts w:ascii="Times New Roman" w:hAnsi="Times New Roman"/>
          <w:sz w:val="22"/>
          <w:szCs w:val="22"/>
        </w:rPr>
        <w:t xml:space="preserve">s understanding of its social context, initiated by </w:t>
      </w:r>
      <w:proofErr w:type="spellStart"/>
      <w:r w:rsidRPr="006B67B9">
        <w:rPr>
          <w:rFonts w:ascii="Times New Roman" w:hAnsi="Times New Roman"/>
          <w:sz w:val="22"/>
          <w:szCs w:val="22"/>
        </w:rPr>
        <w:t>Rahner</w:t>
      </w:r>
      <w:r w:rsidR="005670AA" w:rsidRPr="006B67B9">
        <w:rPr>
          <w:rFonts w:ascii="Times New Roman" w:hAnsi="Times New Roman"/>
          <w:sz w:val="22"/>
          <w:szCs w:val="22"/>
        </w:rPr>
        <w:t>’</w:t>
      </w:r>
      <w:r w:rsidRPr="006B67B9">
        <w:rPr>
          <w:rFonts w:ascii="Times New Roman" w:hAnsi="Times New Roman"/>
          <w:sz w:val="22"/>
          <w:szCs w:val="22"/>
        </w:rPr>
        <w:t>s</w:t>
      </w:r>
      <w:proofErr w:type="spellEnd"/>
      <w:r w:rsidRPr="006B67B9">
        <w:rPr>
          <w:rFonts w:ascii="Times New Roman" w:hAnsi="Times New Roman"/>
          <w:sz w:val="22"/>
          <w:szCs w:val="22"/>
        </w:rPr>
        <w:t xml:space="preserve"> inquiry into the Church</w:t>
      </w:r>
      <w:r w:rsidR="005670AA" w:rsidRPr="006B67B9">
        <w:rPr>
          <w:rFonts w:ascii="Times New Roman" w:hAnsi="Times New Roman"/>
          <w:sz w:val="22"/>
          <w:szCs w:val="22"/>
        </w:rPr>
        <w:t>’</w:t>
      </w:r>
      <w:r w:rsidRPr="006B67B9">
        <w:rPr>
          <w:rFonts w:ascii="Times New Roman" w:hAnsi="Times New Roman"/>
          <w:sz w:val="22"/>
          <w:szCs w:val="22"/>
        </w:rPr>
        <w:t xml:space="preserve">s ability to comprehend the context of its actions when such knowledge cannot </w:t>
      </w:r>
      <w:r w:rsidR="004F374B">
        <w:rPr>
          <w:rFonts w:ascii="Times New Roman" w:hAnsi="Times New Roman"/>
          <w:sz w:val="22"/>
          <w:szCs w:val="22"/>
        </w:rPr>
        <w:t xml:space="preserve">only </w:t>
      </w:r>
      <w:r w:rsidRPr="006B67B9">
        <w:rPr>
          <w:rFonts w:ascii="Times New Roman" w:hAnsi="Times New Roman"/>
          <w:sz w:val="22"/>
          <w:szCs w:val="22"/>
        </w:rPr>
        <w:t xml:space="preserve">be derived from revelation. This </w:t>
      </w:r>
      <w:r w:rsidR="006B67B9">
        <w:rPr>
          <w:rFonts w:ascii="Times New Roman" w:hAnsi="Times New Roman"/>
          <w:sz w:val="22"/>
          <w:szCs w:val="22"/>
        </w:rPr>
        <w:t>question</w:t>
      </w:r>
      <w:r w:rsidRPr="006B67B9">
        <w:rPr>
          <w:rFonts w:ascii="Times New Roman" w:hAnsi="Times New Roman"/>
          <w:sz w:val="22"/>
          <w:szCs w:val="22"/>
        </w:rPr>
        <w:t xml:space="preserve"> illuminates two potential pitfalls: the risk of theologians stating what is better addressed by sociology or making claims that sociology can refute. Theology is inherently political and cannot remain indifferent or neutral to political matters without inadvertently supporting the status quo. Liberation Theology is acutely aware of this relationship, incorporating ideological analysis as part of its methodology and addressing political issues without feigning impartiality common in academic theology. Section II revises the traditional view that theology guides action, suggesting instead that actions and their contexts shape theological reflection, making it the second step. Luis Segundo proposes that understanding real life and its challenges is foundational to theology, which contrasts with Karl </w:t>
      </w:r>
      <w:proofErr w:type="spellStart"/>
      <w:r w:rsidRPr="006B67B9">
        <w:rPr>
          <w:rFonts w:ascii="Times New Roman" w:hAnsi="Times New Roman"/>
          <w:sz w:val="22"/>
          <w:szCs w:val="22"/>
        </w:rPr>
        <w:t>Rahner</w:t>
      </w:r>
      <w:r w:rsidR="005670AA" w:rsidRPr="006B67B9">
        <w:rPr>
          <w:rFonts w:ascii="Times New Roman" w:hAnsi="Times New Roman"/>
          <w:sz w:val="22"/>
          <w:szCs w:val="22"/>
        </w:rPr>
        <w:t>’</w:t>
      </w:r>
      <w:r w:rsidRPr="006B67B9">
        <w:rPr>
          <w:rFonts w:ascii="Times New Roman" w:hAnsi="Times New Roman"/>
          <w:sz w:val="22"/>
          <w:szCs w:val="22"/>
        </w:rPr>
        <w:t>s</w:t>
      </w:r>
      <w:proofErr w:type="spellEnd"/>
      <w:r w:rsidRPr="006B67B9">
        <w:rPr>
          <w:rFonts w:ascii="Times New Roman" w:hAnsi="Times New Roman"/>
          <w:sz w:val="22"/>
          <w:szCs w:val="22"/>
        </w:rPr>
        <w:t xml:space="preserve"> assumption of theology as the starting point for action. Segundo illustrates this with biblical examples of Jesus</w:t>
      </w:r>
      <w:r w:rsidR="005670AA" w:rsidRPr="006B67B9">
        <w:rPr>
          <w:rFonts w:ascii="Times New Roman" w:hAnsi="Times New Roman"/>
          <w:sz w:val="22"/>
          <w:szCs w:val="22"/>
        </w:rPr>
        <w:t>’</w:t>
      </w:r>
      <w:r w:rsidRPr="006B67B9">
        <w:rPr>
          <w:rFonts w:ascii="Times New Roman" w:hAnsi="Times New Roman"/>
          <w:sz w:val="22"/>
          <w:szCs w:val="22"/>
        </w:rPr>
        <w:t xml:space="preserve"> interactions with the Pharisees, where Jesus prioritizes practical human concerns over abstract theological laws. Through these examples, Segundo asserts theology emerges from engaging with the realities of life, emphasizing the necessity of responding to the historical and human contexts before formulating theological principles.</w:t>
      </w:r>
      <w:r w:rsidR="005670AA" w:rsidRPr="006B67B9">
        <w:rPr>
          <w:rFonts w:ascii="Times New Roman" w:hAnsi="Times New Roman"/>
          <w:sz w:val="22"/>
          <w:szCs w:val="22"/>
        </w:rPr>
        <w:t xml:space="preserve"> </w:t>
      </w:r>
      <w:r w:rsidR="00345E9F" w:rsidRPr="006B67B9">
        <w:rPr>
          <w:rFonts w:ascii="Times New Roman" w:hAnsi="Times New Roman"/>
          <w:sz w:val="22"/>
          <w:szCs w:val="22"/>
        </w:rPr>
        <w:t xml:space="preserve">Section III. </w:t>
      </w:r>
      <w:r w:rsidR="004F374B">
        <w:rPr>
          <w:rFonts w:ascii="Times New Roman" w:hAnsi="Times New Roman"/>
          <w:sz w:val="22"/>
          <w:szCs w:val="22"/>
        </w:rPr>
        <w:t>He</w:t>
      </w:r>
      <w:r w:rsidR="00345E9F" w:rsidRPr="006B67B9">
        <w:rPr>
          <w:rFonts w:ascii="Times New Roman" w:hAnsi="Times New Roman"/>
          <w:sz w:val="22"/>
          <w:szCs w:val="22"/>
        </w:rPr>
        <w:t xml:space="preserve"> emphasizes that a genuine theological understanding begins with a personal commitment to addressing the urgent needs of the oppressed, suggesting that theology without such commitment served as a barrier to truly knowing Jesus in biblical times. This premise unfolds across three stages. </w:t>
      </w:r>
      <w:r w:rsidR="00345E9F" w:rsidRPr="006B67B9">
        <w:rPr>
          <w:rFonts w:ascii="Times New Roman" w:hAnsi="Times New Roman"/>
          <w:i/>
          <w:iCs/>
          <w:sz w:val="22"/>
          <w:szCs w:val="22"/>
        </w:rPr>
        <w:t>Identifying the Christian</w:t>
      </w:r>
      <w:r w:rsidR="005670AA" w:rsidRPr="006B67B9">
        <w:rPr>
          <w:rFonts w:ascii="Times New Roman" w:hAnsi="Times New Roman"/>
          <w:i/>
          <w:iCs/>
          <w:sz w:val="22"/>
          <w:szCs w:val="22"/>
        </w:rPr>
        <w:t>’</w:t>
      </w:r>
      <w:r w:rsidR="00345E9F" w:rsidRPr="006B67B9">
        <w:rPr>
          <w:rFonts w:ascii="Times New Roman" w:hAnsi="Times New Roman"/>
          <w:i/>
          <w:iCs/>
          <w:sz w:val="22"/>
          <w:szCs w:val="22"/>
        </w:rPr>
        <w:t>s Role in Liberation</w:t>
      </w:r>
      <w:r w:rsidR="00345E9F" w:rsidRPr="006B67B9">
        <w:rPr>
          <w:rFonts w:ascii="Times New Roman" w:hAnsi="Times New Roman"/>
          <w:sz w:val="22"/>
          <w:szCs w:val="22"/>
        </w:rPr>
        <w:t xml:space="preserve">. </w:t>
      </w:r>
      <w:r w:rsidR="004F374B">
        <w:rPr>
          <w:rFonts w:ascii="Times New Roman" w:hAnsi="Times New Roman"/>
          <w:sz w:val="22"/>
          <w:szCs w:val="22"/>
        </w:rPr>
        <w:t>Referencing Gutierrez and the Medellin conference, Segundo</w:t>
      </w:r>
      <w:r w:rsidR="00345E9F" w:rsidRPr="006B67B9">
        <w:rPr>
          <w:rFonts w:ascii="Times New Roman" w:hAnsi="Times New Roman"/>
          <w:sz w:val="22"/>
          <w:szCs w:val="22"/>
        </w:rPr>
        <w:t xml:space="preserve"> argues that authentic engagement with the Gospel requires active solidarity with the oppressed to discern God</w:t>
      </w:r>
      <w:r w:rsidR="005670AA" w:rsidRPr="006B67B9">
        <w:rPr>
          <w:rFonts w:ascii="Times New Roman" w:hAnsi="Times New Roman"/>
          <w:sz w:val="22"/>
          <w:szCs w:val="22"/>
        </w:rPr>
        <w:t>’</w:t>
      </w:r>
      <w:r w:rsidR="00345E9F" w:rsidRPr="006B67B9">
        <w:rPr>
          <w:rFonts w:ascii="Times New Roman" w:hAnsi="Times New Roman"/>
          <w:sz w:val="22"/>
          <w:szCs w:val="22"/>
        </w:rPr>
        <w:t xml:space="preserve">s plan in contemporary struggles. </w:t>
      </w:r>
      <w:r w:rsidR="00345E9F" w:rsidRPr="006B67B9">
        <w:rPr>
          <w:rFonts w:ascii="Times New Roman" w:hAnsi="Times New Roman"/>
          <w:i/>
          <w:iCs/>
          <w:sz w:val="22"/>
          <w:szCs w:val="22"/>
        </w:rPr>
        <w:t>Understanding through Commitment</w:t>
      </w:r>
      <w:r w:rsidR="00345E9F" w:rsidRPr="006B67B9">
        <w:rPr>
          <w:rFonts w:ascii="Times New Roman" w:hAnsi="Times New Roman"/>
          <w:sz w:val="22"/>
          <w:szCs w:val="22"/>
        </w:rPr>
        <w:t>. He contends that the Christian contribution to liberation becomes clear only after t</w:t>
      </w:r>
      <w:r w:rsidR="006B67B9">
        <w:rPr>
          <w:rFonts w:ascii="Times New Roman" w:hAnsi="Times New Roman"/>
          <w:sz w:val="22"/>
          <w:szCs w:val="22"/>
        </w:rPr>
        <w:t>hey have</w:t>
      </w:r>
      <w:r w:rsidR="00345E9F" w:rsidRPr="006B67B9">
        <w:rPr>
          <w:rFonts w:ascii="Times New Roman" w:hAnsi="Times New Roman"/>
          <w:sz w:val="22"/>
          <w:szCs w:val="22"/>
        </w:rPr>
        <w:t xml:space="preserve"> committed to the cause, challenging traditional ecclesiastical practices and calling for a re-evaluation of Jesus</w:t>
      </w:r>
      <w:r w:rsidR="005670AA" w:rsidRPr="006B67B9">
        <w:rPr>
          <w:rFonts w:ascii="Times New Roman" w:hAnsi="Times New Roman"/>
          <w:sz w:val="22"/>
          <w:szCs w:val="22"/>
        </w:rPr>
        <w:t>’</w:t>
      </w:r>
      <w:r w:rsidR="00345E9F" w:rsidRPr="006B67B9">
        <w:rPr>
          <w:rFonts w:ascii="Times New Roman" w:hAnsi="Times New Roman"/>
          <w:sz w:val="22"/>
          <w:szCs w:val="22"/>
        </w:rPr>
        <w:t xml:space="preserve"> message within its historical context. </w:t>
      </w:r>
      <w:r w:rsidR="00345E9F" w:rsidRPr="006B67B9">
        <w:rPr>
          <w:rFonts w:ascii="Times New Roman" w:hAnsi="Times New Roman"/>
          <w:i/>
          <w:iCs/>
          <w:sz w:val="22"/>
          <w:szCs w:val="22"/>
        </w:rPr>
        <w:t>Opting for the Oppressed</w:t>
      </w:r>
      <w:r w:rsidR="00345E9F" w:rsidRPr="006B67B9">
        <w:rPr>
          <w:rFonts w:ascii="Times New Roman" w:hAnsi="Times New Roman"/>
          <w:sz w:val="22"/>
          <w:szCs w:val="22"/>
        </w:rPr>
        <w:t>. The process of universal inclusion emerges from a deliberate choice to side with the oppressed</w:t>
      </w:r>
      <w:r w:rsidR="006B67B9">
        <w:rPr>
          <w:rFonts w:ascii="Times New Roman" w:hAnsi="Times New Roman"/>
          <w:sz w:val="22"/>
          <w:szCs w:val="22"/>
        </w:rPr>
        <w:t xml:space="preserve"> and </w:t>
      </w:r>
      <w:r w:rsidR="00345E9F" w:rsidRPr="006B67B9">
        <w:rPr>
          <w:rFonts w:ascii="Times New Roman" w:hAnsi="Times New Roman"/>
          <w:sz w:val="22"/>
          <w:szCs w:val="22"/>
        </w:rPr>
        <w:t>challeng</w:t>
      </w:r>
      <w:r w:rsidR="006B67B9">
        <w:rPr>
          <w:rFonts w:ascii="Times New Roman" w:hAnsi="Times New Roman"/>
          <w:sz w:val="22"/>
          <w:szCs w:val="22"/>
        </w:rPr>
        <w:t>es</w:t>
      </w:r>
      <w:r w:rsidR="00345E9F" w:rsidRPr="006B67B9">
        <w:rPr>
          <w:rFonts w:ascii="Times New Roman" w:hAnsi="Times New Roman"/>
          <w:sz w:val="22"/>
          <w:szCs w:val="22"/>
        </w:rPr>
        <w:t xml:space="preserve"> the prioritization of ideological or religious certainties over the practical pursuit of justice and liberation for all</w:t>
      </w:r>
      <w:r w:rsidR="006B67B9">
        <w:rPr>
          <w:rFonts w:ascii="Times New Roman" w:hAnsi="Times New Roman"/>
          <w:sz w:val="22"/>
          <w:szCs w:val="22"/>
        </w:rPr>
        <w:t>. making true</w:t>
      </w:r>
      <w:r w:rsidR="00345E9F" w:rsidRPr="006B67B9">
        <w:rPr>
          <w:rFonts w:ascii="Times New Roman" w:hAnsi="Times New Roman"/>
          <w:sz w:val="22"/>
          <w:szCs w:val="22"/>
        </w:rPr>
        <w:t xml:space="preserve"> theology stem from </w:t>
      </w:r>
      <w:r w:rsidR="00222881" w:rsidRPr="006B67B9">
        <w:rPr>
          <w:rFonts w:ascii="Times New Roman" w:hAnsi="Times New Roman"/>
          <w:sz w:val="22"/>
          <w:szCs w:val="22"/>
        </w:rPr>
        <w:t xml:space="preserve">a </w:t>
      </w:r>
      <w:r w:rsidR="00345E9F" w:rsidRPr="006B67B9">
        <w:rPr>
          <w:rFonts w:ascii="Times New Roman" w:hAnsi="Times New Roman"/>
          <w:sz w:val="22"/>
          <w:szCs w:val="22"/>
        </w:rPr>
        <w:t>lived commitment to liberation, reshaping one</w:t>
      </w:r>
      <w:r w:rsidR="005670AA" w:rsidRPr="006B67B9">
        <w:rPr>
          <w:rFonts w:ascii="Times New Roman" w:hAnsi="Times New Roman"/>
          <w:sz w:val="22"/>
          <w:szCs w:val="22"/>
        </w:rPr>
        <w:t>’</w:t>
      </w:r>
      <w:r w:rsidR="00345E9F" w:rsidRPr="006B67B9">
        <w:rPr>
          <w:rFonts w:ascii="Times New Roman" w:hAnsi="Times New Roman"/>
          <w:sz w:val="22"/>
          <w:szCs w:val="22"/>
        </w:rPr>
        <w:t>s understanding of the Gospel in light of real-world participation in the struggle for justice.</w:t>
      </w:r>
    </w:p>
    <w:p w:rsidR="00117F1A" w:rsidRPr="006B67B9" w:rsidRDefault="00222881" w:rsidP="00C07404">
      <w:pPr>
        <w:jc w:val="both"/>
        <w:rPr>
          <w:szCs w:val="22"/>
        </w:rPr>
      </w:pPr>
      <w:r w:rsidRPr="006B67B9">
        <w:rPr>
          <w:rFonts w:ascii="Times New Roman" w:hAnsi="Times New Roman"/>
          <w:i/>
          <w:iCs/>
          <w:sz w:val="22"/>
          <w:szCs w:val="22"/>
        </w:rPr>
        <w:t>Chapter 4: Ideologies and Faith.</w:t>
      </w:r>
      <w:r w:rsidRPr="006B67B9">
        <w:rPr>
          <w:rFonts w:ascii="Times New Roman" w:hAnsi="Times New Roman"/>
          <w:sz w:val="22"/>
          <w:szCs w:val="22"/>
        </w:rPr>
        <w:t xml:space="preserve"> </w:t>
      </w:r>
      <w:r w:rsidRPr="006B67B9">
        <w:rPr>
          <w:rFonts w:eastAsia="Times New Roman" w:cs="Times New Roman" w:ascii="Times New Roman" w:hAnsi="Times New Roman"/>
          <w:kern w:val="0"/>
          <w:sz w:val="22"/>
          <w:szCs w:val="22"/>
          <w14:ligatures w14:val="none"/>
        </w:rPr>
        <w:t xml:space="preserve">In </w:t>
      </w:r>
      <w:r w:rsidR="005670AA" w:rsidRPr="006B67B9">
        <w:rPr>
          <w:rFonts w:eastAsia="Times New Roman" w:cs="Times New Roman" w:ascii="Times New Roman" w:hAnsi="Times New Roman"/>
          <w:kern w:val="0"/>
          <w:sz w:val="22"/>
          <w:szCs w:val="22"/>
          <w14:ligatures w14:val="none"/>
        </w:rPr>
        <w:t xml:space="preserve">this chapter, </w:t>
      </w:r>
      <w:r w:rsidRPr="006B67B9">
        <w:rPr>
          <w:rFonts w:eastAsia="Times New Roman" w:cs="Times New Roman" w:ascii="Times New Roman" w:hAnsi="Times New Roman"/>
          <w:kern w:val="0"/>
          <w:sz w:val="22"/>
          <w:szCs w:val="22"/>
          <w14:ligatures w14:val="none"/>
        </w:rPr>
        <w:t>Segundo discusses the complex relationship between ideologies and faith.</w:t>
      </w:r>
      <w:r w:rsidRPr="006B67B9">
        <w:rPr>
          <w:rFonts w:ascii="Times New Roman" w:hAnsi="Times New Roman"/>
          <w:sz w:val="22"/>
          <w:szCs w:val="22"/>
        </w:rPr>
        <w:t xml:space="preserve"> Section I explores the necessity of self-awareness for understanding God</w:t>
      </w:r>
      <w:r w:rsidR="005670AA" w:rsidRPr="006B67B9">
        <w:rPr>
          <w:rFonts w:ascii="Times New Roman" w:hAnsi="Times New Roman"/>
          <w:sz w:val="22"/>
          <w:szCs w:val="22"/>
        </w:rPr>
        <w:t>’</w:t>
      </w:r>
      <w:r w:rsidRPr="006B67B9">
        <w:rPr>
          <w:rFonts w:ascii="Times New Roman" w:hAnsi="Times New Roman"/>
          <w:sz w:val="22"/>
          <w:szCs w:val="22"/>
        </w:rPr>
        <w:t xml:space="preserve">s Word, suggesting existential authenticity is key. It highlights </w:t>
      </w:r>
      <w:proofErr w:type="spellStart"/>
      <w:r w:rsidRPr="006B67B9">
        <w:rPr>
          <w:rFonts w:ascii="Times New Roman" w:hAnsi="Times New Roman"/>
          <w:sz w:val="22"/>
          <w:szCs w:val="22"/>
        </w:rPr>
        <w:t>Assmann</w:t>
      </w:r>
      <w:r w:rsidR="005670AA" w:rsidRPr="006B67B9">
        <w:rPr>
          <w:rFonts w:ascii="Times New Roman" w:hAnsi="Times New Roman"/>
          <w:sz w:val="22"/>
          <w:szCs w:val="22"/>
        </w:rPr>
        <w:t>’</w:t>
      </w:r>
      <w:r w:rsidRPr="006B67B9">
        <w:rPr>
          <w:rFonts w:ascii="Times New Roman" w:hAnsi="Times New Roman"/>
          <w:sz w:val="22"/>
          <w:szCs w:val="22"/>
        </w:rPr>
        <w:t>s</w:t>
      </w:r>
      <w:proofErr w:type="spellEnd"/>
      <w:r w:rsidRPr="006B67B9">
        <w:rPr>
          <w:rFonts w:ascii="Times New Roman" w:hAnsi="Times New Roman"/>
          <w:sz w:val="22"/>
          <w:szCs w:val="22"/>
        </w:rPr>
        <w:t xml:space="preserve"> view that engagement in revolutionary activities is </w:t>
      </w:r>
      <w:r w:rsidR="00117F1A" w:rsidRPr="006B67B9">
        <w:rPr>
          <w:rFonts w:ascii="Times New Roman" w:hAnsi="Times New Roman"/>
          <w:sz w:val="22"/>
          <w:szCs w:val="22"/>
        </w:rPr>
        <w:t>a prerequisite</w:t>
      </w:r>
      <w:r w:rsidRPr="006B67B9">
        <w:rPr>
          <w:rFonts w:ascii="Times New Roman" w:hAnsi="Times New Roman"/>
          <w:sz w:val="22"/>
          <w:szCs w:val="22"/>
        </w:rPr>
        <w:t xml:space="preserve"> for interpreting the Gospel, urging Christians to reassess the Gospel within the context of social struggle. Mannheim differentiates between ideological and utopian approaches in Christianity, favoring utopias for their transformative potential despite their clash with reality, while ideologies often fail in practice. Segundo questions whether ideologies like Marxism and Maoism, which may precede personal commitment, truly align with or distort the essence of </w:t>
      </w:r>
      <w:r w:rsidR="00117F1A" w:rsidRPr="006B67B9">
        <w:rPr>
          <w:rFonts w:ascii="Times New Roman" w:hAnsi="Times New Roman"/>
          <w:sz w:val="22"/>
          <w:szCs w:val="22"/>
        </w:rPr>
        <w:t xml:space="preserve">faith. Section II explores the overlap between faith and ideologies, framing them as systems of goals and actions chosen beyond empirical standards. </w:t>
      </w:r>
      <w:proofErr w:type="spellStart"/>
      <w:r w:rsidR="00117F1A" w:rsidRPr="006B67B9">
        <w:rPr>
          <w:rFonts w:ascii="Times New Roman" w:hAnsi="Times New Roman"/>
          <w:sz w:val="22"/>
          <w:szCs w:val="22"/>
        </w:rPr>
        <w:t>Assmann</w:t>
      </w:r>
      <w:proofErr w:type="spellEnd"/>
      <w:r w:rsidR="00117F1A" w:rsidRPr="006B67B9">
        <w:rPr>
          <w:rFonts w:ascii="Times New Roman" w:hAnsi="Times New Roman"/>
          <w:sz w:val="22"/>
          <w:szCs w:val="22"/>
        </w:rPr>
        <w:t xml:space="preserve"> suggests that for Christians, faith operates similarly to ideology, informed by absolute standards rather than historical contexts. The development of personal beliefs and ideologies is illustrated through the journey from childhood faith, influenced by parental beliefs, to adolescence, where individuals consciously adopt ideologies aligned with their faith. The discussion highlights the critical choices made in adolescence regarding liberation, noting that many do not progress beyond this initial ideological commitment. Mature Christian faith requires differentiating Christ</w:t>
      </w:r>
      <w:r w:rsidR="005670AA" w:rsidRPr="006B67B9">
        <w:rPr>
          <w:rFonts w:ascii="Times New Roman" w:hAnsi="Times New Roman"/>
          <w:sz w:val="22"/>
          <w:szCs w:val="22"/>
        </w:rPr>
        <w:t>’</w:t>
      </w:r>
      <w:r w:rsidR="00117F1A" w:rsidRPr="006B67B9">
        <w:rPr>
          <w:rFonts w:ascii="Times New Roman" w:hAnsi="Times New Roman"/>
          <w:sz w:val="22"/>
          <w:szCs w:val="22"/>
        </w:rPr>
        <w:t>s message from its historical context, a process similarly necessary for ideologies to avoid absolutism.</w:t>
      </w:r>
      <w:r w:rsidR="00C07404" w:rsidRPr="006B67B9">
        <w:rPr>
          <w:rFonts w:ascii="Times New Roman" w:hAnsi="Times New Roman"/>
          <w:sz w:val="22"/>
          <w:szCs w:val="22"/>
        </w:rPr>
        <w:t xml:space="preserve"> </w:t>
      </w:r>
      <w:r w:rsidR="00117F1A" w:rsidRPr="006B67B9">
        <w:rPr>
          <w:rFonts w:ascii="Times New Roman" w:hAnsi="Times New Roman"/>
          <w:sz w:val="22"/>
          <w:szCs w:val="22"/>
        </w:rPr>
        <w:t>Section III discusses the interplay between faith and ideologies, highlighting that while ideologies are built on subjective values, faith is anchored in absolute truths. It underscores Jesus</w:t>
      </w:r>
      <w:r w:rsidR="005670AA" w:rsidRPr="006B67B9">
        <w:rPr>
          <w:rFonts w:ascii="Times New Roman" w:hAnsi="Times New Roman"/>
          <w:sz w:val="22"/>
          <w:szCs w:val="22"/>
        </w:rPr>
        <w:t>’</w:t>
      </w:r>
      <w:r w:rsidR="00117F1A" w:rsidRPr="006B67B9">
        <w:rPr>
          <w:rFonts w:ascii="Times New Roman" w:hAnsi="Times New Roman"/>
          <w:sz w:val="22"/>
          <w:szCs w:val="22"/>
        </w:rPr>
        <w:t>s ability to connect us with universal truths (OT) through the lens of relative ideology (NT), suggesting faith transcends but also underpins ideological systems. The text argues against the notion of completely separating faith from ideologies, emphasizing Christianity</w:t>
      </w:r>
      <w:r w:rsidR="005670AA" w:rsidRPr="006B67B9">
        <w:rPr>
          <w:rFonts w:ascii="Times New Roman" w:hAnsi="Times New Roman"/>
          <w:sz w:val="22"/>
          <w:szCs w:val="22"/>
        </w:rPr>
        <w:t>’</w:t>
      </w:r>
      <w:r w:rsidR="00117F1A" w:rsidRPr="006B67B9">
        <w:rPr>
          <w:rFonts w:ascii="Times New Roman" w:hAnsi="Times New Roman"/>
          <w:sz w:val="22"/>
          <w:szCs w:val="22"/>
        </w:rPr>
        <w:t xml:space="preserve">s engagement with ideologies to remain relevant and impactful. </w:t>
      </w:r>
      <w:r w:rsidR="00C07404" w:rsidRPr="006B67B9">
        <w:rPr>
          <w:rFonts w:ascii="Times New Roman" w:hAnsi="Times New Roman"/>
          <w:sz w:val="22"/>
          <w:szCs w:val="22"/>
        </w:rPr>
        <w:t>Segundo argues that Christianity</w:t>
      </w:r>
      <w:r w:rsidR="005670AA" w:rsidRPr="006B67B9">
        <w:rPr>
          <w:rFonts w:ascii="Times New Roman" w:hAnsi="Times New Roman"/>
          <w:sz w:val="22"/>
          <w:szCs w:val="22"/>
        </w:rPr>
        <w:t>’</w:t>
      </w:r>
      <w:r w:rsidR="00C07404" w:rsidRPr="006B67B9">
        <w:rPr>
          <w:rFonts w:ascii="Times New Roman" w:hAnsi="Times New Roman"/>
          <w:sz w:val="22"/>
          <w:szCs w:val="22"/>
        </w:rPr>
        <w:t xml:space="preserve">s eternal – objective and universal – values do not apply precisely to history, necessitating – subjective and relative – </w:t>
      </w:r>
      <w:r w:rsidR="00C07404" w:rsidRPr="006B67B9">
        <w:rPr>
          <w:rFonts w:ascii="Times New Roman" w:hAnsi="Times New Roman"/>
          <w:sz w:val="22"/>
          <w:szCs w:val="22"/>
        </w:rPr>
        <w:lastRenderedPageBreak/>
        <w:t xml:space="preserve">ideologies, which he supports by citing </w:t>
      </w:r>
      <w:r w:rsidR="00C07404" w:rsidRPr="006B67B9">
        <w:rPr>
          <w:rFonts w:ascii="Times New Roman" w:hAnsi="Times New Roman"/>
          <w:i/>
          <w:iCs/>
          <w:sz w:val="22"/>
          <w:szCs w:val="22"/>
        </w:rPr>
        <w:t>Gaudium et Spes</w:t>
      </w:r>
      <w:r w:rsidR="00C07404" w:rsidRPr="006B67B9">
        <w:rPr>
          <w:rFonts w:ascii="Times New Roman" w:hAnsi="Times New Roman"/>
          <w:sz w:val="22"/>
          <w:szCs w:val="22"/>
        </w:rPr>
        <w:t>. Section IV examines Liberation Theology</w:t>
      </w:r>
      <w:r w:rsidR="005670AA" w:rsidRPr="006B67B9">
        <w:rPr>
          <w:rFonts w:ascii="Times New Roman" w:hAnsi="Times New Roman"/>
          <w:sz w:val="22"/>
          <w:szCs w:val="22"/>
        </w:rPr>
        <w:t>’</w:t>
      </w:r>
      <w:r w:rsidR="00C07404" w:rsidRPr="006B67B9">
        <w:rPr>
          <w:rFonts w:ascii="Times New Roman" w:hAnsi="Times New Roman"/>
          <w:sz w:val="22"/>
          <w:szCs w:val="22"/>
        </w:rPr>
        <w:t>s preference for the Old Testament and Exodus as symbols of God</w:t>
      </w:r>
      <w:r w:rsidR="005670AA" w:rsidRPr="006B67B9">
        <w:rPr>
          <w:rFonts w:ascii="Times New Roman" w:hAnsi="Times New Roman"/>
          <w:sz w:val="22"/>
          <w:szCs w:val="22"/>
        </w:rPr>
        <w:t>’</w:t>
      </w:r>
      <w:r w:rsidR="00C07404" w:rsidRPr="006B67B9">
        <w:rPr>
          <w:rFonts w:ascii="Times New Roman" w:hAnsi="Times New Roman"/>
          <w:sz w:val="22"/>
          <w:szCs w:val="22"/>
        </w:rPr>
        <w:t>s liberating actions, contrasting with the New Testament</w:t>
      </w:r>
      <w:r w:rsidR="005670AA" w:rsidRPr="006B67B9">
        <w:rPr>
          <w:rFonts w:ascii="Times New Roman" w:hAnsi="Times New Roman"/>
          <w:sz w:val="22"/>
          <w:szCs w:val="22"/>
        </w:rPr>
        <w:t>’</w:t>
      </w:r>
      <w:r w:rsidR="00C07404" w:rsidRPr="006B67B9">
        <w:rPr>
          <w:rFonts w:ascii="Times New Roman" w:hAnsi="Times New Roman"/>
          <w:sz w:val="22"/>
          <w:szCs w:val="22"/>
        </w:rPr>
        <w:t>s focus on interpersonal relations over political liberation. It discusses the continuity and discontinuity between the God of the Old Testament and Jesus</w:t>
      </w:r>
      <w:r w:rsidR="005670AA" w:rsidRPr="006B67B9">
        <w:rPr>
          <w:rFonts w:ascii="Times New Roman" w:hAnsi="Times New Roman"/>
          <w:sz w:val="22"/>
          <w:szCs w:val="22"/>
        </w:rPr>
        <w:t>’</w:t>
      </w:r>
      <w:r w:rsidR="00C07404" w:rsidRPr="006B67B9">
        <w:rPr>
          <w:rFonts w:ascii="Times New Roman" w:hAnsi="Times New Roman"/>
          <w:sz w:val="22"/>
          <w:szCs w:val="22"/>
        </w:rPr>
        <w:t>s teachings in the New Testament, highlighting the complex relationship between faith, biblical interpretation, and ideology. Liberation Theology attempts to navigate these complexities through two main approaches: prioritizing contextually relevant passages or constructing a contemporary Gospel (</w:t>
      </w:r>
      <w:r w:rsidR="005670AA" w:rsidRPr="006B67B9">
        <w:rPr>
          <w:rFonts w:ascii="Times New Roman" w:hAnsi="Times New Roman"/>
          <w:sz w:val="22"/>
          <w:szCs w:val="22"/>
        </w:rPr>
        <w:t>“</w:t>
      </w:r>
      <w:r w:rsidR="00C07404" w:rsidRPr="006B67B9">
        <w:rPr>
          <w:rFonts w:ascii="Times New Roman" w:hAnsi="Times New Roman"/>
          <w:sz w:val="22"/>
          <w:szCs w:val="22"/>
        </w:rPr>
        <w:t>What would Jesus have said</w:t>
      </w:r>
      <w:r w:rsidR="006B67B9">
        <w:rPr>
          <w:rFonts w:ascii="Times New Roman" w:hAnsi="Times New Roman"/>
          <w:sz w:val="22"/>
          <w:szCs w:val="22"/>
        </w:rPr>
        <w:t xml:space="preserve"> in this context</w:t>
      </w:r>
      <w:r w:rsidR="00C07404" w:rsidRPr="006B67B9">
        <w:rPr>
          <w:rFonts w:ascii="Times New Roman" w:hAnsi="Times New Roman"/>
          <w:sz w:val="22"/>
          <w:szCs w:val="22"/>
        </w:rPr>
        <w:t>?</w:t>
      </w:r>
      <w:r w:rsidR="005670AA" w:rsidRPr="006B67B9">
        <w:rPr>
          <w:rFonts w:ascii="Times New Roman" w:hAnsi="Times New Roman"/>
          <w:sz w:val="22"/>
          <w:szCs w:val="22"/>
        </w:rPr>
        <w:t>”</w:t>
      </w:r>
      <w:r w:rsidR="00C07404" w:rsidRPr="006B67B9">
        <w:rPr>
          <w:rFonts w:ascii="Times New Roman" w:hAnsi="Times New Roman"/>
          <w:sz w:val="22"/>
          <w:szCs w:val="22"/>
        </w:rPr>
        <w:t>). Section V addresses whether the revelation continues beyond the last apostle, with classical theology typically denying such continuity. However, Segundo references John 16:12-14 to suggest the Holy Spirit continues to reveal aspects of Christ, possibly through ideologies. He challenges the notion that faith can exist independently of ideologies, asserting that faith devoid of ideological context is dead. Segundo posits that faith matures through engagement with ideologies, which are essential for understanding and participating in the liberation of humanity. Faith is thus presented not as a static body of content but as a dynamic process that evolves through interactions with contemporary ideological movements.</w:t>
      </w:r>
    </w:p>
    <w:p w:rsidR="00BF25A1" w:rsidRPr="006B67B9" w:rsidRDefault="00C07404" w:rsidP="00BF25A1">
      <w:pPr>
        <w:jc w:val="both"/>
        <w:rPr>
          <w:szCs w:val="22"/>
        </w:rPr>
      </w:pPr>
      <w:r w:rsidRPr="006B67B9">
        <w:rPr>
          <w:rFonts w:ascii="Times New Roman" w:hAnsi="Times New Roman"/>
          <w:i/>
          <w:iCs/>
          <w:sz w:val="22"/>
          <w:szCs w:val="22"/>
        </w:rPr>
        <w:t>Chapter 5: Ideologies – Church – Eschatology</w:t>
      </w:r>
      <w:r w:rsidRPr="006B67B9">
        <w:rPr>
          <w:rFonts w:ascii="Times New Roman" w:hAnsi="Times New Roman"/>
          <w:sz w:val="22"/>
          <w:szCs w:val="22"/>
        </w:rPr>
        <w:t xml:space="preserve">.  Section </w:t>
      </w:r>
      <w:r w:rsidR="00E3115D" w:rsidRPr="006B67B9">
        <w:rPr>
          <w:rFonts w:ascii="Times New Roman" w:hAnsi="Times New Roman"/>
          <w:sz w:val="22"/>
          <w:szCs w:val="22"/>
        </w:rPr>
        <w:t>I reflects</w:t>
      </w:r>
      <w:r w:rsidRPr="006B67B9">
        <w:rPr>
          <w:rFonts w:ascii="Times New Roman" w:hAnsi="Times New Roman"/>
          <w:sz w:val="22"/>
          <w:szCs w:val="22"/>
        </w:rPr>
        <w:t xml:space="preserve"> on the </w:t>
      </w:r>
      <w:r w:rsidR="005670AA" w:rsidRPr="006B67B9">
        <w:rPr>
          <w:rFonts w:ascii="Times New Roman" w:hAnsi="Times New Roman"/>
          <w:sz w:val="22"/>
          <w:szCs w:val="22"/>
        </w:rPr>
        <w:t>“</w:t>
      </w:r>
      <w:r w:rsidRPr="006B67B9">
        <w:rPr>
          <w:rFonts w:ascii="Times New Roman" w:hAnsi="Times New Roman"/>
          <w:sz w:val="22"/>
          <w:szCs w:val="22"/>
        </w:rPr>
        <w:t>anti-ideological stance</w:t>
      </w:r>
      <w:r w:rsidR="005670AA" w:rsidRPr="006B67B9">
        <w:rPr>
          <w:rFonts w:ascii="Times New Roman" w:hAnsi="Times New Roman"/>
          <w:sz w:val="22"/>
          <w:szCs w:val="22"/>
        </w:rPr>
        <w:t>”</w:t>
      </w:r>
      <w:r w:rsidRPr="006B67B9">
        <w:rPr>
          <w:rFonts w:ascii="Times New Roman" w:hAnsi="Times New Roman"/>
          <w:sz w:val="22"/>
          <w:szCs w:val="22"/>
        </w:rPr>
        <w:t xml:space="preserve"> in the Catholic Church</w:t>
      </w:r>
      <w:r w:rsidR="00BF25A1" w:rsidRPr="006B67B9">
        <w:rPr>
          <w:rFonts w:ascii="Times New Roman" w:hAnsi="Times New Roman"/>
          <w:sz w:val="22"/>
          <w:szCs w:val="22"/>
        </w:rPr>
        <w:t xml:space="preserve">. It argues that the recent more </w:t>
      </w:r>
      <w:r w:rsidRPr="006B67B9">
        <w:rPr>
          <w:rFonts w:ascii="Times New Roman" w:hAnsi="Times New Roman"/>
          <w:sz w:val="22"/>
          <w:szCs w:val="22"/>
        </w:rPr>
        <w:t>diffuse sense of church membership and lower mass attendance</w:t>
      </w:r>
      <w:r w:rsidR="00BF25A1" w:rsidRPr="006B67B9">
        <w:rPr>
          <w:rFonts w:ascii="Times New Roman" w:hAnsi="Times New Roman"/>
          <w:sz w:val="22"/>
          <w:szCs w:val="22"/>
        </w:rPr>
        <w:t xml:space="preserve"> in Latin America affirms the importance of Dietrich</w:t>
      </w:r>
      <w:r w:rsidRPr="006B67B9">
        <w:rPr>
          <w:rFonts w:ascii="Times New Roman" w:hAnsi="Times New Roman"/>
          <w:sz w:val="22"/>
          <w:szCs w:val="22"/>
        </w:rPr>
        <w:t xml:space="preserve"> Bonhoeffer</w:t>
      </w:r>
      <w:r w:rsidR="005670AA" w:rsidRPr="006B67B9">
        <w:rPr>
          <w:rFonts w:ascii="Times New Roman" w:hAnsi="Times New Roman"/>
          <w:sz w:val="22"/>
          <w:szCs w:val="22"/>
        </w:rPr>
        <w:t>’</w:t>
      </w:r>
      <w:r w:rsidRPr="006B67B9">
        <w:rPr>
          <w:rFonts w:ascii="Times New Roman" w:hAnsi="Times New Roman"/>
          <w:sz w:val="22"/>
          <w:szCs w:val="22"/>
        </w:rPr>
        <w:t>s affirmative stance on hoping for an ideological crisis as a means for faith to regain its importance. Chile</w:t>
      </w:r>
      <w:r w:rsidR="00BF25A1" w:rsidRPr="006B67B9">
        <w:rPr>
          <w:rFonts w:ascii="Times New Roman" w:hAnsi="Times New Roman"/>
          <w:sz w:val="22"/>
          <w:szCs w:val="22"/>
        </w:rPr>
        <w:t xml:space="preserve"> is discussed</w:t>
      </w:r>
      <w:r w:rsidRPr="006B67B9">
        <w:rPr>
          <w:rFonts w:ascii="Times New Roman" w:hAnsi="Times New Roman"/>
          <w:sz w:val="22"/>
          <w:szCs w:val="22"/>
        </w:rPr>
        <w:t>, where the relationship between the Gospel, politics, and socialism highlights the Church</w:t>
      </w:r>
      <w:r w:rsidR="005670AA" w:rsidRPr="006B67B9">
        <w:rPr>
          <w:rFonts w:ascii="Times New Roman" w:hAnsi="Times New Roman"/>
          <w:sz w:val="22"/>
          <w:szCs w:val="22"/>
        </w:rPr>
        <w:t>’</w:t>
      </w:r>
      <w:r w:rsidRPr="006B67B9">
        <w:rPr>
          <w:rFonts w:ascii="Times New Roman" w:hAnsi="Times New Roman"/>
          <w:sz w:val="22"/>
          <w:szCs w:val="22"/>
        </w:rPr>
        <w:t xml:space="preserve">s dilemma in choosing sides. </w:t>
      </w:r>
      <w:r w:rsidR="00BF25A1" w:rsidRPr="006B67B9">
        <w:rPr>
          <w:rFonts w:ascii="Times New Roman" w:hAnsi="Times New Roman"/>
          <w:sz w:val="22"/>
          <w:szCs w:val="22"/>
        </w:rPr>
        <w:t xml:space="preserve">The Church justifies its </w:t>
      </w:r>
      <w:r w:rsidRPr="006B67B9">
        <w:rPr>
          <w:rFonts w:ascii="Times New Roman" w:hAnsi="Times New Roman"/>
          <w:sz w:val="22"/>
          <w:szCs w:val="22"/>
        </w:rPr>
        <w:t xml:space="preserve">refusal to pick a side by concerns of excluding others and diminishing unity, emphasizing </w:t>
      </w:r>
      <w:r w:rsidR="00BF25A1" w:rsidRPr="006B67B9">
        <w:rPr>
          <w:rFonts w:ascii="Times New Roman" w:hAnsi="Times New Roman"/>
          <w:sz w:val="22"/>
          <w:szCs w:val="22"/>
        </w:rPr>
        <w:t xml:space="preserve">the superiority of </w:t>
      </w:r>
      <w:r w:rsidRPr="006B67B9">
        <w:rPr>
          <w:rFonts w:ascii="Times New Roman" w:hAnsi="Times New Roman"/>
          <w:sz w:val="22"/>
          <w:szCs w:val="22"/>
        </w:rPr>
        <w:t>faith over ideology</w:t>
      </w:r>
      <w:r w:rsidR="005670AA" w:rsidRPr="006B67B9">
        <w:rPr>
          <w:rFonts w:ascii="Times New Roman" w:hAnsi="Times New Roman"/>
          <w:sz w:val="22"/>
          <w:szCs w:val="22"/>
        </w:rPr>
        <w:t xml:space="preserve"> due to its focus on eternal matters</w:t>
      </w:r>
      <w:r w:rsidRPr="006B67B9">
        <w:rPr>
          <w:rFonts w:ascii="Times New Roman" w:hAnsi="Times New Roman"/>
          <w:sz w:val="22"/>
          <w:szCs w:val="22"/>
        </w:rPr>
        <w:t xml:space="preserve">. However, Luis Segundo critiques this viewpoint as contradictory to Vatican II, arguing that </w:t>
      </w:r>
      <w:r w:rsidR="00E3115D" w:rsidRPr="006B67B9">
        <w:rPr>
          <w:rFonts w:ascii="Times New Roman" w:hAnsi="Times New Roman"/>
          <w:sz w:val="22"/>
          <w:szCs w:val="22"/>
        </w:rPr>
        <w:t xml:space="preserve">the Church inadvertently supports the status quo by not </w:t>
      </w:r>
      <w:r w:rsidR="005670AA" w:rsidRPr="006B67B9">
        <w:rPr>
          <w:rFonts w:ascii="Times New Roman" w:hAnsi="Times New Roman"/>
          <w:sz w:val="22"/>
          <w:szCs w:val="22"/>
        </w:rPr>
        <w:t>picking a side</w:t>
      </w:r>
      <w:r w:rsidRPr="006B67B9">
        <w:rPr>
          <w:rFonts w:ascii="Times New Roman" w:hAnsi="Times New Roman"/>
          <w:sz w:val="22"/>
          <w:szCs w:val="22"/>
        </w:rPr>
        <w:t>. The equating of socialism with atheism in Chile is noted, underscoring the complex interplay between ideology, faith, and the Church</w:t>
      </w:r>
      <w:r w:rsidR="005670AA" w:rsidRPr="006B67B9">
        <w:rPr>
          <w:rFonts w:ascii="Times New Roman" w:hAnsi="Times New Roman"/>
          <w:sz w:val="22"/>
          <w:szCs w:val="22"/>
        </w:rPr>
        <w:t>’</w:t>
      </w:r>
      <w:r w:rsidRPr="006B67B9">
        <w:rPr>
          <w:rFonts w:ascii="Times New Roman" w:hAnsi="Times New Roman"/>
          <w:sz w:val="22"/>
          <w:szCs w:val="22"/>
        </w:rPr>
        <w:t>s mission in contemporary society.</w:t>
      </w:r>
      <w:r w:rsidR="00E3115D" w:rsidRPr="006B67B9">
        <w:rPr>
          <w:rFonts w:ascii="Times New Roman" w:hAnsi="Times New Roman"/>
          <w:sz w:val="22"/>
          <w:szCs w:val="22"/>
        </w:rPr>
        <w:t xml:space="preserve"> Section II discusses the </w:t>
      </w:r>
      <w:r w:rsidR="005670AA" w:rsidRPr="006B67B9">
        <w:rPr>
          <w:rFonts w:ascii="Times New Roman" w:hAnsi="Times New Roman"/>
          <w:sz w:val="22"/>
          <w:szCs w:val="22"/>
        </w:rPr>
        <w:t>“</w:t>
      </w:r>
      <w:r w:rsidR="00E3115D" w:rsidRPr="006B67B9">
        <w:rPr>
          <w:rFonts w:ascii="Times New Roman" w:hAnsi="Times New Roman"/>
          <w:sz w:val="22"/>
          <w:szCs w:val="22"/>
        </w:rPr>
        <w:t>anti-ideological stance</w:t>
      </w:r>
      <w:r w:rsidR="005670AA" w:rsidRPr="006B67B9">
        <w:rPr>
          <w:rFonts w:ascii="Times New Roman" w:hAnsi="Times New Roman"/>
          <w:sz w:val="22"/>
          <w:szCs w:val="22"/>
        </w:rPr>
        <w:t>”</w:t>
      </w:r>
      <w:r w:rsidR="00E3115D" w:rsidRPr="006B67B9">
        <w:rPr>
          <w:rFonts w:ascii="Times New Roman" w:hAnsi="Times New Roman"/>
          <w:sz w:val="22"/>
          <w:szCs w:val="22"/>
        </w:rPr>
        <w:t xml:space="preserve"> in Protestant Churches, as demonstrated by Peter Wagner</w:t>
      </w:r>
      <w:r w:rsidR="005670AA" w:rsidRPr="006B67B9">
        <w:rPr>
          <w:rFonts w:ascii="Times New Roman" w:hAnsi="Times New Roman"/>
          <w:sz w:val="22"/>
          <w:szCs w:val="22"/>
        </w:rPr>
        <w:t>’</w:t>
      </w:r>
      <w:r w:rsidR="00E3115D" w:rsidRPr="006B67B9">
        <w:rPr>
          <w:rFonts w:ascii="Times New Roman" w:hAnsi="Times New Roman"/>
          <w:sz w:val="22"/>
          <w:szCs w:val="22"/>
        </w:rPr>
        <w:t>s six points of critique against Liberation Theology as leftists. First, individual reconciliation with God is central to faith. Second, the salvation of souls is prioritized over social or political causes. Third, the work of Christ and the gospel message is inherently spiritual and church-centered, and the Great Commission has no social mandate. Fourth, membership and spiritual unity in the church outweigh socio-economic or political affiliations. Fifth, Liberation Theology overlooks temporal dualism – the real existence of evil – by seeking natural causes of evil. Sixth, there is no universal promise or plan for social salvation, only for spiritual salvation.</w:t>
      </w:r>
      <w:r w:rsidR="00BF25A1" w:rsidRPr="006B67B9">
        <w:rPr>
          <w:rFonts w:ascii="Times New Roman" w:hAnsi="Times New Roman"/>
          <w:sz w:val="22"/>
          <w:szCs w:val="22"/>
        </w:rPr>
        <w:t xml:space="preserve"> Section III. This section discusses differing eschatological views within Catholic and Protestant traditions and their interaction with ideologies. The Catholic view </w:t>
      </w:r>
      <w:r w:rsidR="006B67B9">
        <w:rPr>
          <w:rFonts w:ascii="Times New Roman" w:hAnsi="Times New Roman"/>
          <w:sz w:val="22"/>
          <w:szCs w:val="22"/>
        </w:rPr>
        <w:t>h</w:t>
      </w:r>
      <w:r w:rsidR="00BF25A1" w:rsidRPr="006B67B9">
        <w:rPr>
          <w:rFonts w:ascii="Times New Roman" w:hAnsi="Times New Roman"/>
          <w:sz w:val="22"/>
          <w:szCs w:val="22"/>
        </w:rPr>
        <w:t xml:space="preserve">ighlights the role of human merits in achieving divine grace, suggesting that eternal values are </w:t>
      </w:r>
      <w:r w:rsidR="006B67B9">
        <w:rPr>
          <w:rFonts w:ascii="Times New Roman" w:hAnsi="Times New Roman"/>
          <w:sz w:val="22"/>
          <w:szCs w:val="22"/>
        </w:rPr>
        <w:t>more important than</w:t>
      </w:r>
      <w:r w:rsidR="00BF25A1" w:rsidRPr="006B67B9">
        <w:rPr>
          <w:rFonts w:ascii="Times New Roman" w:hAnsi="Times New Roman"/>
          <w:sz w:val="22"/>
          <w:szCs w:val="22"/>
        </w:rPr>
        <w:t xml:space="preserve"> temporal actions. Vatican II marks a shift, emphasizing that grace is available to all for their supernatural vocation, moving away from the dual-plane theory of supernatural versus natural. The Lutheran view focuses on the theology of two kingdoms, indicating a need for political support but cautioning against the compromise this may entail. Luther asserts that only a divine act can usher in God</w:t>
      </w:r>
      <w:r w:rsidR="005670AA" w:rsidRPr="006B67B9">
        <w:rPr>
          <w:rFonts w:ascii="Times New Roman" w:hAnsi="Times New Roman"/>
          <w:sz w:val="22"/>
          <w:szCs w:val="22"/>
        </w:rPr>
        <w:t>’</w:t>
      </w:r>
      <w:r w:rsidR="00BF25A1" w:rsidRPr="006B67B9">
        <w:rPr>
          <w:rFonts w:ascii="Times New Roman" w:hAnsi="Times New Roman"/>
          <w:sz w:val="22"/>
          <w:szCs w:val="22"/>
        </w:rPr>
        <w:t xml:space="preserve">s kingdom, </w:t>
      </w:r>
      <w:r w:rsidR="006B67B9">
        <w:rPr>
          <w:rFonts w:ascii="Times New Roman" w:hAnsi="Times New Roman"/>
          <w:sz w:val="22"/>
          <w:szCs w:val="22"/>
        </w:rPr>
        <w:t xml:space="preserve">while </w:t>
      </w:r>
      <w:r w:rsidR="00BF25A1" w:rsidRPr="006B67B9">
        <w:rPr>
          <w:rFonts w:ascii="Times New Roman" w:hAnsi="Times New Roman"/>
          <w:sz w:val="22"/>
          <w:szCs w:val="22"/>
        </w:rPr>
        <w:t>human action</w:t>
      </w:r>
      <w:r w:rsidR="006B67B9">
        <w:rPr>
          <w:rFonts w:ascii="Times New Roman" w:hAnsi="Times New Roman"/>
          <w:sz w:val="22"/>
          <w:szCs w:val="22"/>
        </w:rPr>
        <w:t>s</w:t>
      </w:r>
      <w:r w:rsidR="00BF25A1" w:rsidRPr="006B67B9">
        <w:rPr>
          <w:rFonts w:ascii="Times New Roman" w:hAnsi="Times New Roman"/>
          <w:sz w:val="22"/>
          <w:szCs w:val="22"/>
        </w:rPr>
        <w:t xml:space="preserve"> </w:t>
      </w:r>
      <w:r w:rsidR="006B67B9">
        <w:rPr>
          <w:rFonts w:ascii="Times New Roman" w:hAnsi="Times New Roman"/>
          <w:sz w:val="22"/>
          <w:szCs w:val="22"/>
        </w:rPr>
        <w:t>are</w:t>
      </w:r>
      <w:r w:rsidR="00BF25A1" w:rsidRPr="006B67B9">
        <w:rPr>
          <w:rFonts w:ascii="Times New Roman" w:hAnsi="Times New Roman"/>
          <w:sz w:val="22"/>
          <w:szCs w:val="22"/>
        </w:rPr>
        <w:t xml:space="preserve"> </w:t>
      </w:r>
      <w:r w:rsidR="006B67B9">
        <w:rPr>
          <w:rFonts w:ascii="Times New Roman" w:hAnsi="Times New Roman"/>
          <w:sz w:val="22"/>
          <w:szCs w:val="22"/>
        </w:rPr>
        <w:t>in</w:t>
      </w:r>
      <w:r w:rsidR="00BF25A1" w:rsidRPr="006B67B9">
        <w:rPr>
          <w:rFonts w:ascii="Times New Roman" w:hAnsi="Times New Roman"/>
          <w:sz w:val="22"/>
          <w:szCs w:val="22"/>
        </w:rPr>
        <w:t xml:space="preserve">sufficient to accelerate this process. Section IV argues that Liberation Theology is ecumenical, transcending both legalism (Catholicism) and passivity (Lutheranism) that miss the point that freedom is not only </w:t>
      </w:r>
      <w:r w:rsidR="00BF25A1" w:rsidRPr="006B67B9">
        <w:rPr>
          <w:rFonts w:ascii="Times New Roman" w:hAnsi="Times New Roman"/>
          <w:i/>
          <w:iCs/>
          <w:sz w:val="22"/>
          <w:szCs w:val="22"/>
        </w:rPr>
        <w:t>from</w:t>
      </w:r>
      <w:r w:rsidR="00BF25A1" w:rsidRPr="006B67B9">
        <w:rPr>
          <w:rFonts w:ascii="Times New Roman" w:hAnsi="Times New Roman"/>
          <w:sz w:val="22"/>
          <w:szCs w:val="22"/>
        </w:rPr>
        <w:t xml:space="preserve"> but also </w:t>
      </w:r>
      <w:r w:rsidR="00BF25A1" w:rsidRPr="006B67B9">
        <w:rPr>
          <w:rFonts w:ascii="Times New Roman" w:hAnsi="Times New Roman"/>
          <w:i/>
          <w:iCs/>
          <w:sz w:val="22"/>
          <w:szCs w:val="22"/>
        </w:rPr>
        <w:t xml:space="preserve">to </w:t>
      </w:r>
      <w:r w:rsidR="00BF25A1" w:rsidRPr="006B67B9">
        <w:rPr>
          <w:rFonts w:ascii="Times New Roman" w:hAnsi="Times New Roman"/>
          <w:sz w:val="22"/>
          <w:szCs w:val="22"/>
        </w:rPr>
        <w:t xml:space="preserve">something: the construction of the Kingdom: </w:t>
      </w:r>
      <w:r w:rsidR="005670AA" w:rsidRPr="006B67B9">
        <w:rPr>
          <w:rFonts w:ascii="Times New Roman" w:hAnsi="Times New Roman"/>
          <w:sz w:val="22"/>
          <w:szCs w:val="22"/>
        </w:rPr>
        <w:t>“</w:t>
      </w:r>
      <w:r w:rsidR="00BF25A1" w:rsidRPr="006B67B9">
        <w:rPr>
          <w:rFonts w:ascii="Times New Roman" w:hAnsi="Times New Roman"/>
          <w:sz w:val="22"/>
          <w:szCs w:val="22"/>
        </w:rPr>
        <w:t>Catholicism and Lutheranism need to be reconciled and supplemented with human creativity, work, and liberty for the present.</w:t>
      </w:r>
      <w:r w:rsidR="005670AA" w:rsidRPr="006B67B9">
        <w:rPr>
          <w:rFonts w:ascii="Times New Roman" w:hAnsi="Times New Roman"/>
          <w:sz w:val="22"/>
          <w:szCs w:val="22"/>
        </w:rPr>
        <w:t>”</w:t>
      </w:r>
    </w:p>
    <w:p w:rsidR="006B67B9" w:rsidRPr="006B67B9" w:rsidRDefault="006B67B9" w:rsidP="006B67B9">
      <w:pPr>
        <w:jc w:val="both"/>
        <w:rPr>
          <w:szCs w:val="22"/>
        </w:rPr>
      </w:pPr>
      <w:r w:rsidRPr="006B67B9">
        <w:rPr>
          <w:rFonts w:ascii="Times New Roman" w:hAnsi="Times New Roman"/>
          <w:i/>
          <w:iCs/>
          <w:sz w:val="22"/>
          <w:szCs w:val="22"/>
        </w:rPr>
        <w:t>Liberation of Theology</w:t>
      </w:r>
      <w:r w:rsidRPr="006B67B9">
        <w:rPr>
          <w:rFonts w:ascii="Times New Roman" w:hAnsi="Times New Roman"/>
          <w:sz w:val="22"/>
          <w:szCs w:val="22"/>
        </w:rPr>
        <w:t xml:space="preserve"> by Juan Luis Segundo offers a critical examination of Liberation Theology, exploring its interpretations, societal engagements, and theological implications. Segundo navigates the complexities of LT</w:t>
      </w:r>
      <w:r w:rsidRPr="006B67B9">
        <w:rPr>
          <w:rFonts w:ascii="Times New Roman" w:hAnsi="Times New Roman"/>
          <w:sz w:val="22"/>
          <w:szCs w:val="22"/>
        </w:rPr>
        <w:t>, focusing</w:t>
      </w:r>
      <w:r w:rsidRPr="006B67B9">
        <w:rPr>
          <w:rFonts w:ascii="Times New Roman" w:hAnsi="Times New Roman"/>
          <w:sz w:val="22"/>
          <w:szCs w:val="22"/>
        </w:rPr>
        <w:t xml:space="preserve"> on faith's role in social justice and the potential risks of ideological alignment. His work stands out for advocating a balanced theology that prioritizes the Christian commitment to the oppressed while cautioning against losing the spiritual essence in political activism.</w:t>
      </w:r>
      <w:r>
        <w:rPr>
          <w:rFonts w:ascii="Times New Roman" w:hAnsi="Times New Roman"/>
          <w:sz w:val="22"/>
          <w:szCs w:val="22"/>
        </w:rPr>
        <w:t xml:space="preserve"> However, Segundo does not resolve the hermeneutical tension caused by his prioritizing commitment to the poor above theological reflection, as he put it in chapter 4: </w:t>
      </w:r>
      <w:r w:rsidRPr="006B67B9">
        <w:rPr>
          <w:rFonts w:eastAsia="Times New Roman" w:cs="Times New Roman" w:ascii="Times New Roman" w:hAnsi="Times New Roman"/>
          <w:kern w:val="0"/>
          <w:sz w:val="22"/>
          <w:szCs w:val="22"/>
          <w14:ligatures w14:val="none"/>
        </w:rPr>
        <w:t>"Does it logically follow that the less we know beforehand about that divine word, the more authentic will be our commitment and hence our first reading of the word of God?"</w:t>
      </w:r>
    </w:p>
    <w:sectPr w:rsidR="006B67B9" w:rsidRPr="006B67B9">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SegL</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Liberation of Theology</w:t>
      <w:tab/>
      <w: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A7E66"/>
    <w:multiLevelType w:val="multilevel"/>
    <w:tmpl w:val="B98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48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87"/>
    <w:rsid w:val="00117F1A"/>
    <w:rsid w:val="00222881"/>
    <w:rsid w:val="00345E9F"/>
    <w:rsid w:val="004F374B"/>
    <w:rsid w:val="005670AA"/>
    <w:rsid w:val="006B67B9"/>
    <w:rsid w:val="00BF25A1"/>
    <w:rsid w:val="00BF6A05"/>
    <w:rsid w:val="00C07404"/>
    <w:rsid w:val="00E3115D"/>
    <w:rsid w:val="00ED5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4C000"/>
  <w15:chartTrackingRefBased/>
  <w15:docId w15:val="{50B686B2-D8F7-D542-B537-E350EA74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D87"/>
    <w:rPr>
      <w:rFonts w:ascii="Times New Roman" w:hAnsi="Times New Roman"/>
      <w:sz w:val="22"/>
    </w:rPr>
  </w:style>
  <w:style w:type="paragraph" w:styleId="Heading1">
    <w:name w:val="heading 1"/>
    <w:basedOn w:val="Normal"/>
    <w:next w:val="Normal"/>
    <w:link w:val="Heading1Char"/>
    <w:uiPriority w:val="9"/>
    <w:qFormat/>
    <w:rsid w:val="00ED5D8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8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11254">
      <w:bodyDiv w:val="1"/>
      <w:marLeft w:val="0"/>
      <w:marRight w:val="0"/>
      <w:marTop w:val="0"/>
      <w:marBottom w:val="0"/>
      <w:divBdr>
        <w:top w:val="none" w:sz="0" w:space="0" w:color="auto"/>
        <w:left w:val="none" w:sz="0" w:space="0" w:color="auto"/>
        <w:bottom w:val="none" w:sz="0" w:space="0" w:color="auto"/>
        <w:right w:val="none" w:sz="0" w:space="0" w:color="auto"/>
      </w:divBdr>
      <w:divsChild>
        <w:div w:id="872812836">
          <w:marLeft w:val="0"/>
          <w:marRight w:val="0"/>
          <w:marTop w:val="0"/>
          <w:marBottom w:val="0"/>
          <w:divBdr>
            <w:top w:val="none" w:sz="0" w:space="0" w:color="auto"/>
            <w:left w:val="none" w:sz="0" w:space="0" w:color="auto"/>
            <w:bottom w:val="none" w:sz="0" w:space="0" w:color="auto"/>
            <w:right w:val="none" w:sz="0" w:space="0" w:color="auto"/>
          </w:divBdr>
        </w:div>
        <w:div w:id="1866013231">
          <w:marLeft w:val="0"/>
          <w:marRight w:val="0"/>
          <w:marTop w:val="0"/>
          <w:marBottom w:val="0"/>
          <w:divBdr>
            <w:top w:val="none" w:sz="0" w:space="0" w:color="auto"/>
            <w:left w:val="none" w:sz="0" w:space="0" w:color="auto"/>
            <w:bottom w:val="none" w:sz="0" w:space="0" w:color="auto"/>
            <w:right w:val="none" w:sz="0" w:space="0" w:color="auto"/>
          </w:divBdr>
        </w:div>
        <w:div w:id="20326030">
          <w:marLeft w:val="0"/>
          <w:marRight w:val="0"/>
          <w:marTop w:val="0"/>
          <w:marBottom w:val="0"/>
          <w:divBdr>
            <w:top w:val="none" w:sz="0" w:space="0" w:color="auto"/>
            <w:left w:val="none" w:sz="0" w:space="0" w:color="auto"/>
            <w:bottom w:val="none" w:sz="0" w:space="0" w:color="auto"/>
            <w:right w:val="none" w:sz="0" w:space="0" w:color="auto"/>
          </w:divBdr>
        </w:div>
      </w:divsChild>
    </w:div>
    <w:div w:id="852762590">
      <w:bodyDiv w:val="1"/>
      <w:marLeft w:val="0"/>
      <w:marRight w:val="0"/>
      <w:marTop w:val="0"/>
      <w:marBottom w:val="0"/>
      <w:divBdr>
        <w:top w:val="none" w:sz="0" w:space="0" w:color="auto"/>
        <w:left w:val="none" w:sz="0" w:space="0" w:color="auto"/>
        <w:bottom w:val="none" w:sz="0" w:space="0" w:color="auto"/>
        <w:right w:val="none" w:sz="0" w:space="0" w:color="auto"/>
      </w:divBdr>
      <w:divsChild>
        <w:div w:id="180164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2024-04-25T21:08:00Z</dcterms:created>
  <dcterms:modified xsi:type="dcterms:W3CDTF">2024-04-25T22:36:00Z</dcterms:modified>
</cp:coreProperties>
</file>