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238B7" w:rsidRPr="00B238B7" w:rsidRDefault="00B238B7" w:rsidP="00B238B7">
      <w:pPr>
        <w:jc w:val="both"/>
        <w:rPr>
          <w:b/>
          <w:bCs/>
          <w:sz w:val="24"/>
        </w:rPr>
      </w:pPr>
      <w:r w:rsidRPr="00B238B7">
        <w:rPr>
          <w:rFonts w:ascii="Times New Roman" w:hAnsi="Times New Roman"/>
          <w:b/>
          <w:bCs/>
          <w:sz w:val="22"/>
        </w:rPr>
        <w:t>The Study of the Bible in the Middle Ages by Beryl Smalley</w:t>
      </w:r>
    </w:p>
    <w:p w:rsidR="00B238B7" w:rsidRDefault="00B238B7" w:rsidP="00B238B7">
      <w:pPr>
        <w:jc w:val="both"/>
        <w:rPr>
          <w:sz w:val="24"/>
        </w:rPr>
      </w:pPr>
      <w:r w:rsidRPr="00B238B7">
        <w:rPr>
          <w:rFonts w:ascii="Times New Roman" w:hAnsi="Times New Roman"/>
          <w:b/>
          <w:bCs/>
          <w:sz w:val="22"/>
        </w:rPr>
        <w:t>Introduction</w:t>
      </w:r>
      <w:r>
        <w:rPr>
          <w:rFonts w:ascii="Times New Roman" w:hAnsi="Times New Roman"/>
          <w:b/>
          <w:bCs/>
          <w:sz w:val="22"/>
        </w:rPr>
        <w:t xml:space="preserve">. </w:t>
      </w:r>
      <w:r w:rsidRPr="00B238B7">
        <w:rPr>
          <w:rFonts w:ascii="Times New Roman" w:hAnsi="Times New Roman"/>
          <w:sz w:val="22"/>
        </w:rPr>
        <w:t xml:space="preserve">In the Middle Ages, biblical texts held significant importance, contributing to both development and continuity in religious and educational contexts. Beryl Smalley, not a theologian but a scholar of manuscript materials, explored this dynamic period where the Bible was seen as more active and alive than its author. The text served various educational roles: as a school book, a centerpiece for monastic practices like </w:t>
      </w:r>
      <w:r w:rsidRPr="00B238B7">
        <w:rPr>
          <w:rFonts w:ascii="Times New Roman" w:hAnsi="Times New Roman"/>
          <w:i/>
          <w:iCs/>
          <w:sz w:val="22"/>
        </w:rPr>
        <w:t>lectio divina</w:t>
      </w:r>
      <w:r w:rsidRPr="00B238B7">
        <w:rPr>
          <w:rFonts w:ascii="Times New Roman" w:hAnsi="Times New Roman"/>
          <w:sz w:val="22"/>
        </w:rPr>
        <w:t xml:space="preserve">, and a foundational text for theologians in medieval schools. </w:t>
      </w:r>
      <w:r w:rsidRPr="00B238B7">
        <w:rPr>
          <w:rFonts w:ascii="Times New Roman" w:hAnsi="Times New Roman"/>
          <w:b/>
          <w:bCs/>
          <w:sz w:val="22"/>
        </w:rPr>
        <w:t>The Bible and Medieval Education</w:t>
      </w:r>
      <w:r>
        <w:rPr>
          <w:rFonts w:ascii="Times New Roman" w:hAnsi="Times New Roman"/>
          <w:b/>
          <w:bCs/>
          <w:sz w:val="22"/>
        </w:rPr>
        <w:t xml:space="preserve">. </w:t>
      </w:r>
      <w:r w:rsidRPr="00B238B7">
        <w:rPr>
          <w:rFonts w:ascii="Times New Roman" w:hAnsi="Times New Roman"/>
          <w:sz w:val="22"/>
        </w:rPr>
        <w:t xml:space="preserve">The Bible's integration into educational institutions tied it deeply to the historical framework. It was subject to the gloss, a standard commentary, and studied through the lens of </w:t>
      </w:r>
      <w:r w:rsidRPr="00B238B7">
        <w:rPr>
          <w:rFonts w:ascii="Times New Roman" w:hAnsi="Times New Roman"/>
          <w:i/>
          <w:iCs/>
          <w:sz w:val="22"/>
        </w:rPr>
        <w:t>sacra pagina</w:t>
      </w:r>
      <w:r w:rsidRPr="00B238B7">
        <w:rPr>
          <w:rFonts w:ascii="Times New Roman" w:hAnsi="Times New Roman"/>
          <w:sz w:val="22"/>
        </w:rPr>
        <w:t xml:space="preserve"> using grammar, rhetoric, and dialectic thinking. By the 12th and 13th centuries, exegesis emerged as a separate subject, partly due to learning Hebrew and engaging with Jewish exegetical practices.</w:t>
      </w:r>
      <w:r>
        <w:rPr>
          <w:rFonts w:ascii="Times New Roman" w:hAnsi="Times New Roman"/>
          <w:sz w:val="22"/>
        </w:rPr>
        <w:t xml:space="preserve"> </w:t>
      </w:r>
      <w:r w:rsidRPr="00B238B7">
        <w:rPr>
          <w:rFonts w:ascii="Times New Roman" w:hAnsi="Times New Roman"/>
          <w:b/>
          <w:bCs/>
          <w:sz w:val="22"/>
        </w:rPr>
        <w:t>Historical Perspective of Biblical Studies</w:t>
      </w:r>
      <w:r>
        <w:rPr>
          <w:rFonts w:ascii="Times New Roman" w:hAnsi="Times New Roman"/>
          <w:b/>
          <w:bCs/>
          <w:sz w:val="22"/>
        </w:rPr>
        <w:t xml:space="preserve">. </w:t>
      </w:r>
      <w:r w:rsidRPr="00B238B7">
        <w:rPr>
          <w:rFonts w:ascii="Times New Roman" w:hAnsi="Times New Roman"/>
          <w:sz w:val="22"/>
        </w:rPr>
        <w:t>Writing a history of biblical studies must focus primarily on the history of scholars. Smalley chose 1300 as a halting point to focus on scholarly biblical study within the clergy, as this marked the end of the Church's unchallenged monopoly on learning. The Vulgate was accepted as a foundational text, yet previous studies had left gaps, such as coverage of the Victorines and the disputes between Jews and Christians.</w:t>
      </w:r>
    </w:p>
    <w:p w:rsidR="00B238B7" w:rsidRDefault="00B238B7" w:rsidP="00B238B7">
      <w:pPr>
        <w:jc w:val="both"/>
        <w:rPr>
          <w:sz w:val="24"/>
        </w:rPr>
      </w:pPr>
    </w:p>
    <w:p w:rsidR="00B238B7" w:rsidRPr="00B238B7" w:rsidRDefault="00B238B7" w:rsidP="00B238B7">
      <w:pPr>
        <w:jc w:val="both"/>
        <w:rPr>
          <w:b/>
          <w:bCs/>
          <w:sz w:val="24"/>
        </w:rPr>
      </w:pPr>
      <w:r w:rsidRPr="00B238B7">
        <w:rPr>
          <w:rFonts w:ascii="Times New Roman" w:hAnsi="Times New Roman"/>
          <w:b/>
          <w:bCs/>
          <w:sz w:val="22"/>
        </w:rPr>
        <w:t>Chapter I: The Fathers</w:t>
      </w:r>
      <w:r>
        <w:rPr>
          <w:rFonts w:ascii="Times New Roman" w:hAnsi="Times New Roman"/>
          <w:b/>
          <w:bCs/>
          <w:sz w:val="22"/>
        </w:rPr>
        <w:t>.</w:t>
      </w:r>
    </w:p>
    <w:p w:rsidR="00B238B7" w:rsidRDefault="00B238B7" w:rsidP="00B238B7">
      <w:pPr>
        <w:jc w:val="both"/>
        <w:rPr>
          <w:sz w:val="24"/>
        </w:rPr>
      </w:pPr>
      <w:r w:rsidRPr="00B238B7">
        <w:rPr>
          <w:rFonts w:ascii="Times New Roman" w:hAnsi="Times New Roman"/>
          <w:b/>
          <w:bCs/>
          <w:sz w:val="22"/>
        </w:rPr>
        <w:t>I. The Letter and the Spirit</w:t>
      </w:r>
      <w:r>
        <w:rPr>
          <w:rFonts w:ascii="Times New Roman" w:hAnsi="Times New Roman"/>
          <w:b/>
          <w:bCs/>
          <w:sz w:val="22"/>
        </w:rPr>
        <w:t xml:space="preserve">. </w:t>
      </w:r>
      <w:r w:rsidRPr="00B238B7">
        <w:rPr>
          <w:rFonts w:ascii="Times New Roman" w:hAnsi="Times New Roman"/>
          <w:sz w:val="22"/>
        </w:rPr>
        <w:t>In medieval interpretation, the word of God incarnates within Scripture, akin to the body representing the literal and the soul the spiritual. Augustine described the letter as a garment for the spirit. This idea was not unique; Greeks found allegories in works like Homer, and Philo Judaeus applied Platonism to the Old Testament, reading philosophy into Scripture for apologetic purposes. He suggested that any part of Scripture could signify another through allegorical interpretation, heavily relying on the Septuagint.</w:t>
      </w:r>
      <w:r>
        <w:rPr>
          <w:rFonts w:ascii="Times New Roman" w:hAnsi="Times New Roman"/>
          <w:sz w:val="22"/>
        </w:rPr>
        <w:t xml:space="preserve"> </w:t>
      </w:r>
      <w:r>
        <w:rPr>
          <w:rFonts w:ascii="Times New Roman" w:hAnsi="Times New Roman"/>
          <w:b/>
          <w:bCs/>
          <w:sz w:val="22"/>
        </w:rPr>
        <w:t xml:space="preserve">The Influence of Philo and Origen. </w:t>
      </w:r>
      <w:r w:rsidRPr="00B238B7">
        <w:rPr>
          <w:rFonts w:ascii="Times New Roman" w:hAnsi="Times New Roman"/>
          <w:sz w:val="22"/>
        </w:rPr>
        <w:t xml:space="preserve">Philo's influence extended to the Alexandrian school, where Origen asserted that all Scripture contained a higher meaning. He identified four typologies: </w:t>
      </w:r>
    </w:p>
    <w:p w:rsidR="00B238B7" w:rsidRPr="00B238B7" w:rsidRDefault="00B238B7" w:rsidP="00B238B7">
      <w:pPr>
        <w:pStyle w:val="ListParagraph"/>
        <w:numPr>
          <w:ilvl w:val="0"/>
          <w:numId w:val="1"/>
        </w:numPr>
        <w:jc w:val="both"/>
        <w:rPr>
          <w:sz w:val="24"/>
        </w:rPr>
      </w:pPr>
      <w:r w:rsidRPr="00B238B7">
        <w:rPr>
          <w:rFonts w:ascii="Times New Roman" w:hAnsi="Times New Roman"/>
          <w:sz w:val="22"/>
        </w:rPr>
        <w:t xml:space="preserve">prophecy of Christ, </w:t>
      </w:r>
    </w:p>
    <w:p w:rsidR="00B238B7" w:rsidRPr="00B238B7" w:rsidRDefault="00B238B7" w:rsidP="00B238B7">
      <w:pPr>
        <w:pStyle w:val="ListParagraph"/>
        <w:numPr>
          <w:ilvl w:val="0"/>
          <w:numId w:val="1"/>
        </w:numPr>
        <w:jc w:val="both"/>
        <w:rPr>
          <w:sz w:val="24"/>
        </w:rPr>
      </w:pPr>
      <w:r w:rsidRPr="00B238B7">
        <w:rPr>
          <w:rFonts w:ascii="Times New Roman" w:hAnsi="Times New Roman"/>
          <w:sz w:val="22"/>
        </w:rPr>
        <w:t xml:space="preserve">sacraments of the Church, </w:t>
      </w:r>
    </w:p>
    <w:p w:rsidR="00B238B7" w:rsidRPr="00B238B7" w:rsidRDefault="00B238B7" w:rsidP="00B238B7">
      <w:pPr>
        <w:pStyle w:val="ListParagraph"/>
        <w:numPr>
          <w:ilvl w:val="0"/>
          <w:numId w:val="1"/>
        </w:numPr>
        <w:jc w:val="both"/>
        <w:rPr>
          <w:sz w:val="24"/>
        </w:rPr>
      </w:pPr>
      <w:r w:rsidRPr="00B238B7">
        <w:rPr>
          <w:rFonts w:ascii="Times New Roman" w:hAnsi="Times New Roman"/>
          <w:sz w:val="22"/>
        </w:rPr>
        <w:t xml:space="preserve">eschatology, </w:t>
      </w:r>
    </w:p>
    <w:p w:rsidR="00B238B7" w:rsidRPr="00B238B7" w:rsidRDefault="00B238B7" w:rsidP="00B238B7">
      <w:pPr>
        <w:pStyle w:val="ListParagraph"/>
        <w:numPr>
          <w:ilvl w:val="0"/>
          <w:numId w:val="1"/>
        </w:numPr>
        <w:jc w:val="both"/>
        <w:rPr>
          <w:sz w:val="24"/>
        </w:rPr>
      </w:pPr>
      <w:r w:rsidRPr="00B238B7">
        <w:rPr>
          <w:rFonts w:ascii="Times New Roman" w:hAnsi="Times New Roman"/>
          <w:sz w:val="22"/>
        </w:rPr>
        <w:t xml:space="preserve">and the mystical relationship between God and the soul. </w:t>
      </w:r>
    </w:p>
    <w:p w:rsidR="00B238B7" w:rsidRPr="00B238B7" w:rsidRDefault="00B238B7" w:rsidP="00B238B7">
      <w:pPr>
        <w:jc w:val="both"/>
        <w:rPr>
          <w:sz w:val="24"/>
        </w:rPr>
      </w:pPr>
      <w:r w:rsidRPr="00B238B7">
        <w:rPr>
          <w:rFonts w:ascii="Times New Roman" w:hAnsi="Times New Roman"/>
          <w:sz w:val="22"/>
        </w:rPr>
        <w:t xml:space="preserve">Origen believed that Scripture aligned with philosophy, employing body, soul, literal, moral, and allegorical senses. While all Scripture was seen as spiritual, not all was considered bodily. Allegory was used not only in learning but also in liturgy and sermons, anticipating practices like </w:t>
      </w:r>
      <w:r w:rsidRPr="00C71276">
        <w:rPr>
          <w:rFonts w:ascii="Times New Roman" w:hAnsi="Times New Roman"/>
          <w:i/>
          <w:iCs/>
          <w:sz w:val="22"/>
        </w:rPr>
        <w:t>lectio divina</w:t>
      </w:r>
      <w:r w:rsidRPr="00B238B7">
        <w:rPr>
          <w:rFonts w:ascii="Times New Roman" w:hAnsi="Times New Roman"/>
          <w:sz w:val="22"/>
        </w:rPr>
        <w:t>. Origen even consulted Jews, which led to a scientific study of the Bible that influenced medieval exegesis.</w:t>
      </w:r>
      <w:r w:rsidR="00C71276">
        <w:rPr>
          <w:rFonts w:ascii="Times New Roman" w:hAnsi="Times New Roman"/>
          <w:sz w:val="22"/>
        </w:rPr>
        <w:t xml:space="preserve"> </w:t>
      </w:r>
      <w:r w:rsidR="00C71276">
        <w:rPr>
          <w:rFonts w:ascii="Times New Roman" w:hAnsi="Times New Roman"/>
          <w:b/>
          <w:bCs/>
          <w:sz w:val="22"/>
        </w:rPr>
        <w:t xml:space="preserve">Antiochene Exegesis and Its Limitations. </w:t>
      </w:r>
      <w:r w:rsidRPr="00B238B7">
        <w:rPr>
          <w:rFonts w:ascii="Times New Roman" w:hAnsi="Times New Roman"/>
          <w:sz w:val="22"/>
        </w:rPr>
        <w:t>In contrast, Antiochenes, who had less influence on medieval exegesis, accused Origen of abusing allegory. They were not crude literalists; rather, they believed the literal sense encompassed metaphors and figures. Their typology was limited, and they saw the Old Testament as prophecy of the New. Theodore of Mopsuestia, for example, emphasized the creativity in the image of God, and his commentaries were mistakenly credited to Ambrose in medieval times, granting them success.</w:t>
      </w:r>
      <w:r w:rsidR="00C71276">
        <w:rPr>
          <w:rFonts w:ascii="Times New Roman" w:hAnsi="Times New Roman"/>
          <w:sz w:val="22"/>
        </w:rPr>
        <w:t xml:space="preserve"> </w:t>
      </w:r>
      <w:r w:rsidR="00C71276">
        <w:rPr>
          <w:rFonts w:ascii="Times New Roman" w:hAnsi="Times New Roman"/>
          <w:b/>
          <w:bCs/>
          <w:sz w:val="22"/>
        </w:rPr>
        <w:t xml:space="preserve">Latin Tradition and Allegorical Preference. </w:t>
      </w:r>
      <w:r w:rsidRPr="00B238B7">
        <w:rPr>
          <w:rFonts w:ascii="Times New Roman" w:hAnsi="Times New Roman"/>
          <w:sz w:val="22"/>
        </w:rPr>
        <w:t>In the Latin tradition, students preferred Alexandrian methods. Allegory was not used for speculation, as with Origen, but influenced figures like Ambrose and Augustine. Ambrose valued the spiritual over the literal, while Augustine sought a middle ground that included metaphor.</w:t>
      </w:r>
    </w:p>
    <w:p w:rsidR="00B238B7" w:rsidRDefault="00B238B7" w:rsidP="00B238B7">
      <w:pPr>
        <w:jc w:val="both"/>
        <w:rPr>
          <w:sz w:val="24"/>
        </w:rPr>
      </w:pPr>
      <w:r w:rsidRPr="00C71276">
        <w:rPr>
          <w:rFonts w:ascii="Times New Roman" w:hAnsi="Times New Roman"/>
          <w:b/>
          <w:bCs/>
          <w:sz w:val="22"/>
        </w:rPr>
        <w:t>II. Lectio Divina</w:t>
      </w:r>
      <w:r w:rsidR="00C71276">
        <w:rPr>
          <w:rFonts w:ascii="Times New Roman" w:hAnsi="Times New Roman"/>
          <w:b/>
          <w:bCs/>
          <w:sz w:val="22"/>
        </w:rPr>
        <w:t xml:space="preserve">. </w:t>
      </w:r>
      <w:r w:rsidRPr="00C71276">
        <w:rPr>
          <w:rFonts w:ascii="Times New Roman" w:hAnsi="Times New Roman"/>
          <w:i/>
          <w:iCs/>
          <w:sz w:val="22"/>
        </w:rPr>
        <w:t>Lectio divina</w:t>
      </w:r>
      <w:r w:rsidRPr="00B238B7">
        <w:rPr>
          <w:rFonts w:ascii="Times New Roman" w:hAnsi="Times New Roman"/>
          <w:sz w:val="22"/>
        </w:rPr>
        <w:t xml:space="preserve"> was not just confined to Scripture but applied even in expounding classical texts like Virgil, approached in a meticulous, line-by-line manner covering grammar, </w:t>
      </w:r>
      <w:r w:rsidRPr="00B238B7">
        <w:rPr>
          <w:rFonts w:ascii="Times New Roman" w:hAnsi="Times New Roman"/>
          <w:sz w:val="22"/>
        </w:rPr>
        <w:lastRenderedPageBreak/>
        <w:t xml:space="preserve">historical, mythological, and topographical details. Augustine, in his </w:t>
      </w:r>
      <w:r w:rsidRPr="00C71276">
        <w:rPr>
          <w:rFonts w:ascii="Times New Roman" w:hAnsi="Times New Roman"/>
          <w:i/>
          <w:iCs/>
          <w:sz w:val="22"/>
        </w:rPr>
        <w:t>De Doctrina Christiana</w:t>
      </w:r>
      <w:r w:rsidRPr="00B238B7">
        <w:rPr>
          <w:rFonts w:ascii="Times New Roman" w:hAnsi="Times New Roman"/>
          <w:sz w:val="22"/>
        </w:rPr>
        <w:t xml:space="preserve">, illustrated </w:t>
      </w:r>
      <w:r w:rsidRPr="00C71276">
        <w:rPr>
          <w:rFonts w:ascii="Times New Roman" w:hAnsi="Times New Roman"/>
          <w:i/>
          <w:iCs/>
          <w:sz w:val="22"/>
        </w:rPr>
        <w:t>lectio</w:t>
      </w:r>
      <w:r w:rsidRPr="00B238B7">
        <w:rPr>
          <w:rFonts w:ascii="Times New Roman" w:hAnsi="Times New Roman"/>
          <w:sz w:val="22"/>
        </w:rPr>
        <w:t xml:space="preserve"> as beginning and ending in prayer, forming the foundation for contemplative life.</w:t>
      </w:r>
      <w:r w:rsidR="00C71276">
        <w:rPr>
          <w:rFonts w:ascii="Times New Roman" w:hAnsi="Times New Roman"/>
          <w:sz w:val="22"/>
        </w:rPr>
        <w:t xml:space="preserve"> </w:t>
      </w:r>
      <w:r w:rsidR="00C71276">
        <w:rPr>
          <w:rFonts w:ascii="Times New Roman" w:hAnsi="Times New Roman"/>
          <w:b/>
          <w:bCs/>
          <w:sz w:val="22"/>
        </w:rPr>
        <w:t xml:space="preserve">Integration into Western Monasticism. </w:t>
      </w:r>
      <w:r w:rsidRPr="00B238B7">
        <w:rPr>
          <w:rFonts w:ascii="Times New Roman" w:hAnsi="Times New Roman"/>
          <w:sz w:val="22"/>
        </w:rPr>
        <w:t xml:space="preserve">Cassian emphasized the allegorical and anagogical senses, and </w:t>
      </w:r>
      <w:r w:rsidR="00C71276">
        <w:rPr>
          <w:rFonts w:ascii="Times New Roman" w:hAnsi="Times New Roman"/>
          <w:sz w:val="22"/>
        </w:rPr>
        <w:t>W</w:t>
      </w:r>
      <w:r w:rsidRPr="00B238B7">
        <w:rPr>
          <w:rFonts w:ascii="Times New Roman" w:hAnsi="Times New Roman"/>
          <w:sz w:val="22"/>
        </w:rPr>
        <w:t>estern monastic traditions incorporated this spiritual reading inspired by Augustine, Jerome, and Cassian. Cassiodorus brought scientific insight to the letter, and St. Gregory excelled in spiritual exegesis, adapting to his audience by placing learning in the service of Scripture, following Augustine’s example.</w:t>
      </w:r>
      <w:r w:rsidR="00C71276">
        <w:rPr>
          <w:rFonts w:ascii="Times New Roman" w:hAnsi="Times New Roman"/>
          <w:sz w:val="22"/>
        </w:rPr>
        <w:t xml:space="preserve"> </w:t>
      </w:r>
      <w:r w:rsidR="00C71276" w:rsidRPr="00C71276">
        <w:rPr>
          <w:rFonts w:ascii="Times New Roman" w:hAnsi="Times New Roman"/>
          <w:b/>
          <w:bCs/>
          <w:sz w:val="22"/>
        </w:rPr>
        <w:t>Michael</w:t>
      </w:r>
      <w:r w:rsidR="00C71276">
        <w:rPr>
          <w:rFonts w:ascii="Times New Roman" w:hAnsi="Times New Roman"/>
          <w:sz w:val="22"/>
        </w:rPr>
        <w:t xml:space="preserve"> </w:t>
      </w:r>
      <w:r w:rsidR="00C71276">
        <w:rPr>
          <w:rFonts w:ascii="Times New Roman" w:hAnsi="Times New Roman"/>
          <w:b/>
          <w:bCs/>
          <w:sz w:val="22"/>
        </w:rPr>
        <w:t xml:space="preserve">Bedel and Medieval Scholarship. </w:t>
      </w:r>
      <w:r w:rsidRPr="00B238B7">
        <w:rPr>
          <w:rFonts w:ascii="Times New Roman" w:hAnsi="Times New Roman"/>
          <w:sz w:val="22"/>
        </w:rPr>
        <w:t xml:space="preserve">Bede’s work </w:t>
      </w:r>
      <w:r w:rsidR="00C71276">
        <w:rPr>
          <w:rFonts w:ascii="Times New Roman" w:hAnsi="Times New Roman"/>
          <w:sz w:val="22"/>
        </w:rPr>
        <w:t>explained the origin of</w:t>
      </w:r>
      <w:r w:rsidRPr="00B238B7">
        <w:rPr>
          <w:rFonts w:ascii="Times New Roman" w:hAnsi="Times New Roman"/>
          <w:sz w:val="22"/>
        </w:rPr>
        <w:t xml:space="preserve"> moral and allegorical interpretations </w:t>
      </w:r>
      <w:r w:rsidR="00C71276">
        <w:rPr>
          <w:rFonts w:ascii="Times New Roman" w:hAnsi="Times New Roman"/>
          <w:sz w:val="22"/>
        </w:rPr>
        <w:t xml:space="preserve">as it was </w:t>
      </w:r>
      <w:r w:rsidRPr="00B238B7">
        <w:rPr>
          <w:rFonts w:ascii="Times New Roman" w:hAnsi="Times New Roman"/>
          <w:sz w:val="22"/>
        </w:rPr>
        <w:t>aimed to make Scripture applicable to daily life</w:t>
      </w:r>
      <w:r w:rsidR="00C71276">
        <w:rPr>
          <w:rFonts w:ascii="Times New Roman" w:hAnsi="Times New Roman"/>
          <w:sz w:val="22"/>
        </w:rPr>
        <w:t xml:space="preserve"> when the literal sense wasn’t</w:t>
      </w:r>
      <w:r w:rsidRPr="00B238B7">
        <w:rPr>
          <w:rFonts w:ascii="Times New Roman" w:hAnsi="Times New Roman"/>
          <w:sz w:val="22"/>
        </w:rPr>
        <w:t>. He influenced medieval scholarship by making a wide range of authors accessible and exemplifying a curiosity and eagerness for learning.</w:t>
      </w:r>
    </w:p>
    <w:p w:rsidR="00C71276" w:rsidRDefault="00C71276" w:rsidP="00B238B7">
      <w:pPr>
        <w:jc w:val="both"/>
        <w:rPr>
          <w:sz w:val="24"/>
        </w:rPr>
      </w:pPr>
    </w:p>
    <w:p w:rsidR="00C71276" w:rsidRPr="00C71276" w:rsidRDefault="00C71276" w:rsidP="00C71276">
      <w:pPr>
        <w:jc w:val="both"/>
        <w:rPr>
          <w:b/>
          <w:bCs/>
          <w:sz w:val="24"/>
        </w:rPr>
      </w:pPr>
      <w:r w:rsidRPr="00C71276">
        <w:rPr>
          <w:rFonts w:ascii="Times New Roman" w:hAnsi="Times New Roman"/>
          <w:b/>
          <w:bCs/>
          <w:sz w:val="22"/>
        </w:rPr>
        <w:t>Chapter II: Monastic and Cathedral Schools</w:t>
      </w:r>
      <w:r>
        <w:rPr>
          <w:rFonts w:ascii="Times New Roman" w:hAnsi="Times New Roman"/>
          <w:b/>
          <w:bCs/>
          <w:sz w:val="22"/>
        </w:rPr>
        <w:t>.</w:t>
      </w:r>
    </w:p>
    <w:p w:rsidR="00C71276" w:rsidRDefault="00C71276" w:rsidP="00C71276">
      <w:pPr>
        <w:jc w:val="both"/>
        <w:rPr>
          <w:sz w:val="24"/>
        </w:rPr>
      </w:pPr>
      <w:r>
        <w:rPr>
          <w:rFonts w:ascii="Times New Roman" w:hAnsi="Times New Roman"/>
          <w:b/>
          <w:bCs/>
          <w:sz w:val="22"/>
        </w:rPr>
        <w:t xml:space="preserve">I. </w:t>
      </w:r>
      <w:r w:rsidRPr="00C71276">
        <w:rPr>
          <w:rFonts w:ascii="Times New Roman" w:hAnsi="Times New Roman"/>
          <w:b/>
          <w:bCs/>
          <w:sz w:val="22"/>
        </w:rPr>
        <w:t>The Carolingian Revival</w:t>
      </w:r>
      <w:r>
        <w:rPr>
          <w:rFonts w:ascii="Times New Roman" w:hAnsi="Times New Roman"/>
          <w:b/>
          <w:bCs/>
          <w:sz w:val="22"/>
        </w:rPr>
        <w:t xml:space="preserve">. </w:t>
      </w:r>
      <w:r w:rsidRPr="00C71276">
        <w:rPr>
          <w:rFonts w:ascii="Times New Roman" w:hAnsi="Times New Roman"/>
          <w:sz w:val="22"/>
        </w:rPr>
        <w:t xml:space="preserve">Augustine’s </w:t>
      </w:r>
      <w:r w:rsidRPr="00C71276">
        <w:rPr>
          <w:rFonts w:ascii="Times New Roman" w:hAnsi="Times New Roman"/>
          <w:i/>
          <w:iCs/>
          <w:sz w:val="22"/>
        </w:rPr>
        <w:t>De Doctrina Christiana</w:t>
      </w:r>
      <w:r>
        <w:rPr>
          <w:rFonts w:ascii="Times New Roman" w:hAnsi="Times New Roman"/>
          <w:sz w:val="22"/>
        </w:rPr>
        <w:t xml:space="preserve"> </w:t>
      </w:r>
      <w:r w:rsidRPr="00C71276">
        <w:rPr>
          <w:rFonts w:ascii="Times New Roman" w:hAnsi="Times New Roman"/>
          <w:sz w:val="22"/>
        </w:rPr>
        <w:t>emphasized learning as essential preparation for Bible study, a principle that guided efforts to overcome widespread ignorance during the Carolingian Revival. To aid this, educators prepared textbooks, often following Bede’s example, which provided third- or fourth-hand access to the Church Fathers, occasionally without clear attribution. This led to the creation of multiple commentaries, compiling insights from various patristic sources.</w:t>
      </w:r>
      <w:r>
        <w:rPr>
          <w:rFonts w:ascii="Times New Roman" w:hAnsi="Times New Roman"/>
          <w:sz w:val="22"/>
        </w:rPr>
        <w:t xml:space="preserve"> </w:t>
      </w:r>
      <w:r w:rsidRPr="00C71276">
        <w:rPr>
          <w:rFonts w:ascii="Times New Roman" w:hAnsi="Times New Roman"/>
          <w:b/>
          <w:bCs/>
          <w:sz w:val="22"/>
        </w:rPr>
        <w:t>Integration of Theological Discussion</w:t>
      </w:r>
      <w:r>
        <w:rPr>
          <w:rFonts w:ascii="Times New Roman" w:hAnsi="Times New Roman"/>
          <w:b/>
          <w:bCs/>
          <w:sz w:val="22"/>
        </w:rPr>
        <w:t xml:space="preserve">. </w:t>
      </w:r>
      <w:r w:rsidRPr="00C71276">
        <w:rPr>
          <w:rFonts w:ascii="Times New Roman" w:hAnsi="Times New Roman"/>
          <w:sz w:val="22"/>
        </w:rPr>
        <w:t>The resulting commentaries displayed inconsistencies, prompting some scholars like John the Scot, Pascasius, Haimo, and Heiric to raise questions or compare different voices. This practice integrated theological discussion into the framework of biblical exegesis, evolving it into a form of biblical science focused on distinguishing the spirit from the letter, the latter seen as inferior.</w:t>
      </w:r>
      <w:r>
        <w:rPr>
          <w:rFonts w:ascii="Times New Roman" w:hAnsi="Times New Roman"/>
          <w:sz w:val="22"/>
        </w:rPr>
        <w:t xml:space="preserve"> </w:t>
      </w:r>
      <w:r w:rsidRPr="00C71276">
        <w:rPr>
          <w:rFonts w:ascii="Times New Roman" w:hAnsi="Times New Roman"/>
          <w:b/>
          <w:bCs/>
          <w:sz w:val="22"/>
        </w:rPr>
        <w:t>Multiple Senses of Scripture</w:t>
      </w:r>
      <w:r>
        <w:rPr>
          <w:rFonts w:ascii="Times New Roman" w:hAnsi="Times New Roman"/>
          <w:b/>
          <w:bCs/>
          <w:sz w:val="22"/>
        </w:rPr>
        <w:t xml:space="preserve">. </w:t>
      </w:r>
      <w:r w:rsidRPr="00C71276">
        <w:rPr>
          <w:rFonts w:ascii="Times New Roman" w:hAnsi="Times New Roman"/>
          <w:sz w:val="22"/>
        </w:rPr>
        <w:t>Angelom of Luxeuil advanced this exegesis by proposing seven senses of Scripture: historical, allegorical, a mix of both, teaching about God, parabolic, concerning Christ’s comings, and moral teaching. John Scott employed terms like mystery or allegory for historical events and used symbols and metaphors for doctrinal teachings. Paschasius differentiated between the literal and historical meanings intended by the author and the spiritual meanings discovered by commentators. Some scholars even incorporated Jewish commentaries, and a growing interest in Greek language and thought, despite limited resources, broadened intellectual horizons.</w:t>
      </w:r>
      <w:r>
        <w:rPr>
          <w:rFonts w:ascii="Times New Roman" w:hAnsi="Times New Roman"/>
          <w:sz w:val="22"/>
        </w:rPr>
        <w:t xml:space="preserve"> </w:t>
      </w:r>
      <w:r w:rsidRPr="00C71276">
        <w:rPr>
          <w:rFonts w:ascii="Times New Roman" w:hAnsi="Times New Roman"/>
          <w:b/>
          <w:bCs/>
          <w:sz w:val="22"/>
        </w:rPr>
        <w:t>Diverging Approaches and a Pause in Commentary</w:t>
      </w:r>
      <w:r>
        <w:rPr>
          <w:rFonts w:ascii="Times New Roman" w:hAnsi="Times New Roman"/>
          <w:b/>
          <w:bCs/>
          <w:sz w:val="22"/>
        </w:rPr>
        <w:t xml:space="preserve">. </w:t>
      </w:r>
      <w:r w:rsidRPr="00C71276">
        <w:rPr>
          <w:rFonts w:ascii="Times New Roman" w:hAnsi="Times New Roman"/>
          <w:sz w:val="22"/>
        </w:rPr>
        <w:t>In the 8th and 9th centuries, scholarship took two paths: questioning patristic authority and studying Hebrew. However, around 908, producing commentaries and compilations ceased abruptly for about 125 years. This pause was largely due to a shifted focus toward liturgy and external disruptions like Viking invasions.</w:t>
      </w:r>
    </w:p>
    <w:p w:rsidR="00C71276" w:rsidRDefault="00C71276" w:rsidP="00C71276">
      <w:pPr>
        <w:jc w:val="both"/>
        <w:rPr>
          <w:sz w:val="24"/>
        </w:rPr>
      </w:pPr>
      <w:r>
        <w:rPr>
          <w:rFonts w:ascii="Times New Roman" w:hAnsi="Times New Roman"/>
          <w:b/>
          <w:bCs/>
          <w:sz w:val="22"/>
        </w:rPr>
        <w:t xml:space="preserve">II. </w:t>
      </w:r>
      <w:r w:rsidRPr="00C71276">
        <w:rPr>
          <w:rFonts w:ascii="Times New Roman" w:hAnsi="Times New Roman"/>
          <w:b/>
          <w:bCs/>
          <w:sz w:val="22"/>
        </w:rPr>
        <w:t>The Gloss</w:t>
      </w:r>
      <w:r>
        <w:rPr>
          <w:rFonts w:ascii="Times New Roman" w:hAnsi="Times New Roman"/>
          <w:b/>
          <w:bCs/>
          <w:sz w:val="22"/>
        </w:rPr>
        <w:t xml:space="preserve">. </w:t>
      </w:r>
      <w:r w:rsidRPr="00C71276">
        <w:rPr>
          <w:rFonts w:ascii="Times New Roman" w:hAnsi="Times New Roman"/>
          <w:sz w:val="22"/>
        </w:rPr>
        <w:t xml:space="preserve">In the development of the Gloss, notable figures such as Berengar, Bruno of Chartreux, Master Manegold, and Anselm of Laon contributed significantly. Anselm’s work marked the first effort toward a theological systematization similar to a </w:t>
      </w:r>
      <w:r w:rsidRPr="00C71276">
        <w:rPr>
          <w:rFonts w:ascii="Times New Roman" w:hAnsi="Times New Roman"/>
          <w:i/>
          <w:iCs/>
          <w:sz w:val="22"/>
        </w:rPr>
        <w:t>Summa Theologica</w:t>
      </w:r>
      <w:r w:rsidRPr="00C71276">
        <w:rPr>
          <w:rFonts w:ascii="Times New Roman" w:hAnsi="Times New Roman"/>
          <w:sz w:val="22"/>
        </w:rPr>
        <w:t>. Peter Lombard also played a key role in this evolving tradition. The characteristics of the Gloss shifted from mere compilation to a text-book movement involving independent exegesis.</w:t>
      </w:r>
      <w:r>
        <w:rPr>
          <w:rFonts w:ascii="Times New Roman" w:hAnsi="Times New Roman"/>
          <w:sz w:val="22"/>
        </w:rPr>
        <w:t xml:space="preserve"> </w:t>
      </w:r>
      <w:r w:rsidRPr="00C71276">
        <w:rPr>
          <w:rFonts w:ascii="Times New Roman" w:hAnsi="Times New Roman"/>
          <w:b/>
          <w:bCs/>
          <w:sz w:val="22"/>
        </w:rPr>
        <w:t>Role of Glosses</w:t>
      </w:r>
      <w:r>
        <w:rPr>
          <w:rFonts w:ascii="Times New Roman" w:hAnsi="Times New Roman"/>
          <w:b/>
          <w:bCs/>
          <w:sz w:val="22"/>
        </w:rPr>
        <w:t xml:space="preserve">. </w:t>
      </w:r>
      <w:r w:rsidRPr="00C71276">
        <w:rPr>
          <w:rFonts w:ascii="Times New Roman" w:hAnsi="Times New Roman"/>
          <w:sz w:val="22"/>
        </w:rPr>
        <w:t xml:space="preserve">Glosses served various purposes: as notes for lectures, material for textbooks, and commentaries for future readers. The Biblical </w:t>
      </w:r>
      <w:r w:rsidRPr="00C71276">
        <w:rPr>
          <w:rFonts w:ascii="Times New Roman" w:hAnsi="Times New Roman"/>
          <w:i/>
          <w:iCs/>
          <w:sz w:val="22"/>
        </w:rPr>
        <w:t>Glossa Ordinaria</w:t>
      </w:r>
      <w:r w:rsidRPr="00C71276">
        <w:rPr>
          <w:rFonts w:ascii="Times New Roman" w:hAnsi="Times New Roman"/>
          <w:sz w:val="22"/>
        </w:rPr>
        <w:t xml:space="preserve"> typically began with prologues and featured glosses interlinearly or in the margins. Despite its composite and uncertain authorship, as noted by 15th-century editors, it held great authority, with notable contributions from figures like Walafrid Strabo.</w:t>
      </w:r>
      <w:r>
        <w:rPr>
          <w:rFonts w:ascii="Times New Roman" w:hAnsi="Times New Roman"/>
          <w:sz w:val="22"/>
        </w:rPr>
        <w:t xml:space="preserve"> </w:t>
      </w:r>
    </w:p>
    <w:p w:rsidR="00C71276" w:rsidRDefault="00C71276" w:rsidP="00C71276">
      <w:pPr>
        <w:jc w:val="both"/>
        <w:rPr>
          <w:sz w:val="24"/>
        </w:rPr>
      </w:pPr>
      <w:r w:rsidRPr="00C71276">
        <w:rPr>
          <w:rFonts w:ascii="Times New Roman" w:hAnsi="Times New Roman"/>
          <w:b/>
          <w:bCs/>
          <w:sz w:val="22"/>
        </w:rPr>
        <w:t xml:space="preserve">III. </w:t>
      </w:r>
      <w:r w:rsidRPr="00C71276">
        <w:rPr>
          <w:rFonts w:ascii="Times New Roman" w:hAnsi="Times New Roman"/>
          <w:b/>
          <w:bCs/>
          <w:sz w:val="22"/>
        </w:rPr>
        <w:t>The Quaestio</w:t>
      </w:r>
      <w:r>
        <w:rPr>
          <w:rFonts w:ascii="Times New Roman" w:hAnsi="Times New Roman"/>
          <w:b/>
          <w:bCs/>
          <w:sz w:val="22"/>
        </w:rPr>
        <w:t xml:space="preserve">. </w:t>
      </w:r>
      <w:r w:rsidRPr="00C71276">
        <w:rPr>
          <w:rFonts w:ascii="Times New Roman" w:hAnsi="Times New Roman"/>
          <w:sz w:val="22"/>
        </w:rPr>
        <w:t>Some glosses were continuously written (</w:t>
      </w:r>
      <w:r w:rsidRPr="00C71276">
        <w:rPr>
          <w:rFonts w:ascii="Times New Roman" w:hAnsi="Times New Roman"/>
          <w:i/>
          <w:iCs/>
          <w:sz w:val="22"/>
        </w:rPr>
        <w:t>glosula</w:t>
      </w:r>
      <w:r w:rsidRPr="00C71276">
        <w:rPr>
          <w:rFonts w:ascii="Times New Roman" w:hAnsi="Times New Roman"/>
          <w:sz w:val="22"/>
        </w:rPr>
        <w:t xml:space="preserve">), going beyond marginal and interlinear formats. From the 11th to early 12th centuries, these glosses included grammar and rhetoric. Scholars like Drogo, Lanfranc, and Berengar used dialectics to reconstruct authors' logical </w:t>
      </w:r>
      <w:r w:rsidRPr="00C71276">
        <w:rPr>
          <w:rFonts w:ascii="Times New Roman" w:hAnsi="Times New Roman"/>
          <w:sz w:val="22"/>
        </w:rPr>
        <w:lastRenderedPageBreak/>
        <w:t xml:space="preserve">processes. Comprehensive theological discussions appeared in glosses by Manegold, Bruno, Anselm, and Ralph of Laon, with Manegold notably employing </w:t>
      </w:r>
      <w:r w:rsidRPr="00C71276">
        <w:rPr>
          <w:rFonts w:ascii="Times New Roman" w:hAnsi="Times New Roman"/>
          <w:i/>
          <w:iCs/>
          <w:sz w:val="22"/>
        </w:rPr>
        <w:t>quaestiones</w:t>
      </w:r>
      <w:r w:rsidRPr="00C71276">
        <w:rPr>
          <w:rFonts w:ascii="Times New Roman" w:hAnsi="Times New Roman"/>
          <w:sz w:val="22"/>
        </w:rPr>
        <w:t>.</w:t>
      </w:r>
      <w:r>
        <w:rPr>
          <w:rFonts w:ascii="Times New Roman" w:hAnsi="Times New Roman"/>
          <w:sz w:val="22"/>
        </w:rPr>
        <w:t xml:space="preserve"> </w:t>
      </w:r>
      <w:r w:rsidRPr="00C71276">
        <w:rPr>
          <w:rFonts w:ascii="Times New Roman" w:hAnsi="Times New Roman"/>
          <w:b/>
          <w:bCs/>
          <w:sz w:val="22"/>
        </w:rPr>
        <w:t>Development of Quaestiones</w:t>
      </w:r>
      <w:r>
        <w:rPr>
          <w:rFonts w:ascii="Times New Roman" w:hAnsi="Times New Roman"/>
          <w:b/>
          <w:bCs/>
          <w:sz w:val="22"/>
        </w:rPr>
        <w:t xml:space="preserve">. </w:t>
      </w:r>
      <w:r w:rsidRPr="00C71276">
        <w:rPr>
          <w:rFonts w:ascii="Times New Roman" w:hAnsi="Times New Roman"/>
          <w:sz w:val="22"/>
        </w:rPr>
        <w:t xml:space="preserve">Quaestiones addressed topics like creation, angelology, and doctrines from Pauline Epistles, leading to rapid student-teacher developments and increased dialectics. This new exposition style combined running explanations with text-based theological questions. Eventually, commentaries became composed entirely of </w:t>
      </w:r>
      <w:r w:rsidRPr="00920C7D">
        <w:rPr>
          <w:rFonts w:ascii="Times New Roman" w:hAnsi="Times New Roman"/>
          <w:i/>
          <w:iCs/>
          <w:sz w:val="22"/>
        </w:rPr>
        <w:t>quaestiones</w:t>
      </w:r>
      <w:r w:rsidRPr="00C71276">
        <w:rPr>
          <w:rFonts w:ascii="Times New Roman" w:hAnsi="Times New Roman"/>
          <w:sz w:val="22"/>
        </w:rPr>
        <w:t>, often losing the original text, making it untraceable.</w:t>
      </w:r>
      <w:r w:rsidR="00920C7D">
        <w:rPr>
          <w:rFonts w:ascii="Times New Roman" w:hAnsi="Times New Roman"/>
          <w:sz w:val="22"/>
        </w:rPr>
        <w:t xml:space="preserve"> </w:t>
      </w:r>
      <w:r w:rsidRPr="00920C7D">
        <w:rPr>
          <w:rFonts w:ascii="Times New Roman" w:hAnsi="Times New Roman"/>
          <w:b/>
          <w:bCs/>
          <w:sz w:val="22"/>
        </w:rPr>
        <w:t>Lombard's Contribution</w:t>
      </w:r>
      <w:r w:rsidR="00920C7D">
        <w:rPr>
          <w:rFonts w:ascii="Times New Roman" w:hAnsi="Times New Roman"/>
          <w:b/>
          <w:bCs/>
          <w:sz w:val="22"/>
        </w:rPr>
        <w:t xml:space="preserve">. </w:t>
      </w:r>
      <w:r w:rsidRPr="00C71276">
        <w:rPr>
          <w:rFonts w:ascii="Times New Roman" w:hAnsi="Times New Roman"/>
          <w:sz w:val="22"/>
        </w:rPr>
        <w:t xml:space="preserve">Peter Lombard incorporated quaestiones from the </w:t>
      </w:r>
      <w:r w:rsidRPr="00920C7D">
        <w:rPr>
          <w:rFonts w:ascii="Times New Roman" w:hAnsi="Times New Roman"/>
          <w:i/>
          <w:iCs/>
          <w:sz w:val="22"/>
        </w:rPr>
        <w:t>Magna Glosatura</w:t>
      </w:r>
      <w:r w:rsidRPr="00C71276">
        <w:rPr>
          <w:rFonts w:ascii="Times New Roman" w:hAnsi="Times New Roman"/>
          <w:sz w:val="22"/>
        </w:rPr>
        <w:t xml:space="preserve"> into his Sentences, reorganizing them for systematic doctrinal purposes. This blurred the line between exegesis and systematic teaching, a transition still not fully understood.</w:t>
      </w:r>
      <w:r w:rsidR="00920C7D">
        <w:rPr>
          <w:rFonts w:ascii="Times New Roman" w:hAnsi="Times New Roman"/>
          <w:sz w:val="22"/>
        </w:rPr>
        <w:t xml:space="preserve"> </w:t>
      </w:r>
      <w:r w:rsidRPr="00920C7D">
        <w:rPr>
          <w:rFonts w:ascii="Times New Roman" w:hAnsi="Times New Roman"/>
          <w:b/>
          <w:bCs/>
          <w:sz w:val="22"/>
        </w:rPr>
        <w:t>Challenges in Biblical Scholarship</w:t>
      </w:r>
      <w:r w:rsidR="00920C7D">
        <w:rPr>
          <w:rFonts w:ascii="Times New Roman" w:hAnsi="Times New Roman"/>
          <w:b/>
          <w:bCs/>
          <w:sz w:val="22"/>
        </w:rPr>
        <w:t xml:space="preserve">. </w:t>
      </w:r>
      <w:r w:rsidRPr="00C71276">
        <w:rPr>
          <w:rFonts w:ascii="Times New Roman" w:hAnsi="Times New Roman"/>
          <w:sz w:val="22"/>
        </w:rPr>
        <w:t xml:space="preserve">The rapid development of Aristotelian logic, canon, and civil law necessitated urgent speculation and discussion, creating an environment unsuited for biblical scholarship. Cathedral school masters lacked the time and expertise for detailed Bible study. While the Victorines in Paris revived interest, others, like Abelard, engaged in dialogues with Jews to learn Greek and Hebrew, even teaching these to nuns. Meanwhile, monks emphasized </w:t>
      </w:r>
      <w:r w:rsidRPr="00920C7D">
        <w:rPr>
          <w:rFonts w:ascii="Times New Roman" w:hAnsi="Times New Roman"/>
          <w:i/>
          <w:iCs/>
          <w:sz w:val="22"/>
        </w:rPr>
        <w:t>lectio divina</w:t>
      </w:r>
      <w:r w:rsidRPr="00C71276">
        <w:rPr>
          <w:rFonts w:ascii="Times New Roman" w:hAnsi="Times New Roman"/>
          <w:sz w:val="22"/>
        </w:rPr>
        <w:t xml:space="preserve"> as a devotional over intellectual exercise.</w:t>
      </w:r>
    </w:p>
    <w:p w:rsidR="00C71276" w:rsidRDefault="00C71276" w:rsidP="00B238B7">
      <w:pPr>
        <w:jc w:val="both"/>
        <w:rPr>
          <w:sz w:val="24"/>
        </w:rPr>
      </w:pPr>
    </w:p>
    <w:p w:rsidR="00920C7D" w:rsidRPr="00920C7D" w:rsidRDefault="00920C7D" w:rsidP="00920C7D">
      <w:pPr>
        <w:jc w:val="both"/>
        <w:rPr>
          <w:b/>
          <w:bCs/>
          <w:sz w:val="24"/>
        </w:rPr>
      </w:pPr>
      <w:r w:rsidRPr="00920C7D">
        <w:rPr>
          <w:rFonts w:ascii="Times New Roman" w:hAnsi="Times New Roman"/>
          <w:b/>
          <w:bCs/>
          <w:sz w:val="22"/>
        </w:rPr>
        <w:t>Chapter III: The Victorines</w:t>
      </w:r>
      <w:r>
        <w:rPr>
          <w:rFonts w:ascii="Times New Roman" w:hAnsi="Times New Roman"/>
          <w:b/>
          <w:bCs/>
          <w:sz w:val="22"/>
        </w:rPr>
        <w:t>.</w:t>
      </w:r>
    </w:p>
    <w:p w:rsidR="00920C7D" w:rsidRDefault="00920C7D" w:rsidP="00920C7D">
      <w:pPr>
        <w:jc w:val="both"/>
        <w:rPr>
          <w:sz w:val="24"/>
        </w:rPr>
      </w:pPr>
      <w:r>
        <w:rPr>
          <w:rFonts w:ascii="Times New Roman" w:hAnsi="Times New Roman"/>
          <w:b/>
          <w:bCs/>
          <w:sz w:val="22"/>
        </w:rPr>
        <w:t xml:space="preserve">I. </w:t>
      </w:r>
      <w:r w:rsidRPr="00920C7D">
        <w:rPr>
          <w:rFonts w:ascii="Times New Roman" w:hAnsi="Times New Roman"/>
          <w:b/>
          <w:bCs/>
          <w:sz w:val="22"/>
        </w:rPr>
        <w:t>Hugh of St. Victor</w:t>
      </w:r>
      <w:r w:rsidRPr="00920C7D">
        <w:rPr>
          <w:rFonts w:ascii="Times New Roman" w:hAnsi="Times New Roman"/>
          <w:b/>
          <w:bCs/>
          <w:sz w:val="22"/>
        </w:rPr>
        <w:t xml:space="preserve">. </w:t>
      </w:r>
      <w:r w:rsidRPr="00920C7D">
        <w:rPr>
          <w:rFonts w:ascii="Times New Roman" w:hAnsi="Times New Roman"/>
          <w:sz w:val="22"/>
        </w:rPr>
        <w:t xml:space="preserve">The Abbey of St. Victor was a center of prayer, solitude, and teaching, marking a unique blend of secular and religious life. Hugh of St. Victor, a prominent figure at the Abbey, was a religious scholar who emphasized union with God through prayer and meditation on Scripture. He valued liberal arts and dialectic, aiming to redirect "rebellious learning" back to the framework of Augustine’s </w:t>
      </w:r>
      <w:r w:rsidRPr="00920C7D">
        <w:rPr>
          <w:rFonts w:ascii="Times New Roman" w:hAnsi="Times New Roman"/>
          <w:i/>
          <w:iCs/>
          <w:sz w:val="22"/>
        </w:rPr>
        <w:t>De Doctrina Christiana</w:t>
      </w:r>
      <w:r w:rsidRPr="00920C7D">
        <w:rPr>
          <w:rFonts w:ascii="Times New Roman" w:hAnsi="Times New Roman"/>
          <w:sz w:val="22"/>
        </w:rPr>
        <w:t>, opposing the use of glosses.</w:t>
      </w:r>
      <w:r w:rsidRPr="00920C7D">
        <w:rPr>
          <w:rFonts w:ascii="Times New Roman" w:hAnsi="Times New Roman"/>
          <w:sz w:val="22"/>
        </w:rPr>
        <w:t xml:space="preserve"> </w:t>
      </w:r>
      <w:r w:rsidRPr="00920C7D">
        <w:rPr>
          <w:rFonts w:ascii="Times New Roman" w:hAnsi="Times New Roman"/>
          <w:b/>
          <w:bCs/>
          <w:sz w:val="22"/>
        </w:rPr>
        <w:t xml:space="preserve">“Scientific” Exegesis of the Literal Sense. </w:t>
      </w:r>
      <w:r w:rsidRPr="00920C7D">
        <w:rPr>
          <w:rFonts w:ascii="Times New Roman" w:hAnsi="Times New Roman"/>
          <w:sz w:val="22"/>
        </w:rPr>
        <w:t>Hugh</w:t>
      </w:r>
      <w:r w:rsidRPr="00920C7D">
        <w:rPr>
          <w:rFonts w:ascii="Times New Roman" w:hAnsi="Times New Roman"/>
          <w:sz w:val="22"/>
        </w:rPr>
        <w:t xml:space="preserve"> introduced historical and geographical aids to </w:t>
      </w:r>
      <w:r w:rsidRPr="00920C7D">
        <w:rPr>
          <w:rFonts w:ascii="Times New Roman" w:hAnsi="Times New Roman"/>
          <w:i/>
          <w:iCs/>
          <w:sz w:val="22"/>
        </w:rPr>
        <w:t>lectio divina</w:t>
      </w:r>
      <w:r w:rsidRPr="00920C7D">
        <w:rPr>
          <w:rFonts w:ascii="Times New Roman" w:hAnsi="Times New Roman"/>
          <w:sz w:val="22"/>
        </w:rPr>
        <w:t xml:space="preserve"> for understanding the literal sense, doctrinal summaries for the allegorical sense, and tropological interpretations for moral growth. Scripture was seen as a source of history, where humanity’s history is one of sacraments. He distinguished the literal sense as what words mean, even if figurative, focusing on words, syntax, and sense—promoting exegesis over eisegesis. His depiction of Noah’s Ark, complete with drawings and compartments for creatures, exemplified his movement from literal to scientific interpretation.</w:t>
      </w:r>
      <w:r w:rsidRPr="00920C7D">
        <w:rPr>
          <w:rFonts w:ascii="Times New Roman" w:hAnsi="Times New Roman"/>
          <w:sz w:val="22"/>
        </w:rPr>
        <w:t xml:space="preserve"> </w:t>
      </w:r>
    </w:p>
    <w:p w:rsidR="00920C7D" w:rsidRPr="00920C7D" w:rsidRDefault="00920C7D" w:rsidP="00920C7D">
      <w:pPr>
        <w:jc w:val="both"/>
        <w:rPr>
          <w:sz w:val="24"/>
        </w:rPr>
      </w:pPr>
      <w:r>
        <w:rPr>
          <w:rFonts w:ascii="Times New Roman" w:hAnsi="Times New Roman"/>
          <w:b/>
          <w:bCs/>
          <w:sz w:val="22"/>
        </w:rPr>
        <w:t xml:space="preserve">II. </w:t>
      </w:r>
      <w:r w:rsidRPr="00920C7D">
        <w:rPr>
          <w:rFonts w:ascii="Times New Roman" w:hAnsi="Times New Roman"/>
          <w:b/>
          <w:bCs/>
          <w:sz w:val="22"/>
        </w:rPr>
        <w:t>Hugh as an Exegete</w:t>
      </w:r>
      <w:r w:rsidRPr="00920C7D">
        <w:rPr>
          <w:rFonts w:ascii="Times New Roman" w:hAnsi="Times New Roman"/>
          <w:b/>
          <w:bCs/>
          <w:sz w:val="22"/>
        </w:rPr>
        <w:t xml:space="preserve">. </w:t>
      </w:r>
      <w:r w:rsidRPr="00920C7D">
        <w:rPr>
          <w:rFonts w:ascii="Times New Roman" w:hAnsi="Times New Roman"/>
          <w:sz w:val="22"/>
        </w:rPr>
        <w:t xml:space="preserve">Hugh’s exegesis focused on the literal sense. His works include the </w:t>
      </w:r>
      <w:r w:rsidRPr="00920C7D">
        <w:rPr>
          <w:rFonts w:ascii="Times New Roman" w:hAnsi="Times New Roman"/>
          <w:i/>
          <w:iCs/>
          <w:sz w:val="22"/>
        </w:rPr>
        <w:t>Notulae</w:t>
      </w:r>
      <w:r w:rsidRPr="00920C7D">
        <w:rPr>
          <w:rFonts w:ascii="Times New Roman" w:hAnsi="Times New Roman"/>
          <w:sz w:val="22"/>
        </w:rPr>
        <w:t xml:space="preserve"> on the Octateuch and homilies on Ecclesiastes, while he employed a threefold interpretive method in Lamentations, Joel, Abdias, and Nahum. Though the order of the books in </w:t>
      </w:r>
      <w:r w:rsidRPr="00920C7D">
        <w:rPr>
          <w:rFonts w:ascii="Times New Roman" w:hAnsi="Times New Roman"/>
          <w:i/>
          <w:iCs/>
          <w:sz w:val="22"/>
        </w:rPr>
        <w:t>Notulae</w:t>
      </w:r>
      <w:r w:rsidRPr="00920C7D">
        <w:rPr>
          <w:rFonts w:ascii="Times New Roman" w:hAnsi="Times New Roman"/>
          <w:sz w:val="22"/>
        </w:rPr>
        <w:t xml:space="preserve"> remains unclear, his prologues consistently emphasize the literal sense in prophecy unless referenced in the New Testament, drawing from Jewish sources, Jerome, and Augustine.</w:t>
      </w:r>
      <w:r w:rsidRPr="00920C7D">
        <w:rPr>
          <w:rFonts w:ascii="Times New Roman" w:hAnsi="Times New Roman"/>
          <w:sz w:val="22"/>
        </w:rPr>
        <w:t xml:space="preserve"> </w:t>
      </w:r>
      <w:r w:rsidRPr="00920C7D">
        <w:rPr>
          <w:rFonts w:ascii="Times New Roman" w:hAnsi="Times New Roman"/>
          <w:b/>
          <w:bCs/>
          <w:sz w:val="22"/>
        </w:rPr>
        <w:t xml:space="preserve">Academic Rigor as Preparation for Spiritual Life. </w:t>
      </w:r>
      <w:r w:rsidRPr="00920C7D">
        <w:rPr>
          <w:rFonts w:ascii="Times New Roman" w:hAnsi="Times New Roman"/>
          <w:sz w:val="22"/>
        </w:rPr>
        <w:t>Hugh envisioned arts and sciences as preparatory for Bible study and theology as an introduction to allegorical exposition, creating a structured approach to lectio. Despite fostering academic and religious integration, this dual focus made specialization challenging, leading to a tension between academic rigor and spiritual life.</w:t>
      </w:r>
    </w:p>
    <w:p w:rsidR="00920C7D" w:rsidRDefault="00920C7D" w:rsidP="00920C7D">
      <w:pPr>
        <w:jc w:val="both"/>
        <w:rPr>
          <w:sz w:val="24"/>
        </w:rPr>
      </w:pPr>
      <w:r>
        <w:rPr>
          <w:rFonts w:ascii="Times New Roman" w:hAnsi="Times New Roman"/>
          <w:b/>
          <w:bCs/>
          <w:sz w:val="22"/>
        </w:rPr>
        <w:t xml:space="preserve">II. </w:t>
      </w:r>
      <w:r w:rsidRPr="00920C7D">
        <w:rPr>
          <w:rFonts w:ascii="Times New Roman" w:hAnsi="Times New Roman"/>
          <w:b/>
          <w:bCs/>
          <w:sz w:val="22"/>
        </w:rPr>
        <w:t>Richard of St. Victor</w:t>
      </w:r>
      <w:r>
        <w:rPr>
          <w:rFonts w:ascii="Times New Roman" w:hAnsi="Times New Roman"/>
          <w:b/>
          <w:bCs/>
          <w:sz w:val="22"/>
        </w:rPr>
        <w:t xml:space="preserve">. </w:t>
      </w:r>
      <w:r w:rsidRPr="00920C7D">
        <w:rPr>
          <w:rFonts w:ascii="Times New Roman" w:hAnsi="Times New Roman"/>
          <w:sz w:val="22"/>
        </w:rPr>
        <w:t>Richard focused on the spiritual and mystical, contrasting with Andrew’s biblical scholarship. As a Scot and later prior, Richard was sensitive to beauty, notably appreciating the Song of Songs for its ability to elevate the spirit. His architectural metaphors enriched his spiritual teachings. Though he consulted Jewish sources, he criticized Andrew for uncritical acceptance of Judaic interpretations. Unlike Hugh, Richard was less concerned with academic scholarship and did not prioritize Hebrew texts.</w:t>
      </w:r>
    </w:p>
    <w:p w:rsidR="00920C7D" w:rsidRDefault="00920C7D" w:rsidP="00920C7D">
      <w:pPr>
        <w:jc w:val="both"/>
        <w:rPr>
          <w:sz w:val="24"/>
        </w:rPr>
      </w:pPr>
    </w:p>
    <w:p w:rsidR="00920C7D" w:rsidRPr="00920C7D" w:rsidRDefault="00920C7D" w:rsidP="00920C7D">
      <w:pPr>
        <w:jc w:val="both"/>
        <w:rPr>
          <w:b/>
          <w:bCs/>
          <w:sz w:val="24"/>
        </w:rPr>
      </w:pPr>
      <w:r w:rsidRPr="00920C7D">
        <w:rPr>
          <w:rFonts w:ascii="Times New Roman" w:hAnsi="Times New Roman"/>
          <w:b/>
          <w:bCs/>
          <w:sz w:val="22"/>
        </w:rPr>
        <w:t>Chapter IV: Andrew of St. Victor</w:t>
      </w:r>
      <w:r>
        <w:rPr>
          <w:rFonts w:ascii="Times New Roman" w:hAnsi="Times New Roman"/>
          <w:b/>
          <w:bCs/>
          <w:sz w:val="22"/>
        </w:rPr>
        <w:t>.</w:t>
      </w:r>
    </w:p>
    <w:p w:rsidR="00920C7D" w:rsidRDefault="00920C7D" w:rsidP="00920C7D">
      <w:pPr>
        <w:jc w:val="both"/>
        <w:rPr>
          <w:sz w:val="24"/>
        </w:rPr>
      </w:pPr>
      <w:r>
        <w:rPr>
          <w:rFonts w:ascii="Times New Roman" w:hAnsi="Times New Roman"/>
          <w:b/>
          <w:bCs/>
          <w:sz w:val="22"/>
        </w:rPr>
        <w:lastRenderedPageBreak/>
        <w:t xml:space="preserve">I. </w:t>
      </w:r>
      <w:r w:rsidRPr="00920C7D">
        <w:rPr>
          <w:rFonts w:ascii="Times New Roman" w:hAnsi="Times New Roman"/>
          <w:b/>
          <w:bCs/>
          <w:sz w:val="22"/>
        </w:rPr>
        <w:t>Andrew's Life and Character</w:t>
      </w:r>
      <w:r w:rsidRPr="00920C7D">
        <w:rPr>
          <w:rFonts w:ascii="Times New Roman" w:hAnsi="Times New Roman"/>
          <w:b/>
          <w:bCs/>
          <w:sz w:val="22"/>
        </w:rPr>
        <w:t xml:space="preserve">. </w:t>
      </w:r>
      <w:r w:rsidRPr="00920C7D">
        <w:rPr>
          <w:rFonts w:ascii="Times New Roman" w:hAnsi="Times New Roman"/>
          <w:sz w:val="22"/>
        </w:rPr>
        <w:t>More is known about Andrew of St. Victor's life than that of his contemporaries, Hugh and Richard. He expounded on the Prophets and the books of Solomon but was not always at St. Victor, indicating a dynamic relationship with the canons of Wigmore. There is speculation he might have been English.</w:t>
      </w:r>
      <w:r w:rsidRPr="00920C7D">
        <w:rPr>
          <w:rFonts w:ascii="Times New Roman" w:hAnsi="Times New Roman"/>
          <w:sz w:val="22"/>
        </w:rPr>
        <w:t xml:space="preserve"> </w:t>
      </w:r>
      <w:r w:rsidRPr="00920C7D">
        <w:rPr>
          <w:rFonts w:ascii="Times New Roman" w:hAnsi="Times New Roman"/>
          <w:b/>
          <w:bCs/>
          <w:sz w:val="22"/>
        </w:rPr>
        <w:t xml:space="preserve">II. </w:t>
      </w:r>
      <w:r w:rsidRPr="00920C7D">
        <w:rPr>
          <w:rFonts w:ascii="Times New Roman" w:hAnsi="Times New Roman"/>
          <w:b/>
          <w:bCs/>
          <w:sz w:val="22"/>
        </w:rPr>
        <w:t>Andrew as an Exegete</w:t>
      </w:r>
      <w:r w:rsidRPr="00920C7D">
        <w:rPr>
          <w:rFonts w:ascii="Times New Roman" w:hAnsi="Times New Roman"/>
          <w:b/>
          <w:bCs/>
          <w:sz w:val="22"/>
        </w:rPr>
        <w:t xml:space="preserve">. </w:t>
      </w:r>
      <w:r w:rsidRPr="00920C7D">
        <w:rPr>
          <w:rFonts w:ascii="Times New Roman" w:hAnsi="Times New Roman"/>
          <w:sz w:val="22"/>
        </w:rPr>
        <w:t>Andrew's glosses were educational tools, while his commentaries were products of contemplation. He focused on select passages, emphasizing the historical sense and excluding spiritual exposition and theological questions. Lacking interest in homiletics, he ignored angelology to concentrate on the literal meaning. He described his work as exploring uncharted territories, contrasting with Richard's more traditional gleaning of the Fathers. His prologues provided context for biblical books, balancing scriptural content with contemporary life insights, a method prefiguring intellectual exegesis.</w:t>
      </w:r>
      <w:r w:rsidRPr="00920C7D">
        <w:rPr>
          <w:rFonts w:ascii="Times New Roman" w:hAnsi="Times New Roman"/>
          <w:sz w:val="22"/>
        </w:rPr>
        <w:t xml:space="preserve"> </w:t>
      </w:r>
      <w:r w:rsidRPr="00920C7D">
        <w:rPr>
          <w:rFonts w:ascii="Times New Roman" w:hAnsi="Times New Roman"/>
          <w:b/>
          <w:bCs/>
          <w:sz w:val="22"/>
        </w:rPr>
        <w:t xml:space="preserve">III. </w:t>
      </w:r>
      <w:r w:rsidRPr="00920C7D">
        <w:rPr>
          <w:rFonts w:ascii="Times New Roman" w:hAnsi="Times New Roman"/>
          <w:b/>
          <w:bCs/>
          <w:sz w:val="22"/>
        </w:rPr>
        <w:t>The Jewish Sources</w:t>
      </w:r>
      <w:r w:rsidRPr="00920C7D">
        <w:rPr>
          <w:rFonts w:ascii="Times New Roman" w:hAnsi="Times New Roman"/>
          <w:b/>
          <w:bCs/>
          <w:sz w:val="22"/>
        </w:rPr>
        <w:t xml:space="preserve">. </w:t>
      </w:r>
      <w:r w:rsidRPr="00920C7D">
        <w:rPr>
          <w:rFonts w:ascii="Times New Roman" w:hAnsi="Times New Roman"/>
          <w:sz w:val="22"/>
        </w:rPr>
        <w:t>Andrew engaged deeply with Jewish communities, who were integrated rather than segregated into ghettos. Jewish exposition came in halachic, aggadic, and literal or rational forms. Figures like Rashi and Joseph Kara played central roles in his studies, advocating for rational and contextual interpretation. Andrew favored personal oral exchanges over written sources, partially due to the linguistic differences between Rabbinic and Biblical Hebrew.</w:t>
      </w:r>
      <w:r w:rsidRPr="00920C7D">
        <w:rPr>
          <w:rFonts w:ascii="Times New Roman" w:hAnsi="Times New Roman"/>
          <w:sz w:val="22"/>
        </w:rPr>
        <w:t xml:space="preserve"> </w:t>
      </w:r>
      <w:r w:rsidRPr="00920C7D">
        <w:rPr>
          <w:rFonts w:ascii="Times New Roman" w:hAnsi="Times New Roman"/>
          <w:b/>
          <w:bCs/>
          <w:sz w:val="22"/>
        </w:rPr>
        <w:t>IV.</w:t>
      </w:r>
      <w:r>
        <w:rPr>
          <w:rFonts w:ascii="Times New Roman" w:hAnsi="Times New Roman"/>
          <w:sz w:val="22"/>
        </w:rPr>
        <w:t xml:space="preserve"> </w:t>
      </w:r>
      <w:r w:rsidRPr="00920C7D">
        <w:rPr>
          <w:rFonts w:ascii="Times New Roman" w:hAnsi="Times New Roman"/>
          <w:b/>
          <w:bCs/>
          <w:sz w:val="22"/>
        </w:rPr>
        <w:t>Andrew and the Jews</w:t>
      </w:r>
      <w:r w:rsidRPr="00920C7D">
        <w:rPr>
          <w:rFonts w:ascii="Times New Roman" w:hAnsi="Times New Roman"/>
          <w:b/>
          <w:bCs/>
          <w:sz w:val="22"/>
        </w:rPr>
        <w:t xml:space="preserve">. </w:t>
      </w:r>
      <w:r w:rsidRPr="00920C7D">
        <w:rPr>
          <w:rFonts w:ascii="Times New Roman" w:hAnsi="Times New Roman"/>
          <w:sz w:val="22"/>
        </w:rPr>
        <w:t xml:space="preserve">Andrew’s interactions with rabbis combined tutorial and disputative elements. He critiqued Jewish teachings where Talmudic legends intruded, yet </w:t>
      </w:r>
      <w:r w:rsidRPr="00920C7D">
        <w:rPr>
          <w:rFonts w:ascii="Times New Roman" w:hAnsi="Times New Roman"/>
          <w:sz w:val="22"/>
        </w:rPr>
        <w:t xml:space="preserve">he </w:t>
      </w:r>
      <w:r w:rsidRPr="00920C7D">
        <w:rPr>
          <w:rFonts w:ascii="Times New Roman" w:hAnsi="Times New Roman"/>
          <w:sz w:val="22"/>
        </w:rPr>
        <w:t>valued rational Jewish exegesis. His method involved a dual interpretation—Christian and Jewish—especially for controversial passages. He explored both perspectives on texts like "A virgin will conceive" and "Rod out of the root of Jesse," seeking a middle way in interpretations like Daniel’s prophecy.</w:t>
      </w:r>
      <w:r>
        <w:rPr>
          <w:rFonts w:ascii="Times New Roman" w:hAnsi="Times New Roman"/>
          <w:sz w:val="22"/>
        </w:rPr>
        <w:t xml:space="preserve"> </w:t>
      </w:r>
      <w:r>
        <w:rPr>
          <w:rFonts w:ascii="Times New Roman" w:hAnsi="Times New Roman"/>
          <w:b/>
          <w:bCs/>
          <w:sz w:val="22"/>
        </w:rPr>
        <w:t xml:space="preserve">V. </w:t>
      </w:r>
      <w:r w:rsidRPr="00920C7D">
        <w:rPr>
          <w:rFonts w:ascii="Times New Roman" w:hAnsi="Times New Roman"/>
          <w:b/>
          <w:bCs/>
          <w:sz w:val="22"/>
        </w:rPr>
        <w:t>Andrew's Influence</w:t>
      </w:r>
      <w:r w:rsidRPr="00920C7D">
        <w:rPr>
          <w:rFonts w:ascii="Times New Roman" w:hAnsi="Times New Roman"/>
          <w:b/>
          <w:bCs/>
          <w:sz w:val="22"/>
        </w:rPr>
        <w:t xml:space="preserve">. </w:t>
      </w:r>
      <w:r w:rsidRPr="00920C7D">
        <w:rPr>
          <w:rFonts w:ascii="Times New Roman" w:hAnsi="Times New Roman"/>
          <w:sz w:val="22"/>
        </w:rPr>
        <w:t>Andrew’s influence extended through his disciples and his extensive manuscripts held across Europe, particularly well-preserved in England. His work was long recognized, contributing to major collections such as the Historica Scholastica and Verbum Abbreviatum. Figures like Master Adam were among the first to quote him by name, and his approach was further explored by 12th-century scholars like Stephen Langton and beyond.</w:t>
      </w:r>
      <w:r>
        <w:rPr>
          <w:rFonts w:ascii="Times New Roman" w:hAnsi="Times New Roman"/>
          <w:sz w:val="22"/>
        </w:rPr>
        <w:t xml:space="preserve"> </w:t>
      </w:r>
      <w:r w:rsidRPr="00920C7D">
        <w:rPr>
          <w:rFonts w:ascii="Times New Roman" w:hAnsi="Times New Roman"/>
          <w:b/>
          <w:bCs/>
          <w:sz w:val="22"/>
        </w:rPr>
        <w:t xml:space="preserve">VI. </w:t>
      </w:r>
      <w:r w:rsidRPr="00920C7D">
        <w:rPr>
          <w:rFonts w:ascii="Times New Roman" w:hAnsi="Times New Roman"/>
          <w:b/>
          <w:bCs/>
          <w:sz w:val="22"/>
        </w:rPr>
        <w:t>A Pupil: Herbert of Bosham</w:t>
      </w:r>
      <w:r>
        <w:rPr>
          <w:rFonts w:ascii="Times New Roman" w:hAnsi="Times New Roman"/>
          <w:b/>
          <w:bCs/>
          <w:sz w:val="22"/>
        </w:rPr>
        <w:t xml:space="preserve">. </w:t>
      </w:r>
      <w:r w:rsidRPr="00920C7D">
        <w:rPr>
          <w:rFonts w:ascii="Times New Roman" w:hAnsi="Times New Roman"/>
          <w:sz w:val="22"/>
        </w:rPr>
        <w:t>Herbert of Bosham, possibly Andrew’s pupil, was deeply skilled in Hebrew, engaging with Jewish commentaries and often quoting Rashi. While maintaining a focus on messianic and Christological explanations, Herbert’s work provided a refined approach to literal interpretation</w:t>
      </w:r>
      <w:r>
        <w:rPr>
          <w:rFonts w:ascii="Times New Roman" w:hAnsi="Times New Roman"/>
          <w:sz w:val="22"/>
        </w:rPr>
        <w:t>;</w:t>
      </w:r>
      <w:r w:rsidRPr="00920C7D">
        <w:rPr>
          <w:rFonts w:ascii="Times New Roman" w:hAnsi="Times New Roman"/>
          <w:sz w:val="22"/>
        </w:rPr>
        <w:t xml:space="preserve"> </w:t>
      </w:r>
      <w:r>
        <w:rPr>
          <w:rFonts w:ascii="Times New Roman" w:hAnsi="Times New Roman"/>
          <w:sz w:val="22"/>
        </w:rPr>
        <w:t xml:space="preserve">a relatively unknown theologian, </w:t>
      </w:r>
      <w:r w:rsidRPr="00920C7D">
        <w:rPr>
          <w:rFonts w:ascii="Times New Roman" w:hAnsi="Times New Roman"/>
          <w:sz w:val="22"/>
        </w:rPr>
        <w:t xml:space="preserve">his influence </w:t>
      </w:r>
      <w:r>
        <w:rPr>
          <w:rFonts w:ascii="Times New Roman" w:hAnsi="Times New Roman"/>
          <w:sz w:val="22"/>
        </w:rPr>
        <w:t xml:space="preserve">is </w:t>
      </w:r>
      <w:r w:rsidRPr="00920C7D">
        <w:rPr>
          <w:rFonts w:ascii="Times New Roman" w:hAnsi="Times New Roman"/>
          <w:sz w:val="22"/>
        </w:rPr>
        <w:t>noted through what little survives of his commentary.</w:t>
      </w:r>
    </w:p>
    <w:p w:rsidR="00920C7D" w:rsidRDefault="00920C7D" w:rsidP="00920C7D">
      <w:pPr>
        <w:jc w:val="both"/>
        <w:rPr>
          <w:sz w:val="24"/>
        </w:rPr>
      </w:pPr>
    </w:p>
    <w:p w:rsidR="003F0DD2" w:rsidRPr="003F0DD2" w:rsidRDefault="003F0DD2" w:rsidP="003F0DD2">
      <w:pPr>
        <w:jc w:val="both"/>
        <w:rPr>
          <w:b/>
          <w:bCs/>
          <w:sz w:val="24"/>
        </w:rPr>
      </w:pPr>
      <w:r w:rsidRPr="003F0DD2">
        <w:rPr>
          <w:rFonts w:ascii="Times New Roman" w:hAnsi="Times New Roman"/>
          <w:b/>
          <w:bCs/>
          <w:sz w:val="22"/>
        </w:rPr>
        <w:t>Chapter V: Masters of the Sacred Page: The Comestor, The Chanter, Stephen Langton</w:t>
      </w:r>
      <w:r>
        <w:rPr>
          <w:rFonts w:ascii="Times New Roman" w:hAnsi="Times New Roman"/>
          <w:b/>
          <w:bCs/>
          <w:sz w:val="22"/>
        </w:rPr>
        <w:t>.</w:t>
      </w:r>
    </w:p>
    <w:p w:rsidR="003F0DD2" w:rsidRDefault="003F0DD2" w:rsidP="003F0DD2">
      <w:pPr>
        <w:jc w:val="both"/>
        <w:rPr>
          <w:sz w:val="24"/>
        </w:rPr>
      </w:pPr>
      <w:r>
        <w:rPr>
          <w:rFonts w:ascii="Times New Roman" w:hAnsi="Times New Roman"/>
          <w:b/>
          <w:bCs/>
          <w:sz w:val="22"/>
        </w:rPr>
        <w:t xml:space="preserve">I. </w:t>
      </w:r>
      <w:r w:rsidRPr="003F0DD2">
        <w:rPr>
          <w:rFonts w:ascii="Times New Roman" w:hAnsi="Times New Roman"/>
          <w:b/>
          <w:bCs/>
          <w:sz w:val="22"/>
        </w:rPr>
        <w:t>Lectio, Disputio, Praedicatio</w:t>
      </w:r>
      <w:r>
        <w:rPr>
          <w:rFonts w:ascii="Times New Roman" w:hAnsi="Times New Roman"/>
          <w:b/>
          <w:bCs/>
          <w:sz w:val="22"/>
        </w:rPr>
        <w:t xml:space="preserve">. </w:t>
      </w:r>
      <w:r w:rsidRPr="003F0DD2">
        <w:rPr>
          <w:rFonts w:ascii="Times New Roman" w:hAnsi="Times New Roman"/>
          <w:sz w:val="22"/>
        </w:rPr>
        <w:t>The masters of the Victorian tradition, including Peter Comestor, Peter the Chanter, and Stephen Langton, formed a biblical moral "school</w:t>
      </w:r>
      <w:r>
        <w:rPr>
          <w:rFonts w:ascii="Times New Roman" w:hAnsi="Times New Roman"/>
          <w:sz w:val="22"/>
        </w:rPr>
        <w:t>,</w:t>
      </w:r>
      <w:r w:rsidRPr="003F0DD2">
        <w:rPr>
          <w:rFonts w:ascii="Times New Roman" w:hAnsi="Times New Roman"/>
          <w:sz w:val="22"/>
        </w:rPr>
        <w:t>" distinct from theologians and dialecticians like Peter Lombard and Peter of Poitiers. Comestor’s "</w:t>
      </w:r>
      <w:r w:rsidRPr="003F0DD2">
        <w:rPr>
          <w:rFonts w:ascii="Times New Roman" w:hAnsi="Times New Roman"/>
          <w:i/>
          <w:iCs/>
          <w:sz w:val="22"/>
        </w:rPr>
        <w:t>Historia Scholastica</w:t>
      </w:r>
      <w:r w:rsidRPr="003F0DD2">
        <w:rPr>
          <w:rFonts w:ascii="Times New Roman" w:hAnsi="Times New Roman"/>
          <w:sz w:val="22"/>
        </w:rPr>
        <w:t>" fulfilled the goals of the "</w:t>
      </w:r>
      <w:r w:rsidRPr="003F0DD2">
        <w:rPr>
          <w:rFonts w:ascii="Times New Roman" w:hAnsi="Times New Roman"/>
          <w:i/>
          <w:iCs/>
          <w:sz w:val="22"/>
        </w:rPr>
        <w:t>Didascalion</w:t>
      </w:r>
      <w:r w:rsidRPr="003F0DD2">
        <w:rPr>
          <w:rFonts w:ascii="Times New Roman" w:hAnsi="Times New Roman"/>
          <w:sz w:val="22"/>
        </w:rPr>
        <w:t>," with Langton glossing this work, the Gospels, and sapiential books. The Chanter and Langton both utilized these histories and glosses.</w:t>
      </w:r>
      <w:r>
        <w:rPr>
          <w:rFonts w:ascii="Times New Roman" w:hAnsi="Times New Roman"/>
          <w:sz w:val="22"/>
        </w:rPr>
        <w:t xml:space="preserve"> </w:t>
      </w:r>
      <w:r w:rsidRPr="003F0DD2">
        <w:rPr>
          <w:rFonts w:ascii="Times New Roman" w:hAnsi="Times New Roman"/>
          <w:b/>
          <w:bCs/>
          <w:sz w:val="22"/>
        </w:rPr>
        <w:t xml:space="preserve">The Role of </w:t>
      </w:r>
      <w:r w:rsidRPr="003F0DD2">
        <w:rPr>
          <w:rFonts w:ascii="Times New Roman" w:hAnsi="Times New Roman"/>
          <w:b/>
          <w:bCs/>
          <w:i/>
          <w:iCs/>
          <w:sz w:val="22"/>
        </w:rPr>
        <w:t>Reportatio</w:t>
      </w:r>
      <w:r>
        <w:rPr>
          <w:rFonts w:ascii="Times New Roman" w:hAnsi="Times New Roman"/>
          <w:b/>
          <w:bCs/>
          <w:sz w:val="22"/>
        </w:rPr>
        <w:t xml:space="preserve">. </w:t>
      </w:r>
      <w:r w:rsidRPr="003F0DD2">
        <w:rPr>
          <w:rFonts w:ascii="Times New Roman" w:hAnsi="Times New Roman"/>
          <w:i/>
          <w:iCs/>
          <w:sz w:val="22"/>
        </w:rPr>
        <w:t>Reportatio</w:t>
      </w:r>
      <w:r w:rsidRPr="003F0DD2">
        <w:rPr>
          <w:rFonts w:ascii="Times New Roman" w:hAnsi="Times New Roman"/>
          <w:sz w:val="22"/>
        </w:rPr>
        <w:t xml:space="preserve"> served as the primary means of preserving their exegesis. It was a form of stenography produced in classrooms, blending dictation and notes, and often resembled glosses and homilies. Theology students, often advanced and previously serving as masters, actively engaged in discussions. The Chanter noted that Bible study involved reading, disputation, and preaching, with minimal differentiation between these practices, especially as found in Comestor and the Chanter’s works.</w:t>
      </w:r>
      <w:r>
        <w:rPr>
          <w:rFonts w:ascii="Times New Roman" w:hAnsi="Times New Roman"/>
          <w:sz w:val="22"/>
        </w:rPr>
        <w:t xml:space="preserve"> </w:t>
      </w:r>
    </w:p>
    <w:p w:rsidR="003F0DD2" w:rsidRPr="003F0DD2" w:rsidRDefault="003F0DD2" w:rsidP="003F0DD2">
      <w:pPr>
        <w:jc w:val="both"/>
        <w:rPr>
          <w:sz w:val="24"/>
        </w:rPr>
      </w:pPr>
      <w:r w:rsidRPr="003F0DD2">
        <w:rPr>
          <w:rFonts w:ascii="Times New Roman" w:hAnsi="Times New Roman"/>
          <w:b/>
          <w:bCs/>
          <w:sz w:val="22"/>
        </w:rPr>
        <w:t xml:space="preserve">II. </w:t>
      </w:r>
      <w:r w:rsidRPr="003F0DD2">
        <w:rPr>
          <w:rFonts w:ascii="Times New Roman" w:hAnsi="Times New Roman"/>
          <w:b/>
          <w:bCs/>
          <w:sz w:val="22"/>
        </w:rPr>
        <w:t>The Literal Exposition</w:t>
      </w:r>
      <w:r>
        <w:rPr>
          <w:rFonts w:ascii="Times New Roman" w:hAnsi="Times New Roman"/>
          <w:b/>
          <w:bCs/>
          <w:sz w:val="22"/>
        </w:rPr>
        <w:t xml:space="preserve">. </w:t>
      </w:r>
      <w:r w:rsidRPr="003F0DD2">
        <w:rPr>
          <w:rFonts w:ascii="Times New Roman" w:hAnsi="Times New Roman"/>
          <w:sz w:val="22"/>
        </w:rPr>
        <w:t xml:space="preserve">The success of the "Histories" and "Genealogy," which were interpolated over time, highlighted the prominence of literal exposition. Figures like Robert of Melun critiqued starting with glosses due to their potential redundancy or harm when authority </w:t>
      </w:r>
      <w:r w:rsidRPr="003F0DD2">
        <w:rPr>
          <w:rFonts w:ascii="Times New Roman" w:hAnsi="Times New Roman"/>
          <w:sz w:val="22"/>
        </w:rPr>
        <w:lastRenderedPageBreak/>
        <w:t>was assumed. Masters engaged in textual criticism without a standard text, drawing from Jewish sources, with Langton using varied approaches for literal exposition based on historical and grammatical explanations.</w:t>
      </w:r>
      <w:r>
        <w:rPr>
          <w:rFonts w:ascii="Times New Roman" w:hAnsi="Times New Roman"/>
          <w:sz w:val="22"/>
        </w:rPr>
        <w:t xml:space="preserve"> </w:t>
      </w:r>
      <w:r w:rsidRPr="003F0DD2">
        <w:rPr>
          <w:rFonts w:ascii="Times New Roman" w:hAnsi="Times New Roman"/>
          <w:b/>
          <w:bCs/>
          <w:sz w:val="22"/>
        </w:rPr>
        <w:t>Framework and Methodology</w:t>
      </w:r>
      <w:r>
        <w:rPr>
          <w:rFonts w:ascii="Times New Roman" w:hAnsi="Times New Roman"/>
          <w:b/>
          <w:bCs/>
          <w:sz w:val="22"/>
        </w:rPr>
        <w:t xml:space="preserve">. </w:t>
      </w:r>
      <w:r w:rsidRPr="003F0DD2">
        <w:rPr>
          <w:rFonts w:ascii="Times New Roman" w:hAnsi="Times New Roman"/>
          <w:sz w:val="22"/>
        </w:rPr>
        <w:t xml:space="preserve">A framework of </w:t>
      </w:r>
      <w:r w:rsidRPr="003F0DD2">
        <w:rPr>
          <w:rFonts w:ascii="Times New Roman" w:hAnsi="Times New Roman"/>
          <w:i/>
          <w:iCs/>
          <w:sz w:val="22"/>
        </w:rPr>
        <w:t>materia</w:t>
      </w:r>
      <w:r w:rsidRPr="003F0DD2">
        <w:rPr>
          <w:rFonts w:ascii="Times New Roman" w:hAnsi="Times New Roman"/>
          <w:sz w:val="22"/>
        </w:rPr>
        <w:t xml:space="preserve">, </w:t>
      </w:r>
      <w:r w:rsidRPr="003F0DD2">
        <w:rPr>
          <w:rFonts w:ascii="Times New Roman" w:hAnsi="Times New Roman"/>
          <w:i/>
          <w:iCs/>
          <w:sz w:val="22"/>
        </w:rPr>
        <w:t>intentio</w:t>
      </w:r>
      <w:r w:rsidRPr="003F0DD2">
        <w:rPr>
          <w:rFonts w:ascii="Times New Roman" w:hAnsi="Times New Roman"/>
          <w:sz w:val="22"/>
        </w:rPr>
        <w:t xml:space="preserve">, ordo, and modus guided their exegesis. The literal sense was distinguished from the spiritual as </w:t>
      </w:r>
      <w:r w:rsidRPr="003F0DD2">
        <w:rPr>
          <w:rFonts w:ascii="Times New Roman" w:hAnsi="Times New Roman"/>
          <w:i/>
          <w:iCs/>
          <w:sz w:val="22"/>
        </w:rPr>
        <w:t>extrinsecus</w:t>
      </w:r>
      <w:r w:rsidRPr="003F0DD2">
        <w:rPr>
          <w:rFonts w:ascii="Times New Roman" w:hAnsi="Times New Roman"/>
          <w:sz w:val="22"/>
        </w:rPr>
        <w:t>/</w:t>
      </w:r>
      <w:r w:rsidRPr="003F0DD2">
        <w:rPr>
          <w:rFonts w:ascii="Times New Roman" w:hAnsi="Times New Roman"/>
          <w:i/>
          <w:iCs/>
          <w:sz w:val="22"/>
        </w:rPr>
        <w:t>intrinsecus</w:t>
      </w:r>
      <w:r w:rsidRPr="003F0DD2">
        <w:rPr>
          <w:rFonts w:ascii="Times New Roman" w:hAnsi="Times New Roman"/>
          <w:sz w:val="22"/>
        </w:rPr>
        <w:t xml:space="preserve">. Chapter divisions and verse references were first regularly used by the Chanter, with Langton utilizing different systems. They distinguished between the </w:t>
      </w:r>
      <w:r w:rsidRPr="003F0DD2">
        <w:rPr>
          <w:rFonts w:ascii="Times New Roman" w:hAnsi="Times New Roman"/>
          <w:i/>
          <w:iCs/>
          <w:sz w:val="22"/>
        </w:rPr>
        <w:t>expositor</w:t>
      </w:r>
      <w:r w:rsidRPr="003F0DD2">
        <w:rPr>
          <w:rFonts w:ascii="Times New Roman" w:hAnsi="Times New Roman"/>
          <w:sz w:val="22"/>
        </w:rPr>
        <w:t xml:space="preserve"> (Patristic authority) and </w:t>
      </w:r>
      <w:r w:rsidRPr="003F0DD2">
        <w:rPr>
          <w:rFonts w:ascii="Times New Roman" w:hAnsi="Times New Roman"/>
          <w:i/>
          <w:iCs/>
          <w:sz w:val="22"/>
        </w:rPr>
        <w:t>glosator</w:t>
      </w:r>
      <w:r w:rsidRPr="003F0DD2">
        <w:rPr>
          <w:rFonts w:ascii="Times New Roman" w:hAnsi="Times New Roman"/>
          <w:sz w:val="22"/>
        </w:rPr>
        <w:t xml:space="preserve"> (master organizing the gloss). Langton’s work on the Minor Prophets involved comparing various sources, highlighting the issue noted by Robert of Melun regarding glosses.</w:t>
      </w:r>
      <w:r>
        <w:rPr>
          <w:rFonts w:ascii="Times New Roman" w:hAnsi="Times New Roman"/>
          <w:sz w:val="22"/>
        </w:rPr>
        <w:t xml:space="preserve"> </w:t>
      </w:r>
      <w:r w:rsidRPr="003F0DD2">
        <w:rPr>
          <w:rFonts w:ascii="Times New Roman" w:hAnsi="Times New Roman"/>
          <w:b/>
          <w:bCs/>
          <w:sz w:val="22"/>
        </w:rPr>
        <w:t>Hugh of St. Victor's Influence</w:t>
      </w:r>
      <w:r>
        <w:rPr>
          <w:rFonts w:ascii="Times New Roman" w:hAnsi="Times New Roman"/>
          <w:b/>
          <w:bCs/>
          <w:sz w:val="22"/>
        </w:rPr>
        <w:t xml:space="preserve">. </w:t>
      </w:r>
      <w:r w:rsidRPr="003F0DD2">
        <w:rPr>
          <w:rFonts w:ascii="Times New Roman" w:hAnsi="Times New Roman"/>
          <w:sz w:val="22"/>
        </w:rPr>
        <w:t>Hugh of St. Victor's influence was evident in their approach, balancing letter and spirit, even recognizing multiple senses within glosses. The Chanter differentiated between liturgy, which could be literal, and gloss, which was sometimes mystical. The masters adhered partially to a fourfold interpretive system and Victorine tradition, evidenced by Langton’s consultation of Jewish sources and textual correction, the Chanter’s critical use of Andrew’s insights, and Comestor’s historical and liturgical application.</w:t>
      </w:r>
    </w:p>
    <w:p w:rsidR="003F0DD2" w:rsidRPr="003F0DD2" w:rsidRDefault="003F0DD2" w:rsidP="003F0DD2">
      <w:pPr>
        <w:jc w:val="both"/>
        <w:rPr>
          <w:sz w:val="24"/>
        </w:rPr>
      </w:pPr>
      <w:r w:rsidRPr="003F0DD2">
        <w:rPr>
          <w:rFonts w:ascii="Times New Roman" w:hAnsi="Times New Roman"/>
          <w:b/>
          <w:bCs/>
          <w:sz w:val="22"/>
        </w:rPr>
        <w:t xml:space="preserve">III. </w:t>
      </w:r>
      <w:r w:rsidRPr="003F0DD2">
        <w:rPr>
          <w:rFonts w:ascii="Times New Roman" w:hAnsi="Times New Roman"/>
          <w:b/>
          <w:bCs/>
          <w:sz w:val="22"/>
        </w:rPr>
        <w:t>The Spiritual Exposition</w:t>
      </w:r>
      <w:r>
        <w:rPr>
          <w:rFonts w:ascii="Times New Roman" w:hAnsi="Times New Roman"/>
          <w:b/>
          <w:bCs/>
          <w:sz w:val="22"/>
        </w:rPr>
        <w:t xml:space="preserve">. </w:t>
      </w:r>
      <w:r w:rsidRPr="003F0DD2">
        <w:rPr>
          <w:rFonts w:ascii="Times New Roman" w:hAnsi="Times New Roman"/>
          <w:sz w:val="22"/>
        </w:rPr>
        <w:t>Three masters faithful to the Victorine tradition emphasized the superiority of the spiritual sense over the literal. Their approach included novelty and adaptation, reimagining allegory not as an intellectual pursuit but as a tool for imparting secrets to simple people, making it more personal and descriptive.</w:t>
      </w:r>
      <w:r>
        <w:rPr>
          <w:rFonts w:ascii="Times New Roman" w:hAnsi="Times New Roman"/>
          <w:sz w:val="22"/>
        </w:rPr>
        <w:t xml:space="preserve"> </w:t>
      </w:r>
      <w:r w:rsidRPr="003F0DD2">
        <w:rPr>
          <w:rFonts w:ascii="Times New Roman" w:hAnsi="Times New Roman"/>
          <w:b/>
          <w:bCs/>
          <w:sz w:val="22"/>
        </w:rPr>
        <w:t>Importance of Tropology</w:t>
      </w:r>
      <w:r>
        <w:rPr>
          <w:rFonts w:ascii="Times New Roman" w:hAnsi="Times New Roman"/>
          <w:b/>
          <w:bCs/>
          <w:sz w:val="22"/>
        </w:rPr>
        <w:t xml:space="preserve">. </w:t>
      </w:r>
      <w:r w:rsidRPr="003F0DD2">
        <w:rPr>
          <w:rFonts w:ascii="Times New Roman" w:hAnsi="Times New Roman"/>
          <w:sz w:val="22"/>
        </w:rPr>
        <w:t>Tropology gained importance, becoming more concrete and infused with humor and keen observation. The analogical or mystical sense remained recognized, yet mystical union was regarded as more suitable for the cloister than the classroom.</w:t>
      </w:r>
      <w:r>
        <w:rPr>
          <w:rFonts w:ascii="Times New Roman" w:hAnsi="Times New Roman"/>
          <w:sz w:val="22"/>
        </w:rPr>
        <w:t xml:space="preserve"> </w:t>
      </w:r>
      <w:r w:rsidRPr="003F0DD2">
        <w:rPr>
          <w:rFonts w:ascii="Times New Roman" w:hAnsi="Times New Roman"/>
          <w:b/>
          <w:bCs/>
          <w:i/>
          <w:iCs/>
          <w:sz w:val="22"/>
        </w:rPr>
        <w:t>Distinctio</w:t>
      </w:r>
      <w:r w:rsidRPr="003F0DD2">
        <w:rPr>
          <w:rFonts w:ascii="Times New Roman" w:hAnsi="Times New Roman"/>
          <w:b/>
          <w:bCs/>
          <w:sz w:val="22"/>
        </w:rPr>
        <w:t xml:space="preserve"> and Biblical Language</w:t>
      </w:r>
      <w:r>
        <w:rPr>
          <w:rFonts w:ascii="Times New Roman" w:hAnsi="Times New Roman"/>
          <w:b/>
          <w:bCs/>
          <w:sz w:val="22"/>
        </w:rPr>
        <w:t xml:space="preserve">. </w:t>
      </w:r>
      <w:r w:rsidRPr="003F0DD2">
        <w:rPr>
          <w:rFonts w:ascii="Times New Roman" w:hAnsi="Times New Roman"/>
          <w:i/>
          <w:iCs/>
          <w:sz w:val="22"/>
        </w:rPr>
        <w:t>Distinctio</w:t>
      </w:r>
      <w:r w:rsidRPr="003F0DD2">
        <w:rPr>
          <w:rFonts w:ascii="Times New Roman" w:hAnsi="Times New Roman"/>
          <w:sz w:val="22"/>
        </w:rPr>
        <w:t xml:space="preserve"> involved exploring alternative interpretations found in Patristic writings and listing biblical words with varied meanings. Collections of </w:t>
      </w:r>
      <w:r w:rsidRPr="003F0DD2">
        <w:rPr>
          <w:rFonts w:ascii="Times New Roman" w:hAnsi="Times New Roman"/>
          <w:i/>
          <w:iCs/>
          <w:sz w:val="22"/>
        </w:rPr>
        <w:t>distinctiones</w:t>
      </w:r>
      <w:r w:rsidRPr="003F0DD2">
        <w:rPr>
          <w:rFonts w:ascii="Times New Roman" w:hAnsi="Times New Roman"/>
          <w:sz w:val="22"/>
        </w:rPr>
        <w:t xml:space="preserve"> provided valuable, labor-saving insights. Paris masters valued action over contemplation, moving toward moralizing themes in allegories of figures like Samgar and Ruth.</w:t>
      </w:r>
    </w:p>
    <w:p w:rsidR="003F0DD2" w:rsidRPr="003F0DD2" w:rsidRDefault="003F0DD2" w:rsidP="003F0DD2">
      <w:pPr>
        <w:jc w:val="both"/>
        <w:rPr>
          <w:sz w:val="24"/>
        </w:rPr>
      </w:pPr>
      <w:r>
        <w:rPr>
          <w:rFonts w:ascii="Times New Roman" w:hAnsi="Times New Roman"/>
          <w:sz w:val="22"/>
        </w:rPr>
        <w:drawing>
          <wp:inline distT="0" distB="0" distL="0" distR="0">
            <wp:extent cx="5943600" cy="2620645"/>
            <wp:effectExtent l="0" t="0" r="0" b="0"/>
            <wp:docPr id="205638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88111" name="Picture 2056388111"/>
                    <pic:cNvPicPr/>
                  </pic:nvPicPr>
                  <pic:blipFill>
                    <a:blip r:embed="rId5">
                      <a:extLst>
                        <a:ext uri="{28A0092B-C50C-407E-A947-70E740481C1C}">
                          <a14:useLocalDpi xmlns:a14="http://schemas.microsoft.com/office/drawing/2010/main" val="0"/>
                        </a:ext>
                      </a:extLst>
                    </a:blip>
                    <a:stretch>
                      <a:fillRect/>
                    </a:stretch>
                  </pic:blipFill>
                  <pic:spPr>
                    <a:xfrm>
                      <a:off x="0" y="0"/>
                      <a:ext cx="5943600" cy="2620645"/>
                    </a:xfrm>
                    <a:prstGeom prst="rect">
                      <a:avLst/>
                    </a:prstGeom>
                  </pic:spPr>
                </pic:pic>
              </a:graphicData>
            </a:graphic>
          </wp:inline>
        </w:drawing>
      </w:r>
    </w:p>
    <w:p w:rsidR="003F0DD2" w:rsidRDefault="003F0DD2" w:rsidP="003F0DD2">
      <w:pPr>
        <w:jc w:val="both"/>
        <w:rPr>
          <w:sz w:val="24"/>
        </w:rPr>
      </w:pPr>
      <w:r w:rsidRPr="003F0DD2">
        <w:rPr>
          <w:rFonts w:ascii="Times New Roman" w:hAnsi="Times New Roman"/>
          <w:b/>
          <w:bCs/>
          <w:sz w:val="22"/>
        </w:rPr>
        <w:t>Langton's Contribution</w:t>
      </w:r>
      <w:r>
        <w:rPr>
          <w:rFonts w:ascii="Times New Roman" w:hAnsi="Times New Roman"/>
          <w:b/>
          <w:bCs/>
          <w:sz w:val="22"/>
        </w:rPr>
        <w:t xml:space="preserve">. </w:t>
      </w:r>
      <w:r w:rsidRPr="003F0DD2">
        <w:rPr>
          <w:rFonts w:ascii="Times New Roman" w:hAnsi="Times New Roman"/>
          <w:sz w:val="22"/>
        </w:rPr>
        <w:t>Langton distinguished popular sermons (</w:t>
      </w:r>
      <w:r w:rsidRPr="003F0DD2">
        <w:rPr>
          <w:rFonts w:ascii="Times New Roman" w:hAnsi="Times New Roman"/>
          <w:i/>
          <w:iCs/>
          <w:sz w:val="22"/>
        </w:rPr>
        <w:t>exemplum vulgare</w:t>
      </w:r>
      <w:r w:rsidRPr="003F0DD2">
        <w:rPr>
          <w:rFonts w:ascii="Times New Roman" w:hAnsi="Times New Roman"/>
          <w:sz w:val="22"/>
        </w:rPr>
        <w:t xml:space="preserve">) from more refined sermons for clerks, reviving popular preaching. </w:t>
      </w:r>
      <w:r w:rsidRPr="003F0DD2">
        <w:rPr>
          <w:rFonts w:ascii="Times New Roman" w:hAnsi="Times New Roman"/>
          <w:i/>
          <w:iCs/>
          <w:sz w:val="22"/>
        </w:rPr>
        <w:t>Exempla</w:t>
      </w:r>
      <w:r w:rsidRPr="003F0DD2">
        <w:rPr>
          <w:rFonts w:ascii="Times New Roman" w:hAnsi="Times New Roman"/>
          <w:sz w:val="22"/>
        </w:rPr>
        <w:t>, proverbs, and other devices enriched spiritual exegesis, focusing on the technique of transforming the 'corn of Scripture into the bread of tropology.' Spiritual exposition offered more freedom than the literal, as tropology allowed for moralization without the constraints of historical fact.</w:t>
      </w:r>
      <w:r>
        <w:rPr>
          <w:rFonts w:ascii="Times New Roman" w:hAnsi="Times New Roman"/>
          <w:sz w:val="22"/>
        </w:rPr>
        <w:t xml:space="preserve"> </w:t>
      </w:r>
      <w:r w:rsidRPr="003F0DD2">
        <w:rPr>
          <w:rFonts w:ascii="Times New Roman" w:hAnsi="Times New Roman"/>
          <w:b/>
          <w:bCs/>
          <w:sz w:val="22"/>
        </w:rPr>
        <w:t>Symbolism and Meaning</w:t>
      </w:r>
      <w:r>
        <w:rPr>
          <w:rFonts w:ascii="Times New Roman" w:hAnsi="Times New Roman"/>
          <w:b/>
          <w:bCs/>
          <w:sz w:val="22"/>
        </w:rPr>
        <w:t xml:space="preserve">. </w:t>
      </w:r>
      <w:r w:rsidRPr="003F0DD2">
        <w:rPr>
          <w:rFonts w:ascii="Times New Roman" w:hAnsi="Times New Roman"/>
          <w:sz w:val="22"/>
        </w:rPr>
        <w:t xml:space="preserve">In the later Middle Ages, symbolism risked losing meaning, though it remained vibrant and influential in the 12th century, a "mistress of language." An anecdote highlights skepticism about allegorical </w:t>
      </w:r>
      <w:r w:rsidRPr="003F0DD2">
        <w:rPr>
          <w:rFonts w:ascii="Times New Roman" w:hAnsi="Times New Roman"/>
          <w:sz w:val="22"/>
        </w:rPr>
        <w:lastRenderedPageBreak/>
        <w:t>interpretation</w:t>
      </w:r>
      <w:r>
        <w:rPr>
          <w:rFonts w:ascii="Times New Roman" w:hAnsi="Times New Roman"/>
          <w:sz w:val="22"/>
        </w:rPr>
        <w:t>:</w:t>
      </w:r>
      <w:r w:rsidRPr="003F0DD2">
        <w:rPr>
          <w:rFonts w:ascii="Times New Roman" w:hAnsi="Times New Roman"/>
          <w:sz w:val="22"/>
        </w:rPr>
        <w:t xml:space="preserve"> </w:t>
      </w:r>
      <w:r w:rsidRPr="003F0DD2">
        <w:rPr>
          <w:rFonts w:ascii="Times New Roman" w:hAnsi="Times New Roman"/>
          <w:sz w:val="22"/>
        </w:rPr>
        <w:t xml:space="preserve">"On hearing that the red colour of the cow, which the Law commanded as a sacrifice, prefigured the blood of the Passion, this heretic said mockingly: 'It would be all the same if the cow had been black; the allegory is worthless; whatever the colour of the cow, some sort of allegory could be found for it.'" </w:t>
      </w:r>
    </w:p>
    <w:p w:rsidR="008F3893" w:rsidRDefault="008F3893" w:rsidP="003F0DD2">
      <w:pPr>
        <w:jc w:val="both"/>
        <w:rPr>
          <w:sz w:val="24"/>
        </w:rPr>
      </w:pPr>
    </w:p>
    <w:p w:rsidR="008F3893" w:rsidRPr="008F3893" w:rsidRDefault="008F3893" w:rsidP="008F3893">
      <w:pPr>
        <w:jc w:val="both"/>
        <w:rPr>
          <w:b/>
          <w:bCs/>
          <w:sz w:val="24"/>
        </w:rPr>
      </w:pPr>
      <w:r w:rsidRPr="008F3893">
        <w:rPr>
          <w:rFonts w:ascii="Times New Roman" w:hAnsi="Times New Roman"/>
          <w:b/>
          <w:bCs/>
          <w:sz w:val="22"/>
        </w:rPr>
        <w:t>Chapter VI: The Friars</w:t>
      </w:r>
      <w:r>
        <w:rPr>
          <w:rFonts w:ascii="Times New Roman" w:hAnsi="Times New Roman"/>
          <w:b/>
          <w:bCs/>
          <w:sz w:val="22"/>
        </w:rPr>
        <w:t>.</w:t>
      </w:r>
    </w:p>
    <w:p w:rsidR="008F3893" w:rsidRPr="008F3893" w:rsidRDefault="008F3893" w:rsidP="008F3893">
      <w:pPr>
        <w:jc w:val="both"/>
        <w:rPr>
          <w:sz w:val="24"/>
        </w:rPr>
      </w:pPr>
      <w:r w:rsidRPr="008F3893">
        <w:rPr>
          <w:rFonts w:ascii="Times New Roman" w:hAnsi="Times New Roman"/>
          <w:b/>
          <w:bCs/>
          <w:sz w:val="22"/>
        </w:rPr>
        <w:t xml:space="preserve">I. </w:t>
      </w:r>
      <w:r w:rsidRPr="008F3893">
        <w:rPr>
          <w:rFonts w:ascii="Times New Roman" w:hAnsi="Times New Roman"/>
          <w:b/>
          <w:bCs/>
          <w:sz w:val="22"/>
        </w:rPr>
        <w:t xml:space="preserve">Postills </w:t>
      </w:r>
      <w:r>
        <w:rPr>
          <w:rFonts w:ascii="Times New Roman" w:hAnsi="Times New Roman"/>
          <w:b/>
          <w:bCs/>
          <w:sz w:val="22"/>
        </w:rPr>
        <w:t xml:space="preserve">(post illa verba) </w:t>
      </w:r>
      <w:r w:rsidRPr="008F3893">
        <w:rPr>
          <w:rFonts w:ascii="Times New Roman" w:hAnsi="Times New Roman"/>
          <w:b/>
          <w:bCs/>
          <w:sz w:val="22"/>
        </w:rPr>
        <w:t>and Postillators</w:t>
      </w:r>
      <w:r w:rsidRPr="008F3893">
        <w:rPr>
          <w:rFonts w:ascii="Times New Roman" w:hAnsi="Times New Roman"/>
          <w:b/>
          <w:bCs/>
          <w:sz w:val="22"/>
        </w:rPr>
        <w:t xml:space="preserve">. </w:t>
      </w:r>
      <w:r w:rsidRPr="008F3893">
        <w:rPr>
          <w:rFonts w:ascii="Times New Roman" w:hAnsi="Times New Roman"/>
          <w:sz w:val="22"/>
        </w:rPr>
        <w:t>After leaving the schools in 1206, influential figures like Langton shaped the Friar Preachers and Friar Minors. They continued biblical lectures at institutions such as Oxford, where philosophers and secular masters also engaged with Scripture. Langton’s teachings laid the groundwork for moralizing Scripture, exploring doctrine, and managing gloss apparatus. However, successors often focused separately on moral and doctrinal aspects.</w:t>
      </w:r>
      <w:r>
        <w:rPr>
          <w:rFonts w:ascii="Times New Roman" w:hAnsi="Times New Roman"/>
          <w:sz w:val="22"/>
        </w:rPr>
        <w:t xml:space="preserve"> </w:t>
      </w:r>
      <w:r w:rsidRPr="008F3893">
        <w:rPr>
          <w:rFonts w:ascii="Times New Roman" w:hAnsi="Times New Roman"/>
          <w:b/>
          <w:bCs/>
          <w:sz w:val="22"/>
        </w:rPr>
        <w:t>Approaches of Dominicans and Franciscans</w:t>
      </w:r>
      <w:r>
        <w:rPr>
          <w:rFonts w:ascii="Times New Roman" w:hAnsi="Times New Roman"/>
          <w:b/>
          <w:bCs/>
          <w:sz w:val="22"/>
        </w:rPr>
        <w:t xml:space="preserve">. </w:t>
      </w:r>
      <w:r w:rsidRPr="008F3893">
        <w:rPr>
          <w:rFonts w:ascii="Times New Roman" w:hAnsi="Times New Roman"/>
          <w:sz w:val="22"/>
        </w:rPr>
        <w:t xml:space="preserve">Dominicans prioritized learning, while Franciscans emphasized holiness. Both faced criticism—moralists accused them of excessive questioning, and questioners accused them of overemphasizing morals. Despite this, friars continued their dual pursuit, employing concordances, </w:t>
      </w:r>
      <w:r w:rsidRPr="008F3893">
        <w:rPr>
          <w:rFonts w:ascii="Times New Roman" w:hAnsi="Times New Roman"/>
          <w:i/>
          <w:iCs/>
          <w:sz w:val="22"/>
        </w:rPr>
        <w:t>correctoria</w:t>
      </w:r>
      <w:r w:rsidRPr="008F3893">
        <w:rPr>
          <w:rFonts w:ascii="Times New Roman" w:hAnsi="Times New Roman"/>
          <w:sz w:val="22"/>
        </w:rPr>
        <w:t xml:space="preserve">, and comprehensive commentaries. Hugh of St. Cher’s </w:t>
      </w:r>
      <w:r w:rsidRPr="008F3893">
        <w:rPr>
          <w:rFonts w:ascii="Times New Roman" w:hAnsi="Times New Roman"/>
          <w:i/>
          <w:iCs/>
          <w:sz w:val="22"/>
        </w:rPr>
        <w:t>postills</w:t>
      </w:r>
      <w:r w:rsidRPr="008F3893">
        <w:rPr>
          <w:rFonts w:ascii="Times New Roman" w:hAnsi="Times New Roman"/>
          <w:sz w:val="22"/>
        </w:rPr>
        <w:t xml:space="preserve"> enhanced glosses, covering the entire Bible and influencing subsequent scholars.</w:t>
      </w:r>
      <w:r>
        <w:rPr>
          <w:rFonts w:ascii="Times New Roman" w:hAnsi="Times New Roman"/>
          <w:sz w:val="22"/>
        </w:rPr>
        <w:t xml:space="preserve">  </w:t>
      </w:r>
      <w:r w:rsidRPr="008F3893">
        <w:rPr>
          <w:rFonts w:ascii="Times New Roman" w:hAnsi="Times New Roman"/>
          <w:b/>
          <w:bCs/>
          <w:sz w:val="22"/>
        </w:rPr>
        <w:t>Developments in Postills</w:t>
      </w:r>
      <w:r>
        <w:rPr>
          <w:rFonts w:ascii="Times New Roman" w:hAnsi="Times New Roman"/>
          <w:b/>
          <w:bCs/>
          <w:sz w:val="22"/>
        </w:rPr>
        <w:t xml:space="preserve">. </w:t>
      </w:r>
      <w:r w:rsidRPr="008F3893">
        <w:rPr>
          <w:rFonts w:ascii="Times New Roman" w:hAnsi="Times New Roman"/>
          <w:sz w:val="22"/>
        </w:rPr>
        <w:t>The Paris postills differed from 12th-century glosses by being concise and integrating quaestiones directly with the text. Richard Fishacre exemplified this approach, combining moral lectures with theological disputations, illustrating the shift in focus among Oxford masters from Sentences to Bible lectures.</w:t>
      </w:r>
      <w:r>
        <w:rPr>
          <w:rFonts w:ascii="Times New Roman" w:hAnsi="Times New Roman"/>
          <w:sz w:val="22"/>
        </w:rPr>
        <w:t xml:space="preserve"> </w:t>
      </w:r>
    </w:p>
    <w:p w:rsidR="008F3893" w:rsidRPr="008F3893" w:rsidRDefault="008F3893" w:rsidP="008F3893">
      <w:pPr>
        <w:jc w:val="both"/>
        <w:rPr>
          <w:sz w:val="24"/>
        </w:rPr>
      </w:pPr>
      <w:r w:rsidRPr="008F3893">
        <w:rPr>
          <w:rFonts w:ascii="Times New Roman" w:hAnsi="Times New Roman"/>
          <w:b/>
          <w:bCs/>
          <w:sz w:val="22"/>
        </w:rPr>
        <w:t xml:space="preserve">II. </w:t>
      </w:r>
      <w:r w:rsidRPr="008F3893">
        <w:rPr>
          <w:rFonts w:ascii="Times New Roman" w:hAnsi="Times New Roman"/>
          <w:b/>
          <w:bCs/>
          <w:sz w:val="22"/>
        </w:rPr>
        <w:t>The Spiritual Exposition in Decline</w:t>
      </w:r>
      <w:r>
        <w:rPr>
          <w:rFonts w:ascii="Times New Roman" w:hAnsi="Times New Roman"/>
          <w:b/>
          <w:bCs/>
          <w:sz w:val="22"/>
        </w:rPr>
        <w:t xml:space="preserve">. </w:t>
      </w:r>
      <w:r w:rsidRPr="008F3893">
        <w:rPr>
          <w:rFonts w:ascii="Times New Roman" w:hAnsi="Times New Roman"/>
          <w:sz w:val="22"/>
        </w:rPr>
        <w:t xml:space="preserve">The spiritual practices from cloisters underwent intellectualization, with </w:t>
      </w:r>
      <w:r w:rsidRPr="008F3893">
        <w:rPr>
          <w:rFonts w:ascii="Times New Roman" w:hAnsi="Times New Roman"/>
          <w:i/>
          <w:iCs/>
          <w:sz w:val="22"/>
        </w:rPr>
        <w:t>Scala Claustralium</w:t>
      </w:r>
      <w:r w:rsidRPr="008F3893">
        <w:rPr>
          <w:rFonts w:ascii="Times New Roman" w:hAnsi="Times New Roman"/>
          <w:sz w:val="22"/>
        </w:rPr>
        <w:t xml:space="preserve"> emphasizing </w:t>
      </w:r>
      <w:r w:rsidRPr="008F3893">
        <w:rPr>
          <w:rFonts w:ascii="Times New Roman" w:hAnsi="Times New Roman"/>
          <w:i/>
          <w:iCs/>
          <w:sz w:val="22"/>
        </w:rPr>
        <w:t>lectio</w:t>
      </w:r>
      <w:r w:rsidRPr="008F3893">
        <w:rPr>
          <w:rFonts w:ascii="Times New Roman" w:hAnsi="Times New Roman"/>
          <w:sz w:val="22"/>
        </w:rPr>
        <w:t xml:space="preserve">, </w:t>
      </w:r>
      <w:r w:rsidRPr="008F3893">
        <w:rPr>
          <w:rFonts w:ascii="Times New Roman" w:hAnsi="Times New Roman"/>
          <w:i/>
          <w:iCs/>
          <w:sz w:val="22"/>
        </w:rPr>
        <w:t>oratio</w:t>
      </w:r>
      <w:r w:rsidRPr="008F3893">
        <w:rPr>
          <w:rFonts w:ascii="Times New Roman" w:hAnsi="Times New Roman"/>
          <w:sz w:val="22"/>
        </w:rPr>
        <w:t xml:space="preserve">, </w:t>
      </w:r>
      <w:r w:rsidRPr="008F3893">
        <w:rPr>
          <w:rFonts w:ascii="Times New Roman" w:hAnsi="Times New Roman"/>
          <w:i/>
          <w:iCs/>
          <w:sz w:val="22"/>
        </w:rPr>
        <w:t>meditatio</w:t>
      </w:r>
      <w:r w:rsidRPr="008F3893">
        <w:rPr>
          <w:rFonts w:ascii="Times New Roman" w:hAnsi="Times New Roman"/>
          <w:sz w:val="22"/>
        </w:rPr>
        <w:t xml:space="preserve">, and </w:t>
      </w:r>
      <w:r w:rsidRPr="008F3893">
        <w:rPr>
          <w:rFonts w:ascii="Times New Roman" w:hAnsi="Times New Roman"/>
          <w:i/>
          <w:iCs/>
          <w:sz w:val="22"/>
        </w:rPr>
        <w:t>contemplatio</w:t>
      </w:r>
      <w:r w:rsidRPr="008F3893">
        <w:rPr>
          <w:rFonts w:ascii="Times New Roman" w:hAnsi="Times New Roman"/>
          <w:sz w:val="22"/>
        </w:rPr>
        <w:t>. Franciscan mysticism, alongside Dominican females, redirected emphasis from reading to more literal interpretations, reducing speculative spiritual approaches but retaining the spiritual sense's vitality.</w:t>
      </w:r>
      <w:r>
        <w:rPr>
          <w:rFonts w:ascii="Times New Roman" w:hAnsi="Times New Roman"/>
          <w:sz w:val="22"/>
        </w:rPr>
        <w:t xml:space="preserve"> </w:t>
      </w:r>
      <w:r w:rsidRPr="008F3893">
        <w:rPr>
          <w:rFonts w:ascii="Times New Roman" w:hAnsi="Times New Roman"/>
          <w:b/>
          <w:bCs/>
          <w:sz w:val="22"/>
        </w:rPr>
        <w:t>Joachim of Fiore and Historical Epochs</w:t>
      </w:r>
      <w:r>
        <w:rPr>
          <w:rFonts w:ascii="Times New Roman" w:hAnsi="Times New Roman"/>
          <w:b/>
          <w:bCs/>
          <w:sz w:val="22"/>
        </w:rPr>
        <w:t xml:space="preserve">. </w:t>
      </w:r>
      <w:r w:rsidRPr="008F3893">
        <w:rPr>
          <w:rFonts w:ascii="Times New Roman" w:hAnsi="Times New Roman"/>
          <w:sz w:val="22"/>
        </w:rPr>
        <w:t xml:space="preserve">Joachim of Fiore’s ideas on historical epochs </w:t>
      </w:r>
      <w:r>
        <w:rPr>
          <w:rFonts w:ascii="Times New Roman" w:hAnsi="Times New Roman"/>
          <w:sz w:val="22"/>
        </w:rPr>
        <w:t xml:space="preserve">of the Trinity </w:t>
      </w:r>
      <w:r w:rsidRPr="008F3893">
        <w:rPr>
          <w:rFonts w:ascii="Times New Roman" w:hAnsi="Times New Roman"/>
          <w:sz w:val="22"/>
        </w:rPr>
        <w:t>sparked debate on spiritual interpretation. His concept of four epochs tied to cardinal virtues was at odds with Aquinas, who dismissed such speculative methods and rejected the notion of a third age of perfection, reflecting a shift away from some spiritual interpretations.</w:t>
      </w:r>
    </w:p>
    <w:p w:rsidR="008F3893" w:rsidRPr="008F3893" w:rsidRDefault="008F3893" w:rsidP="008F3893">
      <w:pPr>
        <w:jc w:val="both"/>
        <w:rPr>
          <w:sz w:val="24"/>
        </w:rPr>
      </w:pPr>
      <w:r w:rsidRPr="008F3893">
        <w:rPr>
          <w:rFonts w:ascii="Times New Roman" w:hAnsi="Times New Roman"/>
          <w:b/>
          <w:bCs/>
          <w:sz w:val="22"/>
        </w:rPr>
        <w:t xml:space="preserve">III. </w:t>
      </w:r>
      <w:r w:rsidRPr="008F3893">
        <w:rPr>
          <w:rFonts w:ascii="Times New Roman" w:hAnsi="Times New Roman"/>
          <w:b/>
          <w:bCs/>
          <w:sz w:val="22"/>
        </w:rPr>
        <w:t>Aristotle and the Letter</w:t>
      </w:r>
      <w:r>
        <w:rPr>
          <w:rFonts w:ascii="Times New Roman" w:hAnsi="Times New Roman"/>
          <w:b/>
          <w:bCs/>
          <w:sz w:val="22"/>
        </w:rPr>
        <w:t xml:space="preserve">. </w:t>
      </w:r>
      <w:r>
        <w:rPr>
          <w:rFonts w:ascii="Times New Roman" w:hAnsi="Times New Roman"/>
          <w:sz w:val="22"/>
        </w:rPr>
        <w:t xml:space="preserve"> </w:t>
      </w:r>
      <w:r w:rsidRPr="008F3893">
        <w:rPr>
          <w:rFonts w:ascii="Times New Roman" w:hAnsi="Times New Roman"/>
          <w:sz w:val="22"/>
        </w:rPr>
        <w:t>Aristotle posited that substance is known through sensible manifestations, a concept applied by Aquinas. He proposed that the spirit is accidental, not hidden within the letter, with God as the primary author of Scripture and human authors as secondary. This framework led to scientific studies of authors and shifted Scripture from being seen as universal truth. Theology became more argumentative and speculative, drawing from precursors like Maimonides, who advocated using reason over mystery.</w:t>
      </w:r>
      <w:r>
        <w:rPr>
          <w:rFonts w:ascii="Times New Roman" w:hAnsi="Times New Roman"/>
          <w:sz w:val="22"/>
        </w:rPr>
        <w:t xml:space="preserve"> </w:t>
      </w:r>
      <w:r w:rsidRPr="008F3893">
        <w:rPr>
          <w:rFonts w:ascii="Times New Roman" w:hAnsi="Times New Roman"/>
          <w:b/>
          <w:bCs/>
          <w:sz w:val="22"/>
        </w:rPr>
        <w:t>Literal and Spiritual Exegesis</w:t>
      </w:r>
      <w:r>
        <w:rPr>
          <w:rFonts w:ascii="Times New Roman" w:hAnsi="Times New Roman"/>
          <w:b/>
          <w:bCs/>
          <w:sz w:val="22"/>
        </w:rPr>
        <w:t xml:space="preserve">. </w:t>
      </w:r>
      <w:r w:rsidRPr="008F3893">
        <w:rPr>
          <w:rFonts w:ascii="Times New Roman" w:hAnsi="Times New Roman"/>
          <w:sz w:val="22"/>
        </w:rPr>
        <w:t>Figures such as Guerric of St. Quentin and Bonaventure focused on the literal sense, which, with St. Albert, became a complex goal rather than a preliminary step. Aquinas emphasized that while the human authors conveyed their meanings through words, God also expressed meaning through historical events. Only the Bible, having both divine and human authorship, could possess literal and spiritual senses. Aquinas argued that the spiritual sense lacked the object of scientific study, distinguishing literal from spiritual interpretations.</w:t>
      </w:r>
      <w:r>
        <w:rPr>
          <w:rFonts w:ascii="Times New Roman" w:hAnsi="Times New Roman"/>
          <w:sz w:val="22"/>
        </w:rPr>
        <w:t xml:space="preserve"> </w:t>
      </w:r>
      <w:r w:rsidRPr="008F3893">
        <w:rPr>
          <w:rFonts w:ascii="Times New Roman" w:hAnsi="Times New Roman"/>
          <w:b/>
          <w:bCs/>
          <w:sz w:val="22"/>
        </w:rPr>
        <w:t>Varying Interpretations</w:t>
      </w:r>
      <w:r>
        <w:rPr>
          <w:rFonts w:ascii="Times New Roman" w:hAnsi="Times New Roman"/>
          <w:b/>
          <w:bCs/>
          <w:sz w:val="22"/>
        </w:rPr>
        <w:t xml:space="preserve">. </w:t>
      </w:r>
      <w:r w:rsidRPr="008F3893">
        <w:rPr>
          <w:rFonts w:ascii="Times New Roman" w:hAnsi="Times New Roman"/>
          <w:sz w:val="22"/>
        </w:rPr>
        <w:t>Differing interpretations existed among scholars. Augustine viewed certain scriptural commands as devoid of literal meaning, while others like John the Scot and Gratian found symbolic or mysterious elements. Andrew and Langton inclined towards a literal sense but also included allegorical and moral interpretations. Aquinas maintained that law encompassed these three senses.</w:t>
      </w:r>
    </w:p>
    <w:p w:rsidR="008F3893" w:rsidRPr="008F3893" w:rsidRDefault="008F3893" w:rsidP="008F3893">
      <w:pPr>
        <w:jc w:val="both"/>
        <w:rPr>
          <w:sz w:val="24"/>
        </w:rPr>
      </w:pPr>
    </w:p>
    <w:p w:rsidR="008F3893" w:rsidRDefault="008F3893" w:rsidP="008F3893">
      <w:pPr>
        <w:jc w:val="both"/>
        <w:rPr>
          <w:sz w:val="24"/>
        </w:rPr>
      </w:pPr>
      <w:r w:rsidRPr="008F3893">
        <w:rPr>
          <w:rFonts w:ascii="Times New Roman" w:hAnsi="Times New Roman"/>
          <w:b/>
          <w:bCs/>
          <w:sz w:val="22"/>
        </w:rPr>
        <w:lastRenderedPageBreak/>
        <w:t xml:space="preserve">IV. </w:t>
      </w:r>
      <w:r w:rsidRPr="008F3893">
        <w:rPr>
          <w:rFonts w:ascii="Times New Roman" w:hAnsi="Times New Roman"/>
          <w:b/>
          <w:bCs/>
          <w:sz w:val="22"/>
        </w:rPr>
        <w:t xml:space="preserve">The </w:t>
      </w:r>
      <w:r w:rsidRPr="008F3893">
        <w:rPr>
          <w:rFonts w:ascii="Times New Roman" w:hAnsi="Times New Roman"/>
          <w:b/>
          <w:bCs/>
          <w:i/>
          <w:iCs/>
          <w:sz w:val="22"/>
        </w:rPr>
        <w:t>Libri Naturales</w:t>
      </w:r>
      <w:r w:rsidRPr="008F3893">
        <w:rPr>
          <w:rFonts w:ascii="Times New Roman" w:hAnsi="Times New Roman"/>
          <w:b/>
          <w:bCs/>
          <w:sz w:val="22"/>
        </w:rPr>
        <w:t>, Ethics, and Politics</w:t>
      </w:r>
      <w:r w:rsidRPr="008F3893">
        <w:rPr>
          <w:rFonts w:ascii="Times New Roman" w:hAnsi="Times New Roman"/>
          <w:b/>
          <w:bCs/>
          <w:sz w:val="22"/>
        </w:rPr>
        <w:t>.</w:t>
      </w:r>
      <w:r>
        <w:rPr>
          <w:rFonts w:ascii="Times New Roman" w:hAnsi="Times New Roman"/>
          <w:b/>
          <w:bCs/>
          <w:sz w:val="22"/>
        </w:rPr>
        <w:t xml:space="preserve"> A</w:t>
      </w:r>
      <w:r w:rsidRPr="008F3893">
        <w:rPr>
          <w:rFonts w:ascii="Times New Roman" w:hAnsi="Times New Roman"/>
          <w:sz w:val="22"/>
        </w:rPr>
        <w:t xml:space="preserve">ristotle's </w:t>
      </w:r>
      <w:r w:rsidRPr="008F3893">
        <w:rPr>
          <w:rFonts w:ascii="Times New Roman" w:hAnsi="Times New Roman"/>
          <w:i/>
          <w:iCs/>
          <w:sz w:val="22"/>
        </w:rPr>
        <w:t>Libri Naturales</w:t>
      </w:r>
      <w:r w:rsidRPr="008F3893">
        <w:rPr>
          <w:rFonts w:ascii="Times New Roman" w:hAnsi="Times New Roman"/>
          <w:sz w:val="22"/>
        </w:rPr>
        <w:t xml:space="preserve"> were eventually compared with Biblical science, offering new perspectives. Misconceptions in interpretations were addressed, and both Friars Preacher and Minor showed interest, with more exploration happening at Oxford than Paris.</w:t>
      </w:r>
      <w:r>
        <w:rPr>
          <w:rFonts w:ascii="Times New Roman" w:hAnsi="Times New Roman"/>
          <w:sz w:val="22"/>
        </w:rPr>
        <w:t xml:space="preserve"> </w:t>
      </w:r>
      <w:r w:rsidRPr="008F3893">
        <w:rPr>
          <w:rFonts w:ascii="Times New Roman" w:hAnsi="Times New Roman"/>
          <w:b/>
          <w:bCs/>
          <w:sz w:val="22"/>
        </w:rPr>
        <w:t>Paris and Oxford Approaches</w:t>
      </w:r>
      <w:r>
        <w:rPr>
          <w:rFonts w:ascii="Times New Roman" w:hAnsi="Times New Roman"/>
          <w:b/>
          <w:bCs/>
          <w:sz w:val="22"/>
        </w:rPr>
        <w:t xml:space="preserve">. </w:t>
      </w:r>
      <w:r w:rsidRPr="008F3893">
        <w:rPr>
          <w:rFonts w:ascii="Times New Roman" w:hAnsi="Times New Roman"/>
          <w:sz w:val="22"/>
        </w:rPr>
        <w:t>In Paris, theologians like Bonaventure adopted a metaphysical outlook, while in Oxford, figures like Grosseteste and Bacon emphasized natural science's importance. Discussions included natural objects in the Bible, illustrating an evolving understanding. Simon of Hinton, among others, quoted texts from diverse sources like Avicenna and Maimonides.</w:t>
      </w:r>
      <w:r>
        <w:rPr>
          <w:rFonts w:ascii="Times New Roman" w:hAnsi="Times New Roman"/>
          <w:sz w:val="22"/>
        </w:rPr>
        <w:t xml:space="preserve"> </w:t>
      </w:r>
      <w:r w:rsidRPr="008F3893">
        <w:rPr>
          <w:rFonts w:ascii="Times New Roman" w:hAnsi="Times New Roman"/>
          <w:b/>
          <w:bCs/>
          <w:sz w:val="22"/>
        </w:rPr>
        <w:t>Political Insights</w:t>
      </w:r>
      <w:r>
        <w:rPr>
          <w:rFonts w:ascii="Times New Roman" w:hAnsi="Times New Roman"/>
          <w:b/>
          <w:bCs/>
          <w:sz w:val="22"/>
        </w:rPr>
        <w:t xml:space="preserve">. </w:t>
      </w:r>
      <w:r w:rsidRPr="008F3893">
        <w:rPr>
          <w:rFonts w:ascii="Times New Roman" w:hAnsi="Times New Roman"/>
          <w:sz w:val="22"/>
        </w:rPr>
        <w:t xml:space="preserve">Aristotle’s </w:t>
      </w:r>
      <w:r w:rsidRPr="008F3893">
        <w:rPr>
          <w:rFonts w:ascii="Times New Roman" w:hAnsi="Times New Roman"/>
          <w:i/>
          <w:iCs/>
          <w:sz w:val="22"/>
        </w:rPr>
        <w:t>Politics</w:t>
      </w:r>
      <w:r w:rsidRPr="008F3893">
        <w:rPr>
          <w:rFonts w:ascii="Times New Roman" w:hAnsi="Times New Roman"/>
          <w:sz w:val="22"/>
        </w:rPr>
        <w:t xml:space="preserve"> was only quoted in biblical works towards the end of the 13th century, providing a framework for discussing biblical texts, particularly the books of Solomon. Seneca was the most quoted author of the time, with discussions surrounding politics included in </w:t>
      </w:r>
      <w:r w:rsidRPr="008F3893">
        <w:rPr>
          <w:rFonts w:ascii="Times New Roman" w:hAnsi="Times New Roman"/>
          <w:i/>
          <w:iCs/>
          <w:sz w:val="22"/>
        </w:rPr>
        <w:t>postills</w:t>
      </w:r>
      <w:r w:rsidRPr="008F3893">
        <w:rPr>
          <w:rFonts w:ascii="Times New Roman" w:hAnsi="Times New Roman"/>
          <w:sz w:val="22"/>
        </w:rPr>
        <w:t>.</w:t>
      </w:r>
      <w:r>
        <w:rPr>
          <w:rFonts w:ascii="Times New Roman" w:hAnsi="Times New Roman"/>
          <w:sz w:val="22"/>
        </w:rPr>
        <w:t xml:space="preserve"> </w:t>
      </w:r>
    </w:p>
    <w:p w:rsidR="008F3893" w:rsidRPr="00B238B7" w:rsidRDefault="008F3893" w:rsidP="008F3893">
      <w:pPr>
        <w:jc w:val="both"/>
        <w:rPr>
          <w:sz w:val="24"/>
        </w:rPr>
      </w:pPr>
      <w:r w:rsidRPr="008F3893">
        <w:rPr>
          <w:rFonts w:ascii="Times New Roman" w:hAnsi="Times New Roman"/>
          <w:b/>
          <w:bCs/>
          <w:sz w:val="22"/>
        </w:rPr>
        <w:t>V.</w:t>
      </w:r>
      <w:r>
        <w:rPr>
          <w:rFonts w:ascii="Times New Roman" w:hAnsi="Times New Roman"/>
          <w:sz w:val="22"/>
        </w:rPr>
        <w:t xml:space="preserve"> </w:t>
      </w:r>
      <w:r w:rsidRPr="008F3893">
        <w:rPr>
          <w:rFonts w:ascii="Times New Roman" w:hAnsi="Times New Roman"/>
          <w:b/>
          <w:bCs/>
          <w:sz w:val="22"/>
        </w:rPr>
        <w:t>Hebraica Veritas</w:t>
      </w:r>
      <w:r>
        <w:rPr>
          <w:rFonts w:ascii="Times New Roman" w:hAnsi="Times New Roman"/>
          <w:b/>
          <w:bCs/>
          <w:sz w:val="22"/>
        </w:rPr>
        <w:t xml:space="preserve">. </w:t>
      </w:r>
      <w:r w:rsidRPr="008F3893">
        <w:rPr>
          <w:rFonts w:ascii="Times New Roman" w:hAnsi="Times New Roman"/>
          <w:sz w:val="22"/>
        </w:rPr>
        <w:t xml:space="preserve">Aristotle’s view that things themselves are not cryptograms informed </w:t>
      </w:r>
      <w:r w:rsidRPr="008F3893">
        <w:rPr>
          <w:rFonts w:ascii="Times New Roman" w:hAnsi="Times New Roman"/>
          <w:i/>
          <w:iCs/>
          <w:sz w:val="22"/>
        </w:rPr>
        <w:t>new exegetical methods</w:t>
      </w:r>
      <w:r w:rsidRPr="008F3893">
        <w:rPr>
          <w:rFonts w:ascii="Times New Roman" w:hAnsi="Times New Roman"/>
          <w:sz w:val="22"/>
        </w:rPr>
        <w:t>. Robert Bacon criticized the scholastic method for its arbitrariness and lack of scientific Bible study. He advocated for a return to patristic sources, the restoration of Latin texts, and fostered the study of Greek and Hebrew.</w:t>
      </w:r>
      <w:r>
        <w:rPr>
          <w:rFonts w:ascii="Times New Roman" w:hAnsi="Times New Roman"/>
          <w:sz w:val="22"/>
        </w:rPr>
        <w:t xml:space="preserve"> </w:t>
      </w:r>
      <w:r w:rsidRPr="008F3893">
        <w:rPr>
          <w:rFonts w:ascii="Times New Roman" w:hAnsi="Times New Roman"/>
          <w:b/>
          <w:bCs/>
          <w:sz w:val="22"/>
        </w:rPr>
        <w:t>Textual Criticism and Language</w:t>
      </w:r>
      <w:r>
        <w:rPr>
          <w:rFonts w:ascii="Times New Roman" w:hAnsi="Times New Roman"/>
          <w:b/>
          <w:bCs/>
          <w:sz w:val="22"/>
        </w:rPr>
        <w:t xml:space="preserve">. </w:t>
      </w:r>
      <w:r w:rsidRPr="008F3893">
        <w:rPr>
          <w:rFonts w:ascii="Times New Roman" w:hAnsi="Times New Roman"/>
          <w:sz w:val="22"/>
        </w:rPr>
        <w:t xml:space="preserve">There was a gradual standardization of chapter divisions, and </w:t>
      </w:r>
      <w:r w:rsidRPr="008F3893">
        <w:rPr>
          <w:rFonts w:ascii="Times New Roman" w:hAnsi="Times New Roman"/>
          <w:i/>
          <w:iCs/>
          <w:sz w:val="22"/>
        </w:rPr>
        <w:t>postills</w:t>
      </w:r>
      <w:r w:rsidRPr="008F3893">
        <w:rPr>
          <w:rFonts w:ascii="Times New Roman" w:hAnsi="Times New Roman"/>
          <w:sz w:val="22"/>
        </w:rPr>
        <w:t xml:space="preserve"> began referencing Hebrew texts and rabbinic tradition. An expanding discourse on evidence such as translations and textual corrections showed an increased familiarity with Hebrew, Greek texts, and rabbinic sources in 13th-century exegesis.</w:t>
      </w:r>
    </w:p>
    <w:sectPr w:rsidR="008F3893" w:rsidRPr="00B238B7">
      <w:headerReference w:type="default" r:id="rId8"/>
      <w:footerReference w:type="default" r:id="rI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SmaB</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The Study of the Bible in the Middle Ages</w:t>
      <w:tab/>
      <w:t>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BB7456"/>
    <w:multiLevelType w:val="hybridMultilevel"/>
    <w:tmpl w:val="CCD002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1979B0"/>
    <w:multiLevelType w:val="hybridMultilevel"/>
    <w:tmpl w:val="5F720656"/>
    <w:lvl w:ilvl="0" w:tplc="8CC00EF6">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0B23D68"/>
    <w:multiLevelType w:val="hybridMultilevel"/>
    <w:tmpl w:val="F050BC82"/>
    <w:lvl w:ilvl="0" w:tplc="226AB428">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2835570">
    <w:abstractNumId w:val="0"/>
  </w:num>
  <w:num w:numId="2" w16cid:durableId="1489788395">
    <w:abstractNumId w:val="1"/>
  </w:num>
  <w:num w:numId="3" w16cid:durableId="4007614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8B7"/>
    <w:rsid w:val="00282F99"/>
    <w:rsid w:val="00293AB2"/>
    <w:rsid w:val="003F0DD2"/>
    <w:rsid w:val="008F3893"/>
    <w:rsid w:val="00920C7D"/>
    <w:rsid w:val="00A57F40"/>
    <w:rsid w:val="00AA008D"/>
    <w:rsid w:val="00B238B7"/>
    <w:rsid w:val="00C71276"/>
    <w:rsid w:val="00DE2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2E7DBE"/>
  <w15:chartTrackingRefBased/>
  <w15:docId w15:val="{38721FDD-2B1E-D940-80D7-6EFC4FB60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38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3662</Words>
  <Characters>20878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2</cp:revision>
  <dcterms:created xsi:type="dcterms:W3CDTF">2024-11-20T17:20:00Z</dcterms:created>
  <dcterms:modified xsi:type="dcterms:W3CDTF">2024-11-20T17:20:00Z</dcterms:modified>
</cp:coreProperties>
</file>