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A1035" w:rsidRPr="001A1035" w:rsidRDefault="001A1035" w:rsidP="003A0CF6">
      <w:pPr>
        <w:jc w:val="both"/>
        <w:rPr>
          <w:b/>
          <w:bCs/>
          <w:sz w:val="24"/>
        </w:rPr>
      </w:pPr>
      <w:r w:rsidRPr="001A1035">
        <w:rPr>
          <w:rFonts w:ascii="Times New Roman" w:hAnsi="Times New Roman"/>
          <w:b/>
          <w:bCs/>
          <w:sz w:val="22"/>
        </w:rPr>
        <w:t>Gereformeerde Dogmatiek (Antropologie) – Herman Bavinck</w:t>
      </w:r>
    </w:p>
    <w:p w:rsidR="003A0CF6" w:rsidRPr="001A1035" w:rsidRDefault="003A0CF6" w:rsidP="003A0CF6">
      <w:pPr>
        <w:jc w:val="both"/>
        <w:rPr>
          <w:b/>
          <w:bCs/>
          <w:sz w:val="24"/>
        </w:rPr>
      </w:pPr>
      <w:r w:rsidRPr="001A1035">
        <w:rPr>
          <w:rFonts w:ascii="Times New Roman" w:hAnsi="Times New Roman"/>
          <w:b/>
          <w:bCs/>
          <w:sz w:val="22"/>
        </w:rPr>
        <w:t>36. De Oorsprong van de Mens (The Origin of Man)</w:t>
      </w:r>
    </w:p>
    <w:p w:rsidR="003A0CF6" w:rsidRPr="001A1035" w:rsidRDefault="003A0CF6" w:rsidP="003A0CF6">
      <w:pPr>
        <w:jc w:val="both"/>
        <w:rPr>
          <w:sz w:val="24"/>
        </w:rPr>
      </w:pPr>
      <w:r w:rsidRPr="001A1035">
        <w:rPr>
          <w:rFonts w:ascii="Times New Roman" w:hAnsi="Times New Roman"/>
          <w:sz w:val="22"/>
        </w:rPr>
        <w:t xml:space="preserve">The creation of humanity marks the apex of the creative process, where the spiritual and material worlds intersect. According to the Genesis accounts, humans are distinctively made in God’s image through deliberate creation, tasked with dominion over nature, unlike animals created by divine command. </w:t>
      </w:r>
      <w:r w:rsidRPr="001A1035">
        <w:rPr>
          <w:rFonts w:ascii="Times New Roman" w:hAnsi="Times New Roman"/>
          <w:b/>
          <w:bCs/>
          <w:sz w:val="22"/>
        </w:rPr>
        <w:t>Cosmology and Anthropology.</w:t>
      </w:r>
      <w:r w:rsidRPr="001A1035">
        <w:rPr>
          <w:rFonts w:ascii="Times New Roman" w:hAnsi="Times New Roman"/>
          <w:sz w:val="22"/>
        </w:rPr>
        <w:t xml:space="preserve"> Humanity is positioned as the culmination of creation, serving as the final purpose and the zenith of nature’s process. In this context, cosmology addresses humanity's place within the universe, while anthropology focuses on man's unique creation and his beginning in history. </w:t>
      </w:r>
      <w:r w:rsidRPr="001A1035">
        <w:rPr>
          <w:rFonts w:ascii="Times New Roman" w:hAnsi="Times New Roman"/>
          <w:b/>
          <w:bCs/>
          <w:sz w:val="22"/>
        </w:rPr>
        <w:t>Myths and Darwinism.</w:t>
      </w:r>
      <w:r w:rsidRPr="001A1035">
        <w:rPr>
          <w:rFonts w:ascii="Times New Roman" w:hAnsi="Times New Roman"/>
          <w:sz w:val="22"/>
        </w:rPr>
        <w:t xml:space="preserve"> Myths portray human origins through figures like demigods, but modern theories like Darwinian evolution dominate contemporary discourse. Darwinism, emphasizing natural selection and gradual evolution, contends that species, including humans, evolve over time. However, the reductionist materialism and naturalism of Darwinism face criticism for ignoring the spiritual and unique aspects of human origin.</w:t>
      </w:r>
    </w:p>
    <w:p w:rsidR="003A0CF6" w:rsidRPr="001A1035" w:rsidRDefault="003A0CF6" w:rsidP="003A0CF6">
      <w:pPr>
        <w:jc w:val="both"/>
        <w:rPr>
          <w:sz w:val="24"/>
        </w:rPr>
      </w:pPr>
      <w:r w:rsidRPr="001A1035">
        <w:rPr>
          <w:rFonts w:ascii="Times New Roman" w:hAnsi="Times New Roman"/>
          <w:b/>
          <w:bCs/>
          <w:sz w:val="22"/>
        </w:rPr>
        <w:t>279.</w:t>
      </w:r>
      <w:r w:rsidRPr="001A1035">
        <w:rPr>
          <w:rFonts w:ascii="Times New Roman" w:hAnsi="Times New Roman"/>
          <w:sz w:val="22"/>
        </w:rPr>
        <w:t xml:space="preserve"> </w:t>
      </w:r>
      <w:r w:rsidRPr="001A1035">
        <w:rPr>
          <w:rFonts w:ascii="Times New Roman" w:hAnsi="Times New Roman"/>
          <w:b/>
          <w:bCs/>
          <w:sz w:val="22"/>
        </w:rPr>
        <w:t>The Critique of Darwinism.</w:t>
      </w:r>
      <w:r w:rsidRPr="001A1035">
        <w:rPr>
          <w:rFonts w:ascii="Times New Roman" w:hAnsi="Times New Roman"/>
          <w:sz w:val="22"/>
        </w:rPr>
        <w:t xml:space="preserve"> Darwinism remains a popular overarching framework but struggles to convincingly explain human origins or the distinct characteristics of humans compared to animals. Even scientists contest the theory of common descent due to its failure to provide conclusive evidence for species transitions or adequately account for the complexity of human attributes like consciousness, language, and morality. </w:t>
      </w:r>
      <w:r w:rsidRPr="001A1035">
        <w:rPr>
          <w:rFonts w:ascii="Times New Roman" w:hAnsi="Times New Roman"/>
          <w:b/>
          <w:bCs/>
          <w:sz w:val="22"/>
        </w:rPr>
        <w:t>Issues with Darwinism.</w:t>
      </w:r>
      <w:r w:rsidRPr="001A1035">
        <w:rPr>
          <w:rFonts w:ascii="Times New Roman" w:hAnsi="Times New Roman"/>
          <w:sz w:val="22"/>
        </w:rPr>
        <w:t xml:space="preserve"> Darwinism doesn't comprehensively address the development of complex organisms or distinguish clearly between humans and animals. The absence of evidence for gradual transitions between species, alongside inconclusive paleontology and non-beneficial mutations, weakens Darwinism’s explanatory power regarding human origins.</w:t>
      </w:r>
    </w:p>
    <w:p w:rsidR="003A0CF6" w:rsidRPr="001A1035" w:rsidRDefault="003A0CF6" w:rsidP="003A0CF6">
      <w:pPr>
        <w:jc w:val="both"/>
        <w:rPr>
          <w:sz w:val="24"/>
        </w:rPr>
      </w:pPr>
      <w:r w:rsidRPr="001A1035">
        <w:rPr>
          <w:rFonts w:ascii="Times New Roman" w:hAnsi="Times New Roman"/>
          <w:b/>
          <w:bCs/>
          <w:sz w:val="22"/>
        </w:rPr>
        <w:t>280. Challenges to the Theory.</w:t>
      </w:r>
      <w:r w:rsidRPr="001A1035">
        <w:rPr>
          <w:rFonts w:ascii="Times New Roman" w:hAnsi="Times New Roman"/>
          <w:sz w:val="22"/>
        </w:rPr>
        <w:t xml:space="preserve"> There is significant opposition to Darwinism due to its inability to provide positive empirical evidence for its claims about human origin. Critics point out that it cannot explain phenomena like language, social structures, consciousness, religion, and morality, which are integral to human identity.</w:t>
      </w:r>
    </w:p>
    <w:p w:rsidR="003A0CF6" w:rsidRPr="001A1035" w:rsidRDefault="003A0CF6" w:rsidP="003A0CF6">
      <w:pPr>
        <w:jc w:val="both"/>
        <w:rPr>
          <w:sz w:val="24"/>
        </w:rPr>
      </w:pPr>
      <w:r w:rsidRPr="001A1035">
        <w:rPr>
          <w:rFonts w:ascii="Times New Roman" w:hAnsi="Times New Roman"/>
          <w:b/>
          <w:bCs/>
          <w:sz w:val="22"/>
        </w:rPr>
        <w:t>281. Age and Unity of Humankind.</w:t>
      </w:r>
      <w:r w:rsidRPr="001A1035">
        <w:rPr>
          <w:rFonts w:ascii="Times New Roman" w:hAnsi="Times New Roman"/>
          <w:sz w:val="22"/>
        </w:rPr>
        <w:t xml:space="preserve"> The scientific and theological communities lack consensus on the timeline and unity of human existence. Scripturally, Adam is depicted as the first human and the progenitor of all, contrasting with speculative theories like pre-Adamism, which often harbor problematic implications, such as justifying racial hierarchy.</w:t>
      </w:r>
    </w:p>
    <w:p w:rsidR="003A0CF6" w:rsidRPr="001A1035" w:rsidRDefault="003A0CF6" w:rsidP="003A0CF6">
      <w:pPr>
        <w:jc w:val="both"/>
        <w:rPr>
          <w:sz w:val="24"/>
        </w:rPr>
      </w:pPr>
      <w:r w:rsidRPr="001A1035">
        <w:rPr>
          <w:rFonts w:ascii="Times New Roman" w:hAnsi="Times New Roman"/>
          <w:b/>
          <w:bCs/>
          <w:sz w:val="22"/>
        </w:rPr>
        <w:t>282. Adam's Role and Pre-Adamism.</w:t>
      </w:r>
      <w:r w:rsidRPr="001A1035">
        <w:rPr>
          <w:rFonts w:ascii="Times New Roman" w:hAnsi="Times New Roman"/>
          <w:sz w:val="22"/>
        </w:rPr>
        <w:t xml:space="preserve"> Adam’s role as humanity's sole ancestor reinforces the unity and connectedness of the human race. Pre-Adamism, a theory suggesting multiple or parallel origins, often carries racist undertones and is seen as contradictory to the biblical narrative of human origin.</w:t>
      </w:r>
    </w:p>
    <w:p w:rsidR="003A0CF6" w:rsidRPr="001A1035" w:rsidRDefault="003A0CF6" w:rsidP="003A0CF6">
      <w:pPr>
        <w:jc w:val="both"/>
        <w:rPr>
          <w:sz w:val="24"/>
        </w:rPr>
      </w:pPr>
      <w:r w:rsidRPr="001A1035">
        <w:rPr>
          <w:rFonts w:ascii="Times New Roman" w:hAnsi="Times New Roman"/>
          <w:b/>
          <w:bCs/>
          <w:sz w:val="22"/>
        </w:rPr>
        <w:t xml:space="preserve">283. </w:t>
      </w:r>
      <w:r w:rsidRPr="001A1035">
        <w:rPr>
          <w:rFonts w:ascii="Times New Roman" w:hAnsi="Times New Roman"/>
          <w:sz w:val="22"/>
        </w:rPr>
        <w:t>Origin of Mankind: According to Genesis, humanity originated in Eden, situated near the Tigris and Euphrates rivers, presenting a specific geographic origin in biblical terms. However, scientific discourse from Bavinck’s era offered a range of speculative origins without reaching consensus.</w:t>
      </w:r>
    </w:p>
    <w:p w:rsidR="003A0CF6" w:rsidRPr="001A1035" w:rsidRDefault="003A0CF6" w:rsidP="003A0CF6">
      <w:pPr>
        <w:jc w:val="both"/>
        <w:rPr>
          <w:b/>
          <w:bCs/>
          <w:sz w:val="24"/>
        </w:rPr>
      </w:pPr>
      <w:r w:rsidRPr="001A1035">
        <w:rPr>
          <w:rFonts w:ascii="Times New Roman" w:hAnsi="Times New Roman"/>
          <w:b/>
          <w:bCs/>
          <w:sz w:val="22"/>
        </w:rPr>
        <w:t>37. Het Wezen van de Mens (The Nature of Man).</w:t>
      </w:r>
    </w:p>
    <w:p w:rsidR="003A0CF6" w:rsidRPr="001A1035" w:rsidRDefault="003A0CF6" w:rsidP="003A0CF6">
      <w:pPr>
        <w:jc w:val="both"/>
        <w:rPr>
          <w:sz w:val="24"/>
        </w:rPr>
      </w:pPr>
      <w:r w:rsidRPr="001A1035">
        <w:rPr>
          <w:rFonts w:ascii="Times New Roman" w:hAnsi="Times New Roman"/>
          <w:b/>
          <w:bCs/>
          <w:sz w:val="22"/>
        </w:rPr>
        <w:t>284</w:t>
      </w:r>
      <w:r w:rsidR="001466C3" w:rsidRPr="001A1035">
        <w:rPr>
          <w:rFonts w:ascii="Times New Roman" w:hAnsi="Times New Roman"/>
          <w:b/>
          <w:bCs/>
          <w:sz w:val="22"/>
        </w:rPr>
        <w:t>-5</w:t>
      </w:r>
      <w:r w:rsidRPr="001A1035">
        <w:rPr>
          <w:rFonts w:ascii="Times New Roman" w:hAnsi="Times New Roman"/>
          <w:b/>
          <w:bCs/>
          <w:sz w:val="22"/>
        </w:rPr>
        <w:t>. Image of God.</w:t>
      </w:r>
      <w:r w:rsidRPr="001A1035">
        <w:rPr>
          <w:rFonts w:ascii="Times New Roman" w:hAnsi="Times New Roman"/>
          <w:sz w:val="22"/>
        </w:rPr>
        <w:t xml:space="preserve"> Humans, created as/in the image of God, reflect divine attributes like righteousness and holiness. This concept encompasses the whole of humanity, with Jesus as the absolute Image of God, while humans are relative images, being ectypes to God’s archetype. </w:t>
      </w:r>
      <w:r w:rsidRPr="001A1035">
        <w:rPr>
          <w:rFonts w:ascii="Times New Roman" w:hAnsi="Times New Roman"/>
          <w:b/>
          <w:bCs/>
          <w:sz w:val="22"/>
        </w:rPr>
        <w:t>Content of the Image.</w:t>
      </w:r>
      <w:r w:rsidRPr="001A1035">
        <w:rPr>
          <w:rFonts w:ascii="Times New Roman" w:hAnsi="Times New Roman"/>
          <w:sz w:val="22"/>
        </w:rPr>
        <w:t xml:space="preserve"> The image includes both physical and non-physical elements—body, rational nature, will, and moral attributes—highlighting a holistic similarity to God.</w:t>
      </w:r>
    </w:p>
    <w:p w:rsidR="003A0CF6" w:rsidRPr="001A1035" w:rsidRDefault="003A0CF6" w:rsidP="003A0CF6">
      <w:pPr>
        <w:jc w:val="both"/>
        <w:rPr>
          <w:sz w:val="24"/>
        </w:rPr>
      </w:pPr>
      <w:r w:rsidRPr="001A1035">
        <w:rPr>
          <w:rFonts w:ascii="Times New Roman" w:hAnsi="Times New Roman"/>
          <w:b/>
          <w:bCs/>
          <w:sz w:val="22"/>
        </w:rPr>
        <w:t>28</w:t>
      </w:r>
      <w:r w:rsidR="001466C3" w:rsidRPr="001A1035">
        <w:rPr>
          <w:rFonts w:ascii="Times New Roman" w:hAnsi="Times New Roman"/>
          <w:b/>
          <w:bCs/>
          <w:sz w:val="22"/>
        </w:rPr>
        <w:t>6</w:t>
      </w:r>
      <w:r w:rsidRPr="001A1035">
        <w:rPr>
          <w:rFonts w:ascii="Times New Roman" w:hAnsi="Times New Roman"/>
          <w:b/>
          <w:bCs/>
          <w:sz w:val="22"/>
        </w:rPr>
        <w:t>. Incompatibility with Evolution.</w:t>
      </w:r>
      <w:r w:rsidRPr="001A1035">
        <w:rPr>
          <w:rFonts w:ascii="Times New Roman" w:hAnsi="Times New Roman"/>
          <w:sz w:val="22"/>
        </w:rPr>
        <w:t xml:space="preserve"> The evolutionary concept of endless progression challenges the biblical doctrine of the image of God, undermining the theological status of humanity's divinely </w:t>
      </w:r>
      <w:r w:rsidRPr="001A1035">
        <w:rPr>
          <w:rFonts w:ascii="Times New Roman" w:hAnsi="Times New Roman"/>
          <w:sz w:val="22"/>
        </w:rPr>
        <w:lastRenderedPageBreak/>
        <w:t>endowed characteristics (</w:t>
      </w:r>
      <w:r w:rsidRPr="001A1035">
        <w:rPr>
          <w:rFonts w:ascii="Times New Roman" w:hAnsi="Times New Roman"/>
          <w:i/>
          <w:iCs/>
          <w:sz w:val="22"/>
        </w:rPr>
        <w:t>status integritatis</w:t>
      </w:r>
      <w:r w:rsidRPr="001A1035">
        <w:rPr>
          <w:rFonts w:ascii="Times New Roman" w:hAnsi="Times New Roman"/>
          <w:sz w:val="22"/>
        </w:rPr>
        <w:t xml:space="preserve"> and </w:t>
      </w:r>
      <w:r w:rsidRPr="001A1035">
        <w:rPr>
          <w:rFonts w:ascii="Times New Roman" w:hAnsi="Times New Roman"/>
          <w:i/>
          <w:iCs/>
          <w:sz w:val="22"/>
        </w:rPr>
        <w:t>imago Dei</w:t>
      </w:r>
      <w:r w:rsidRPr="001A1035">
        <w:rPr>
          <w:rFonts w:ascii="Times New Roman" w:hAnsi="Times New Roman"/>
          <w:sz w:val="22"/>
        </w:rPr>
        <w:t>). Scripture describes humanity as created psychically and physically mature, affirming humanity’s original righteousness and goodness.</w:t>
      </w:r>
    </w:p>
    <w:p w:rsidR="001466C3" w:rsidRPr="001A1035" w:rsidRDefault="001466C3" w:rsidP="001466C3">
      <w:pPr>
        <w:jc w:val="both"/>
        <w:rPr>
          <w:sz w:val="24"/>
        </w:rPr>
      </w:pPr>
      <w:r w:rsidRPr="001A1035">
        <w:rPr>
          <w:rFonts w:ascii="Times New Roman" w:hAnsi="Times New Roman"/>
          <w:sz w:val="22"/>
        </w:rPr>
        <w:t>Certainly, here's a more detailed and coherent summary of these sections from Bavinck's work, incorporating the original theological jargon:</w:t>
      </w:r>
    </w:p>
    <w:p w:rsidR="001466C3" w:rsidRPr="001A1035" w:rsidRDefault="001466C3" w:rsidP="001466C3">
      <w:pPr>
        <w:jc w:val="both"/>
        <w:rPr>
          <w:sz w:val="24"/>
        </w:rPr>
      </w:pPr>
      <w:r w:rsidRPr="001A1035">
        <w:rPr>
          <w:rFonts w:ascii="Times New Roman" w:hAnsi="Times New Roman"/>
          <w:b/>
          <w:bCs/>
          <w:sz w:val="22"/>
        </w:rPr>
        <w:t xml:space="preserve">287. Roman Supernaturalism. </w:t>
      </w:r>
      <w:r w:rsidRPr="001A1035">
        <w:rPr>
          <w:rFonts w:ascii="Times New Roman" w:hAnsi="Times New Roman"/>
          <w:sz w:val="22"/>
        </w:rPr>
        <w:t xml:space="preserve">The Roman Catholic understanding of humanity derives from the concept of </w:t>
      </w:r>
      <w:r w:rsidRPr="001A1035">
        <w:rPr>
          <w:rFonts w:ascii="Times New Roman" w:hAnsi="Times New Roman"/>
          <w:i/>
          <w:iCs/>
          <w:sz w:val="22"/>
        </w:rPr>
        <w:t>status gloriae</w:t>
      </w:r>
      <w:r w:rsidRPr="001A1035">
        <w:rPr>
          <w:rFonts w:ascii="Times New Roman" w:hAnsi="Times New Roman"/>
          <w:sz w:val="22"/>
        </w:rPr>
        <w:t xml:space="preserve">, emphasizing deification as a fundamental aim. This involves the idea of the </w:t>
      </w:r>
      <w:r w:rsidRPr="001A1035">
        <w:rPr>
          <w:rFonts w:ascii="Times New Roman" w:hAnsi="Times New Roman"/>
          <w:i/>
          <w:iCs/>
          <w:sz w:val="22"/>
        </w:rPr>
        <w:t>donum superadditum</w:t>
      </w:r>
      <w:r w:rsidRPr="001A1035">
        <w:rPr>
          <w:rFonts w:ascii="Times New Roman" w:hAnsi="Times New Roman"/>
          <w:sz w:val="22"/>
        </w:rPr>
        <w:t>, an additional gift that elevates human nature beyond its natural state. In this view, concupiscence, or the tension between flesh and spirit, is seen as a natural condition of humanity's current state.</w:t>
      </w:r>
    </w:p>
    <w:p w:rsidR="001466C3" w:rsidRPr="001A1035" w:rsidRDefault="001466C3" w:rsidP="001466C3">
      <w:pPr>
        <w:jc w:val="both"/>
        <w:rPr>
          <w:sz w:val="24"/>
        </w:rPr>
      </w:pPr>
      <w:r w:rsidRPr="001A1035">
        <w:rPr>
          <w:rFonts w:ascii="Times New Roman" w:hAnsi="Times New Roman"/>
          <w:b/>
          <w:bCs/>
          <w:sz w:val="22"/>
        </w:rPr>
        <w:t>288.</w:t>
      </w:r>
      <w:r w:rsidRPr="001A1035">
        <w:rPr>
          <w:rFonts w:ascii="Times New Roman" w:hAnsi="Times New Roman"/>
          <w:sz w:val="22"/>
        </w:rPr>
        <w:t xml:space="preserve"> In Roman Catholic doctrine, the </w:t>
      </w:r>
      <w:r w:rsidRPr="001A1035">
        <w:rPr>
          <w:rFonts w:ascii="Times New Roman" w:hAnsi="Times New Roman"/>
          <w:i/>
          <w:iCs/>
          <w:sz w:val="22"/>
        </w:rPr>
        <w:t>status gloriae</w:t>
      </w:r>
      <w:r w:rsidRPr="001A1035">
        <w:rPr>
          <w:rFonts w:ascii="Times New Roman" w:hAnsi="Times New Roman"/>
          <w:sz w:val="22"/>
        </w:rPr>
        <w:t xml:space="preserve"> and </w:t>
      </w:r>
      <w:r w:rsidRPr="001A1035">
        <w:rPr>
          <w:rFonts w:ascii="Times New Roman" w:hAnsi="Times New Roman"/>
          <w:i/>
          <w:iCs/>
          <w:sz w:val="22"/>
        </w:rPr>
        <w:t>status gratiae</w:t>
      </w:r>
      <w:r w:rsidRPr="001A1035">
        <w:rPr>
          <w:rFonts w:ascii="Times New Roman" w:hAnsi="Times New Roman"/>
          <w:sz w:val="22"/>
        </w:rPr>
        <w:t xml:space="preserve"> leads to the blending of the soul with God, anticipating heavenly glory. Scripturally, however, the benefits of Christ are accessible to believers here on earth in what the Reformed perspective would describe as an "earthly </w:t>
      </w:r>
      <w:r w:rsidRPr="001A1035">
        <w:rPr>
          <w:rFonts w:ascii="Times New Roman" w:hAnsi="Times New Roman"/>
          <w:i/>
          <w:iCs/>
          <w:sz w:val="22"/>
        </w:rPr>
        <w:t>status gloriae</w:t>
      </w:r>
      <w:r w:rsidRPr="001A1035">
        <w:rPr>
          <w:rFonts w:ascii="Times New Roman" w:hAnsi="Times New Roman"/>
          <w:sz w:val="22"/>
        </w:rPr>
        <w:t xml:space="preserve">," without needing additional supernatural or superadded gifts pre-fall. The Roman view introduces three concepts of humanity's righteousness. </w:t>
      </w:r>
      <w:r w:rsidRPr="001A1035">
        <w:rPr>
          <w:rFonts w:ascii="Times New Roman" w:hAnsi="Times New Roman"/>
          <w:i/>
          <w:iCs/>
          <w:sz w:val="22"/>
        </w:rPr>
        <w:t>Justitia naturalis</w:t>
      </w:r>
      <w:r w:rsidRPr="001A1035">
        <w:rPr>
          <w:rFonts w:ascii="Times New Roman" w:hAnsi="Times New Roman"/>
          <w:sz w:val="22"/>
        </w:rPr>
        <w:t xml:space="preserve">: Natural righteousness, where humans are subject to concupiscence but retain the capacity for good. </w:t>
      </w:r>
      <w:r w:rsidRPr="001A1035">
        <w:rPr>
          <w:rFonts w:ascii="Times New Roman" w:hAnsi="Times New Roman"/>
          <w:i/>
          <w:iCs/>
          <w:sz w:val="22"/>
        </w:rPr>
        <w:t>Justitia praeternaturalis</w:t>
      </w:r>
      <w:r w:rsidRPr="001A1035">
        <w:rPr>
          <w:rFonts w:ascii="Times New Roman" w:hAnsi="Times New Roman"/>
          <w:sz w:val="22"/>
        </w:rPr>
        <w:t xml:space="preserve">: Higher state, with the </w:t>
      </w:r>
      <w:r w:rsidRPr="001A1035">
        <w:rPr>
          <w:rFonts w:ascii="Times New Roman" w:hAnsi="Times New Roman"/>
          <w:i/>
          <w:iCs/>
          <w:sz w:val="22"/>
        </w:rPr>
        <w:t>donum integritatis</w:t>
      </w:r>
      <w:r w:rsidRPr="001A1035">
        <w:rPr>
          <w:rFonts w:ascii="Times New Roman" w:hAnsi="Times New Roman"/>
          <w:sz w:val="22"/>
        </w:rPr>
        <w:t xml:space="preserve"> granting elevation above concupiscence. </w:t>
      </w:r>
      <w:r w:rsidRPr="001A1035">
        <w:rPr>
          <w:rFonts w:ascii="Times New Roman" w:hAnsi="Times New Roman"/>
          <w:i/>
          <w:iCs/>
          <w:sz w:val="22"/>
        </w:rPr>
        <w:t>Justitia supernaturalis</w:t>
      </w:r>
      <w:r w:rsidRPr="001A1035">
        <w:rPr>
          <w:rFonts w:ascii="Times New Roman" w:hAnsi="Times New Roman"/>
          <w:sz w:val="22"/>
        </w:rPr>
        <w:t xml:space="preserve">: Supernatural righteousness, involving the </w:t>
      </w:r>
      <w:r w:rsidRPr="001A1035">
        <w:rPr>
          <w:rFonts w:ascii="Times New Roman" w:hAnsi="Times New Roman"/>
          <w:i/>
          <w:iCs/>
          <w:sz w:val="22"/>
        </w:rPr>
        <w:t>donum superadditum</w:t>
      </w:r>
      <w:r w:rsidRPr="001A1035">
        <w:rPr>
          <w:rFonts w:ascii="Times New Roman" w:hAnsi="Times New Roman"/>
          <w:sz w:val="22"/>
        </w:rPr>
        <w:t>. These imply a gradation between divine and human characteristics, suggesting the necessity of the Incarnation even pre-fall, without sin, because deification requires God to have become man.</w:t>
      </w:r>
    </w:p>
    <w:p w:rsidR="001466C3" w:rsidRPr="001A1035" w:rsidRDefault="001466C3" w:rsidP="001466C3">
      <w:pPr>
        <w:jc w:val="both"/>
        <w:rPr>
          <w:sz w:val="24"/>
        </w:rPr>
      </w:pPr>
      <w:r w:rsidRPr="001A1035">
        <w:rPr>
          <w:rFonts w:ascii="Times New Roman" w:hAnsi="Times New Roman"/>
          <w:b/>
          <w:bCs/>
          <w:sz w:val="22"/>
        </w:rPr>
        <w:t xml:space="preserve">289. Reformed Rejection of this Roman Doctrine. </w:t>
      </w:r>
      <w:r w:rsidRPr="001A1035">
        <w:rPr>
          <w:rFonts w:ascii="Times New Roman" w:hAnsi="Times New Roman"/>
          <w:sz w:val="22"/>
        </w:rPr>
        <w:t xml:space="preserve">Reformed theology rejects these Roman categories as they imply a weakening of the doctrine of original sin. Within Reformed traditions: </w:t>
      </w:r>
      <w:r w:rsidRPr="001A1035">
        <w:rPr>
          <w:rFonts w:ascii="Times New Roman" w:hAnsi="Times New Roman"/>
          <w:i/>
          <w:iCs/>
          <w:sz w:val="22"/>
        </w:rPr>
        <w:t>Hervormden</w:t>
      </w:r>
      <w:r w:rsidRPr="001A1035">
        <w:rPr>
          <w:rFonts w:ascii="Times New Roman" w:hAnsi="Times New Roman"/>
          <w:sz w:val="22"/>
        </w:rPr>
        <w:t xml:space="preserve"> emphasize partial retention or loss of the divine image; </w:t>
      </w:r>
      <w:r w:rsidRPr="001A1035">
        <w:rPr>
          <w:rFonts w:ascii="Times New Roman" w:hAnsi="Times New Roman"/>
          <w:i/>
          <w:iCs/>
          <w:sz w:val="22"/>
        </w:rPr>
        <w:t>Lutherans</w:t>
      </w:r>
      <w:r w:rsidRPr="001A1035">
        <w:rPr>
          <w:rFonts w:ascii="Times New Roman" w:hAnsi="Times New Roman"/>
          <w:sz w:val="22"/>
        </w:rPr>
        <w:t xml:space="preserve"> assert a total loss of the image of God, primarily considering its ethical component; and </w:t>
      </w:r>
      <w:r w:rsidRPr="001A1035">
        <w:rPr>
          <w:rFonts w:ascii="Times New Roman" w:hAnsi="Times New Roman"/>
          <w:i/>
          <w:iCs/>
          <w:sz w:val="22"/>
        </w:rPr>
        <w:t>Calvinists</w:t>
      </w:r>
      <w:r w:rsidRPr="001A1035">
        <w:rPr>
          <w:rFonts w:ascii="Times New Roman" w:hAnsi="Times New Roman"/>
          <w:sz w:val="22"/>
        </w:rPr>
        <w:t xml:space="preserve"> differentiate between </w:t>
      </w:r>
      <w:r w:rsidRPr="001A1035">
        <w:rPr>
          <w:rFonts w:ascii="Times New Roman" w:hAnsi="Times New Roman"/>
          <w:i/>
          <w:iCs/>
          <w:sz w:val="22"/>
        </w:rPr>
        <w:t>qualitates naturales</w:t>
      </w:r>
      <w:r w:rsidRPr="001A1035">
        <w:rPr>
          <w:rFonts w:ascii="Times New Roman" w:hAnsi="Times New Roman"/>
          <w:sz w:val="22"/>
        </w:rPr>
        <w:t xml:space="preserve"> (natural qualities) and </w:t>
      </w:r>
      <w:r w:rsidRPr="001A1035">
        <w:rPr>
          <w:rFonts w:ascii="Times New Roman" w:hAnsi="Times New Roman"/>
          <w:i/>
          <w:iCs/>
          <w:sz w:val="22"/>
        </w:rPr>
        <w:t>dona supernaturalia</w:t>
      </w:r>
      <w:r w:rsidRPr="001A1035">
        <w:rPr>
          <w:rFonts w:ascii="Times New Roman" w:hAnsi="Times New Roman"/>
          <w:sz w:val="22"/>
        </w:rPr>
        <w:t xml:space="preserve"> (supernatural gifts), highlighting distinctions between image (beeld) and likeness (gelijkenis). The </w:t>
      </w:r>
      <w:r w:rsidRPr="001A1035">
        <w:rPr>
          <w:rFonts w:ascii="Times New Roman" w:hAnsi="Times New Roman"/>
          <w:i/>
          <w:iCs/>
          <w:sz w:val="22"/>
        </w:rPr>
        <w:t>imago Dei</w:t>
      </w:r>
      <w:r w:rsidRPr="001A1035">
        <w:rPr>
          <w:rFonts w:ascii="Times New Roman" w:hAnsi="Times New Roman"/>
          <w:sz w:val="22"/>
        </w:rPr>
        <w:t xml:space="preserve"> is understood in both broad and narrow senses, explored further through the concept of the </w:t>
      </w:r>
      <w:r w:rsidRPr="001A1035">
        <w:rPr>
          <w:rFonts w:ascii="Times New Roman" w:hAnsi="Times New Roman"/>
          <w:i/>
          <w:iCs/>
          <w:sz w:val="22"/>
        </w:rPr>
        <w:t>foedus operum</w:t>
      </w:r>
      <w:r w:rsidRPr="001A1035">
        <w:rPr>
          <w:rFonts w:ascii="Times New Roman" w:hAnsi="Times New Roman"/>
          <w:sz w:val="22"/>
        </w:rPr>
        <w:t xml:space="preserve"> (covenant of works), which addresses the development and ultimate purpose of humanity.</w:t>
      </w:r>
    </w:p>
    <w:p w:rsidR="003A0CF6" w:rsidRPr="001A1035" w:rsidRDefault="001466C3" w:rsidP="003A0CF6">
      <w:pPr>
        <w:jc w:val="both"/>
        <w:rPr>
          <w:b/>
          <w:bCs/>
          <w:sz w:val="24"/>
        </w:rPr>
      </w:pPr>
      <w:r w:rsidRPr="001A1035">
        <w:rPr>
          <w:rFonts w:ascii="Times New Roman" w:hAnsi="Times New Roman"/>
          <w:b/>
          <w:bCs/>
          <w:sz w:val="22"/>
        </w:rPr>
        <w:t xml:space="preserve">290. Reformers. </w:t>
      </w:r>
      <w:r w:rsidRPr="001A1035">
        <w:rPr>
          <w:rFonts w:ascii="Times New Roman" w:hAnsi="Times New Roman"/>
          <w:sz w:val="22"/>
        </w:rPr>
        <w:t xml:space="preserve">Reformers equate </w:t>
      </w:r>
      <w:r w:rsidRPr="001A1035">
        <w:rPr>
          <w:rFonts w:ascii="Times New Roman" w:hAnsi="Times New Roman"/>
          <w:i/>
          <w:iCs/>
          <w:sz w:val="22"/>
        </w:rPr>
        <w:t>justitia originalis</w:t>
      </w:r>
      <w:r w:rsidRPr="001A1035">
        <w:rPr>
          <w:rFonts w:ascii="Times New Roman" w:hAnsi="Times New Roman"/>
          <w:sz w:val="22"/>
        </w:rPr>
        <w:t xml:space="preserve"> (original righteousness) with </w:t>
      </w:r>
      <w:r w:rsidRPr="001A1035">
        <w:rPr>
          <w:rFonts w:ascii="Times New Roman" w:hAnsi="Times New Roman"/>
          <w:i/>
          <w:iCs/>
          <w:sz w:val="22"/>
        </w:rPr>
        <w:t xml:space="preserve">justitia naturalis </w:t>
      </w:r>
      <w:r w:rsidRPr="001A1035">
        <w:rPr>
          <w:rFonts w:ascii="Times New Roman" w:hAnsi="Times New Roman"/>
          <w:sz w:val="22"/>
        </w:rPr>
        <w:t xml:space="preserve">in the pre-Fall condition, viewing it as an integral part of the Image of God. The fall leads to a partial loss of true humanness, but not a complete forfeiture of human identity. In contrast </w:t>
      </w:r>
      <w:r w:rsidRPr="001A1035">
        <w:rPr>
          <w:rFonts w:ascii="Times New Roman" w:hAnsi="Times New Roman"/>
          <w:i/>
          <w:iCs/>
          <w:sz w:val="22"/>
        </w:rPr>
        <w:t>Rome</w:t>
      </w:r>
      <w:r w:rsidRPr="001A1035">
        <w:rPr>
          <w:rFonts w:ascii="Times New Roman" w:hAnsi="Times New Roman"/>
          <w:sz w:val="22"/>
        </w:rPr>
        <w:t xml:space="preserve"> views the lost righteousness as </w:t>
      </w:r>
      <w:r w:rsidRPr="001A1035">
        <w:rPr>
          <w:rFonts w:ascii="Times New Roman" w:hAnsi="Times New Roman"/>
          <w:i/>
          <w:iCs/>
          <w:sz w:val="22"/>
        </w:rPr>
        <w:t>supernaturalis</w:t>
      </w:r>
      <w:r w:rsidRPr="001A1035">
        <w:rPr>
          <w:rFonts w:ascii="Times New Roman" w:hAnsi="Times New Roman"/>
          <w:sz w:val="22"/>
        </w:rPr>
        <w:t xml:space="preserve">, indicating that humans remain fully human after this loss. </w:t>
      </w:r>
      <w:r w:rsidRPr="001A1035">
        <w:rPr>
          <w:rFonts w:ascii="Times New Roman" w:hAnsi="Times New Roman"/>
          <w:i/>
          <w:iCs/>
          <w:sz w:val="22"/>
        </w:rPr>
        <w:t>Lutherans</w:t>
      </w:r>
      <w:r w:rsidRPr="001A1035">
        <w:rPr>
          <w:rFonts w:ascii="Times New Roman" w:hAnsi="Times New Roman"/>
          <w:sz w:val="22"/>
        </w:rPr>
        <w:t xml:space="preserve"> maintain that the Image of God, equated with </w:t>
      </w:r>
      <w:r w:rsidRPr="001A1035">
        <w:rPr>
          <w:rFonts w:ascii="Times New Roman" w:hAnsi="Times New Roman"/>
          <w:i/>
          <w:iCs/>
          <w:sz w:val="22"/>
        </w:rPr>
        <w:t>justitia originalis</w:t>
      </w:r>
      <w:r w:rsidRPr="001A1035">
        <w:rPr>
          <w:rFonts w:ascii="Times New Roman" w:hAnsi="Times New Roman"/>
          <w:sz w:val="22"/>
        </w:rPr>
        <w:t>, was completely lost post-fall. This nuanced understanding emphasizes the partial retention of humanity's divine image and the implications for human nature in both Reformed and Lutheran perspectives, contrasting with Roman Catholic views.</w:t>
      </w:r>
    </w:p>
    <w:p w:rsidR="003A0CF6" w:rsidRPr="001A1035" w:rsidRDefault="003A0CF6" w:rsidP="003A0CF6">
      <w:pPr>
        <w:jc w:val="both"/>
        <w:rPr>
          <w:sz w:val="24"/>
        </w:rPr>
      </w:pPr>
      <w:r w:rsidRPr="001A1035">
        <w:rPr>
          <w:rFonts w:ascii="Times New Roman" w:hAnsi="Times New Roman"/>
          <w:b/>
          <w:bCs/>
          <w:sz w:val="22"/>
        </w:rPr>
        <w:t>291</w:t>
      </w:r>
      <w:r w:rsidR="001466C3" w:rsidRPr="001A1035">
        <w:rPr>
          <w:rFonts w:ascii="Times New Roman" w:hAnsi="Times New Roman"/>
          <w:b/>
          <w:bCs/>
          <w:sz w:val="22"/>
        </w:rPr>
        <w:t xml:space="preserve">. </w:t>
      </w:r>
      <w:r w:rsidRPr="001A1035">
        <w:rPr>
          <w:rFonts w:ascii="Times New Roman" w:hAnsi="Times New Roman"/>
          <w:b/>
          <w:bCs/>
          <w:sz w:val="22"/>
        </w:rPr>
        <w:t>Image Affirmatio</w:t>
      </w:r>
      <w:r w:rsidR="001466C3" w:rsidRPr="001A1035">
        <w:rPr>
          <w:rFonts w:ascii="Times New Roman" w:hAnsi="Times New Roman"/>
          <w:b/>
          <w:bCs/>
          <w:sz w:val="22"/>
        </w:rPr>
        <w:t>n.</w:t>
      </w:r>
      <w:r w:rsidRPr="001A1035">
        <w:rPr>
          <w:rFonts w:ascii="Times New Roman" w:hAnsi="Times New Roman"/>
          <w:sz w:val="22"/>
        </w:rPr>
        <w:t xml:space="preserve"> The incarnation of Christ reinforces humanity's status as the image of God. It signifies that humans, not angels, uniquely reflect </w:t>
      </w:r>
      <w:r w:rsidR="001466C3" w:rsidRPr="001A1035">
        <w:rPr>
          <w:rFonts w:ascii="Times New Roman" w:hAnsi="Times New Roman"/>
          <w:sz w:val="22"/>
        </w:rPr>
        <w:t>the Triune God – the archetype of man – through:</w:t>
      </w:r>
      <w:r w:rsidRPr="001A1035">
        <w:rPr>
          <w:rFonts w:ascii="Times New Roman" w:hAnsi="Times New Roman"/>
          <w:sz w:val="22"/>
        </w:rPr>
        <w:t xml:space="preserve"> </w:t>
      </w:r>
      <w:r w:rsidR="000B33DE" w:rsidRPr="001A1035">
        <w:rPr>
          <w:rFonts w:ascii="Times New Roman" w:hAnsi="Times New Roman"/>
          <w:sz w:val="22"/>
        </w:rPr>
        <w:t>soul, heart, body and knowledge, righteousness, and holiness. “The whole man is the image and likeness of God, therefore, to be human is to be the image of God.”</w:t>
      </w:r>
    </w:p>
    <w:p w:rsidR="000B33DE" w:rsidRPr="001A1035" w:rsidRDefault="000B33DE" w:rsidP="000B33DE">
      <w:pPr>
        <w:jc w:val="both"/>
        <w:rPr>
          <w:b/>
          <w:bCs/>
          <w:sz w:val="24"/>
        </w:rPr>
      </w:pPr>
      <w:r w:rsidRPr="001A1035">
        <w:rPr>
          <w:rFonts w:ascii="Times New Roman" w:hAnsi="Times New Roman"/>
          <w:b/>
          <w:bCs/>
          <w:sz w:val="22"/>
        </w:rPr>
        <w:t>38. De Bestemming van den Mensch (The Destiny of Man).</w:t>
      </w:r>
    </w:p>
    <w:p w:rsidR="000B33DE" w:rsidRPr="001A1035" w:rsidRDefault="000B33DE" w:rsidP="000B33DE">
      <w:pPr>
        <w:jc w:val="both"/>
        <w:rPr>
          <w:sz w:val="24"/>
        </w:rPr>
      </w:pPr>
      <w:r w:rsidRPr="001A1035">
        <w:rPr>
          <w:rFonts w:ascii="Times New Roman" w:hAnsi="Times New Roman"/>
          <w:b/>
          <w:bCs/>
          <w:sz w:val="22"/>
        </w:rPr>
        <w:t>294. Adam vs. Christ in 1 Corinthians 15.</w:t>
      </w:r>
      <w:r w:rsidRPr="001A1035">
        <w:rPr>
          <w:rFonts w:ascii="Times New Roman" w:hAnsi="Times New Roman"/>
          <w:sz w:val="22"/>
        </w:rPr>
        <w:t xml:space="preserve"> Adam, created from earth/material, is contrasted to Christ who is spiritual. Therefore, Adam had not reached the highest state yet, as he was neither spiritual nor eternal. Bavinck concludes that pre-Fall Adam had not yet reached the glorified state.</w:t>
      </w:r>
    </w:p>
    <w:p w:rsidR="000B33DE" w:rsidRPr="001A1035" w:rsidRDefault="000B33DE" w:rsidP="000B33DE">
      <w:pPr>
        <w:jc w:val="both"/>
        <w:rPr>
          <w:sz w:val="24"/>
        </w:rPr>
      </w:pPr>
      <w:r w:rsidRPr="001A1035">
        <w:rPr>
          <w:rFonts w:ascii="Times New Roman" w:hAnsi="Times New Roman"/>
          <w:b/>
          <w:bCs/>
          <w:sz w:val="22"/>
        </w:rPr>
        <w:lastRenderedPageBreak/>
        <w:t>295. Testing and Implications.</w:t>
      </w:r>
      <w:r w:rsidRPr="001A1035">
        <w:rPr>
          <w:rFonts w:ascii="Times New Roman" w:hAnsi="Times New Roman"/>
          <w:sz w:val="22"/>
        </w:rPr>
        <w:t xml:space="preserve"> Adam's pre-fall state allowed for sinlessness and mortality avoidance ("</w:t>
      </w:r>
      <w:r w:rsidRPr="001A1035">
        <w:rPr>
          <w:rFonts w:ascii="Times New Roman" w:hAnsi="Times New Roman"/>
          <w:i/>
          <w:iCs/>
          <w:sz w:val="22"/>
        </w:rPr>
        <w:t>posse non peccare et posse non mori</w:t>
      </w:r>
      <w:r w:rsidRPr="001A1035">
        <w:rPr>
          <w:rFonts w:ascii="Times New Roman" w:hAnsi="Times New Roman"/>
          <w:sz w:val="22"/>
        </w:rPr>
        <w:t>"), contrasting with the glorified state ("</w:t>
      </w:r>
      <w:r w:rsidRPr="001A1035">
        <w:rPr>
          <w:rFonts w:ascii="Times New Roman" w:hAnsi="Times New Roman"/>
          <w:i/>
          <w:iCs/>
          <w:sz w:val="22"/>
        </w:rPr>
        <w:t>non posse peccare et non posse mori</w:t>
      </w:r>
      <w:r w:rsidRPr="001A1035">
        <w:rPr>
          <w:rFonts w:ascii="Times New Roman" w:hAnsi="Times New Roman"/>
          <w:sz w:val="22"/>
        </w:rPr>
        <w:t>"). Augustine's "</w:t>
      </w:r>
      <w:r w:rsidRPr="001A1035">
        <w:rPr>
          <w:rFonts w:ascii="Times New Roman" w:hAnsi="Times New Roman"/>
          <w:i/>
          <w:iCs/>
          <w:sz w:val="22"/>
        </w:rPr>
        <w:t>pactum</w:t>
      </w:r>
      <w:r w:rsidRPr="001A1035">
        <w:rPr>
          <w:rFonts w:ascii="Times New Roman" w:hAnsi="Times New Roman"/>
          <w:sz w:val="22"/>
        </w:rPr>
        <w:t>" and the Reformers' "</w:t>
      </w:r>
      <w:r w:rsidRPr="001A1035">
        <w:rPr>
          <w:rFonts w:ascii="Times New Roman" w:hAnsi="Times New Roman"/>
          <w:i/>
          <w:iCs/>
          <w:sz w:val="22"/>
        </w:rPr>
        <w:t>foedus operum</w:t>
      </w:r>
      <w:r w:rsidRPr="001A1035">
        <w:rPr>
          <w:rFonts w:ascii="Times New Roman" w:hAnsi="Times New Roman"/>
          <w:sz w:val="22"/>
        </w:rPr>
        <w:t>" (covenant of works) highlight these dynamics.</w:t>
      </w:r>
    </w:p>
    <w:p w:rsidR="000B33DE" w:rsidRPr="001A1035" w:rsidRDefault="000B33DE" w:rsidP="000B33DE">
      <w:pPr>
        <w:jc w:val="both"/>
        <w:rPr>
          <w:sz w:val="24"/>
        </w:rPr>
      </w:pPr>
      <w:r w:rsidRPr="001A1035">
        <w:rPr>
          <w:rFonts w:ascii="Times New Roman" w:hAnsi="Times New Roman"/>
          <w:b/>
          <w:bCs/>
          <w:sz w:val="22"/>
        </w:rPr>
        <w:t>296. Covenant of Works (</w:t>
      </w:r>
      <w:r w:rsidRPr="001A1035">
        <w:rPr>
          <w:rFonts w:ascii="Times New Roman" w:hAnsi="Times New Roman"/>
          <w:b/>
          <w:bCs/>
          <w:i/>
          <w:iCs/>
          <w:sz w:val="22"/>
        </w:rPr>
        <w:t>foedus operum</w:t>
      </w:r>
      <w:r w:rsidRPr="001A1035">
        <w:rPr>
          <w:rFonts w:ascii="Times New Roman" w:hAnsi="Times New Roman"/>
          <w:b/>
          <w:bCs/>
          <w:sz w:val="22"/>
        </w:rPr>
        <w:t>).</w:t>
      </w:r>
      <w:r w:rsidRPr="001A1035">
        <w:rPr>
          <w:rFonts w:ascii="Times New Roman" w:hAnsi="Times New Roman"/>
          <w:sz w:val="22"/>
        </w:rPr>
        <w:t xml:space="preserve"> This theology underscores the infinite distance between God and man, emphasizing human dependency on divine grace over merited works (cf. Rome). It combines divine sovereignty and faithfulness with human freedom and responsibility.</w:t>
      </w:r>
    </w:p>
    <w:p w:rsidR="000B33DE" w:rsidRPr="001A1035" w:rsidRDefault="000B33DE" w:rsidP="000B33DE">
      <w:pPr>
        <w:jc w:val="both"/>
        <w:rPr>
          <w:sz w:val="24"/>
        </w:rPr>
      </w:pPr>
      <w:r w:rsidRPr="001A1035">
        <w:rPr>
          <w:rFonts w:ascii="Times New Roman" w:hAnsi="Times New Roman"/>
          <w:b/>
          <w:bCs/>
          <w:sz w:val="22"/>
        </w:rPr>
        <w:t>297. Pre-Fall Glorification.</w:t>
      </w:r>
      <w:r w:rsidRPr="001A1035">
        <w:rPr>
          <w:rFonts w:ascii="Times New Roman" w:hAnsi="Times New Roman"/>
          <w:sz w:val="22"/>
        </w:rPr>
        <w:t xml:space="preserve"> Pre-fall humanity was not fully glorified, disputing Lutheran views that Adam was the pinnacle of humanity.</w:t>
      </w:r>
    </w:p>
    <w:p w:rsidR="000B33DE" w:rsidRPr="001A1035" w:rsidRDefault="000B33DE" w:rsidP="000B33DE">
      <w:pPr>
        <w:jc w:val="both"/>
        <w:rPr>
          <w:sz w:val="24"/>
        </w:rPr>
      </w:pPr>
      <w:r w:rsidRPr="001A1035">
        <w:rPr>
          <w:rFonts w:ascii="Times New Roman" w:hAnsi="Times New Roman"/>
          <w:b/>
          <w:bCs/>
          <w:sz w:val="22"/>
        </w:rPr>
        <w:t>298. Adam, Representation and Mankind.</w:t>
      </w:r>
      <w:r w:rsidRPr="001A1035">
        <w:rPr>
          <w:rFonts w:ascii="Times New Roman" w:hAnsi="Times New Roman"/>
          <w:sz w:val="22"/>
        </w:rPr>
        <w:t xml:space="preserve"> Adam was not alone, and Eve represented the possibility of posterity; the image of God was too rich for one man. Similarly, the church is likened to a bride, and Paul symbolizes Adam as representative of the whole of mankind. </w:t>
      </w:r>
    </w:p>
    <w:p w:rsidR="00475B76" w:rsidRPr="001A1035" w:rsidRDefault="00475B76" w:rsidP="00475B76">
      <w:pPr>
        <w:jc w:val="both"/>
        <w:rPr>
          <w:sz w:val="24"/>
        </w:rPr>
      </w:pPr>
      <w:r w:rsidRPr="001A1035">
        <w:rPr>
          <w:rFonts w:ascii="Times New Roman" w:hAnsi="Times New Roman"/>
          <w:b/>
          <w:bCs/>
          <w:sz w:val="22"/>
        </w:rPr>
        <w:t>299. Procreation and Theories of Soul Origin.</w:t>
      </w:r>
      <w:r w:rsidRPr="001A1035">
        <w:rPr>
          <w:rFonts w:ascii="Times New Roman" w:hAnsi="Times New Roman"/>
          <w:sz w:val="22"/>
        </w:rPr>
        <w:t xml:space="preserve"> The origin of the human soul remains debated, with views like Greek and Jewish pre-existentialism, traducianism, and creationism. Traducianism suggests souls are inherited from parents, while creationism posits divine creation of each soul. There's no consensus. </w:t>
      </w:r>
      <w:r w:rsidRPr="001A1035">
        <w:rPr>
          <w:rFonts w:ascii="Times New Roman" w:hAnsi="Times New Roman"/>
          <w:b/>
          <w:bCs/>
          <w:sz w:val="22"/>
        </w:rPr>
        <w:t>Bavinck's Perspective</w:t>
      </w:r>
      <w:r w:rsidRPr="001A1035">
        <w:rPr>
          <w:rFonts w:ascii="Times New Roman" w:hAnsi="Times New Roman"/>
          <w:i/>
          <w:iCs/>
          <w:sz w:val="22"/>
        </w:rPr>
        <w:t>.</w:t>
      </w:r>
      <w:r w:rsidRPr="001A1035">
        <w:rPr>
          <w:rFonts w:ascii="Times New Roman" w:hAnsi="Times New Roman"/>
          <w:sz w:val="22"/>
        </w:rPr>
        <w:t xml:space="preserve"> Bavinck notes that both traducianism and creationism have merit but struggle to explain the soul’s origin or sin’s transmission. Traducianism fails to explain the origin of the soul without veering into materialism or pre-existence and the “tradition” of sin. Creationism remains respectfully silent on these issues, but does not explain them either.</w:t>
      </w:r>
    </w:p>
    <w:p w:rsidR="00AA008D" w:rsidRPr="001A1035" w:rsidRDefault="00475B76" w:rsidP="00475B76">
      <w:pPr>
        <w:jc w:val="both"/>
        <w:rPr>
          <w:sz w:val="24"/>
        </w:rPr>
      </w:pPr>
      <w:r w:rsidRPr="001A1035">
        <w:rPr>
          <w:rFonts w:ascii="Times New Roman" w:hAnsi="Times New Roman"/>
          <w:b/>
          <w:bCs/>
          <w:sz w:val="22"/>
        </w:rPr>
        <w:t xml:space="preserve">300. Perspectives on Creationism and Traducianism. </w:t>
      </w:r>
      <w:r w:rsidRPr="001A1035">
        <w:rPr>
          <w:rFonts w:ascii="Times New Roman" w:hAnsi="Times New Roman"/>
          <w:sz w:val="22"/>
        </w:rPr>
        <w:t xml:space="preserve">Greek, Roman, and Reformed traditions favor creationism, supporting the idea of individual and God-given ethical accountability. In contrast, Lutherans often support traducianism, suggesting the soul derives from parental lineage. In traducianism, the </w:t>
      </w:r>
      <w:r w:rsidRPr="001A1035">
        <w:rPr>
          <w:rFonts w:ascii="Times New Roman" w:hAnsi="Times New Roman"/>
          <w:i/>
          <w:iCs/>
          <w:sz w:val="22"/>
        </w:rPr>
        <w:t>imago Dei</w:t>
      </w:r>
      <w:r w:rsidRPr="001A1035">
        <w:rPr>
          <w:rFonts w:ascii="Times New Roman" w:hAnsi="Times New Roman"/>
          <w:sz w:val="22"/>
        </w:rPr>
        <w:t xml:space="preserve"> is the </w:t>
      </w:r>
      <w:r w:rsidRPr="001A1035">
        <w:rPr>
          <w:rFonts w:ascii="Times New Roman" w:hAnsi="Times New Roman"/>
          <w:i/>
          <w:iCs/>
          <w:sz w:val="22"/>
        </w:rPr>
        <w:t>justitia originalis</w:t>
      </w:r>
      <w:r w:rsidRPr="001A1035">
        <w:rPr>
          <w:rFonts w:ascii="Times New Roman" w:hAnsi="Times New Roman"/>
          <w:sz w:val="22"/>
        </w:rPr>
        <w:t>, and Adam is only the physical father of mankind. Bavinck critiques that this view fails to see that Adam was the ethical, representative head of mankind. Additionally, this view does not care about the destination of man as it considered the pre-Fall Adam to have reached the highest state possible. According to Bavinck, creationism upholds individuality, communal human identity, and the connection to Adam as both a representative head and ancestor. It balances these aspects within divine creation, contributing to understanding humanity's nature.</w:t>
      </w:r>
    </w:p>
    <w:sectPr w:rsidR="00AA008D" w:rsidRPr="001A1035">
      <w:headerReference w:type="default" r:id="rId6"/>
      <w:footerReference w:type="default" r:id="rI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BavH</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Reformed Dogmatics (Anthropology)</w:t>
      <w:tab/>
      <w:t>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CF6"/>
    <w:rsid w:val="000B33DE"/>
    <w:rsid w:val="001466C3"/>
    <w:rsid w:val="001A1035"/>
    <w:rsid w:val="003A0CF6"/>
    <w:rsid w:val="00475B76"/>
    <w:rsid w:val="009D265D"/>
    <w:rsid w:val="00A57F40"/>
    <w:rsid w:val="00AA00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E28A25"/>
  <w15:chartTrackingRefBased/>
  <w15:docId w15:val="{8D0C54D6-D801-D248-9129-FBA297716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6643696">
      <w:bodyDiv w:val="1"/>
      <w:marLeft w:val="0"/>
      <w:marRight w:val="0"/>
      <w:marTop w:val="0"/>
      <w:marBottom w:val="0"/>
      <w:divBdr>
        <w:top w:val="none" w:sz="0" w:space="0" w:color="auto"/>
        <w:left w:val="none" w:sz="0" w:space="0" w:color="auto"/>
        <w:bottom w:val="none" w:sz="0" w:space="0" w:color="auto"/>
        <w:right w:val="none" w:sz="0" w:space="0" w:color="auto"/>
      </w:divBdr>
    </w:div>
    <w:div w:id="1850364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1545</Words>
  <Characters>8812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2</cp:revision>
  <dcterms:created xsi:type="dcterms:W3CDTF">2024-10-07T16:15:00Z</dcterms:created>
  <dcterms:modified xsi:type="dcterms:W3CDTF">2024-10-07T20:59:00Z</dcterms:modified>
</cp:coreProperties>
</file>