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55136" w:rsidRPr="00BF356B" w:rsidRDefault="00BF356B" w:rsidP="00B55136">
      <w:pPr>
        <w:jc w:val="both"/>
        <w:rPr>
          <w:b/>
          <w:bCs/>
          <w:sz w:val="24"/>
        </w:rPr>
      </w:pPr>
      <w:r w:rsidRPr="00BF356B">
        <w:rPr>
          <w:rFonts w:ascii="Times New Roman" w:hAnsi="Times New Roman"/>
          <w:b/>
          <w:bCs/>
          <w:sz w:val="22"/>
        </w:rPr>
        <w:t xml:space="preserve">Henri </w:t>
      </w:r>
      <w:r w:rsidR="00B55136" w:rsidRPr="00BF356B">
        <w:rPr>
          <w:rFonts w:ascii="Times New Roman" w:hAnsi="Times New Roman"/>
          <w:b/>
          <w:bCs/>
          <w:sz w:val="22"/>
        </w:rPr>
        <w:t xml:space="preserve">Blocher – </w:t>
      </w:r>
      <w:r w:rsidR="00474C1F">
        <w:rPr>
          <w:rFonts w:ascii="Times New Roman" w:hAnsi="Times New Roman"/>
          <w:b/>
          <w:bCs/>
          <w:sz w:val="22"/>
        </w:rPr>
        <w:t xml:space="preserve">In The Beginning: </w:t>
      </w:r>
      <w:r>
        <w:rPr>
          <w:rFonts w:ascii="Times New Roman" w:hAnsi="Times New Roman"/>
          <w:b/>
          <w:bCs/>
          <w:sz w:val="22"/>
        </w:rPr>
        <w:t>The Opening Chapters of Genesis</w:t>
      </w:r>
    </w:p>
    <w:p w:rsidR="00B55136" w:rsidRPr="00BF356B" w:rsidRDefault="00B55136" w:rsidP="00B55136">
      <w:pPr>
        <w:jc w:val="both"/>
        <w:rPr>
          <w:b/>
          <w:bCs/>
          <w:sz w:val="24"/>
        </w:rPr>
      </w:pPr>
      <w:r w:rsidRPr="00BF356B">
        <w:rPr>
          <w:rFonts w:ascii="Times New Roman" w:hAnsi="Times New Roman"/>
          <w:b/>
          <w:bCs/>
          <w:sz w:val="22"/>
        </w:rPr>
        <w:t>1. Approaching Genesis</w:t>
      </w:r>
    </w:p>
    <w:p w:rsidR="00B55136" w:rsidRPr="00BF356B" w:rsidRDefault="00B55136" w:rsidP="00B55136">
      <w:pPr>
        <w:jc w:val="both"/>
        <w:rPr>
          <w:sz w:val="24"/>
        </w:rPr>
      </w:pPr>
      <w:r w:rsidRPr="00BF356B">
        <w:rPr>
          <w:rFonts w:ascii="Times New Roman" w:hAnsi="Times New Roman"/>
          <w:b/>
          <w:bCs/>
          <w:sz w:val="22"/>
        </w:rPr>
        <w:t>Interest in Origins</w:t>
      </w:r>
      <w:r w:rsidRPr="00BF356B">
        <w:rPr>
          <w:rFonts w:ascii="Times New Roman" w:hAnsi="Times New Roman"/>
          <w:b/>
          <w:bCs/>
          <w:sz w:val="22"/>
        </w:rPr>
        <w:t>.</w:t>
      </w:r>
      <w:r w:rsidRPr="00BF356B">
        <w:rPr>
          <w:rFonts w:ascii="Times New Roman" w:hAnsi="Times New Roman"/>
          <w:sz w:val="22"/>
        </w:rPr>
        <w:t xml:space="preserve"> The beginnings are key to understanding fundamental principles and nature. Genesis, historically accepted at face value, has been subjected to various interpretations with the advent of modern science.</w:t>
      </w:r>
      <w:r w:rsidRPr="00BF356B">
        <w:rPr>
          <w:rFonts w:ascii="Times New Roman" w:hAnsi="Times New Roman"/>
          <w:sz w:val="22"/>
        </w:rPr>
        <w:t xml:space="preserve"> </w:t>
      </w:r>
      <w:r w:rsidRPr="00BF356B">
        <w:rPr>
          <w:rFonts w:ascii="Times New Roman" w:hAnsi="Times New Roman"/>
          <w:b/>
          <w:bCs/>
          <w:sz w:val="22"/>
        </w:rPr>
        <w:t>Word of Man, Word of God</w:t>
      </w:r>
      <w:r w:rsidRPr="00BF356B">
        <w:rPr>
          <w:rFonts w:ascii="Times New Roman" w:hAnsi="Times New Roman"/>
          <w:sz w:val="22"/>
        </w:rPr>
        <w:t>.</w:t>
      </w:r>
      <w:r w:rsidRPr="00BF356B">
        <w:rPr>
          <w:rFonts w:ascii="Times New Roman" w:hAnsi="Times New Roman"/>
          <w:sz w:val="22"/>
        </w:rPr>
        <w:t xml:space="preserve"> Genesis must be approached as inspired scripture, using the method of </w:t>
      </w:r>
      <w:r w:rsidRPr="00BF356B">
        <w:rPr>
          <w:rFonts w:ascii="Times New Roman" w:hAnsi="Times New Roman"/>
          <w:i/>
          <w:iCs/>
          <w:sz w:val="22"/>
        </w:rPr>
        <w:t>analogia fidei</w:t>
      </w:r>
      <w:r w:rsidRPr="00BF356B">
        <w:rPr>
          <w:rFonts w:ascii="Times New Roman" w:hAnsi="Times New Roman"/>
          <w:sz w:val="22"/>
        </w:rPr>
        <w:t>—interpreting parts of scripture in the context of the whole. This requires recognizing its authoritative nature while understanding its literary elements, genres, and human elements like tropes and figures of speech.</w:t>
      </w:r>
      <w:r w:rsidRPr="00BF356B">
        <w:rPr>
          <w:rFonts w:ascii="Times New Roman" w:hAnsi="Times New Roman"/>
          <w:sz w:val="22"/>
        </w:rPr>
        <w:t xml:space="preserve"> </w:t>
      </w:r>
      <w:r w:rsidRPr="00BF356B">
        <w:rPr>
          <w:rFonts w:ascii="Times New Roman" w:hAnsi="Times New Roman"/>
          <w:b/>
          <w:bCs/>
          <w:sz w:val="22"/>
        </w:rPr>
        <w:t>The Places of the Science</w:t>
      </w:r>
      <w:r w:rsidRPr="00BF356B">
        <w:rPr>
          <w:rFonts w:ascii="Times New Roman" w:hAnsi="Times New Roman"/>
          <w:b/>
          <w:bCs/>
          <w:sz w:val="22"/>
        </w:rPr>
        <w:t>s.</w:t>
      </w:r>
      <w:r w:rsidRPr="00BF356B">
        <w:rPr>
          <w:rFonts w:ascii="Times New Roman" w:hAnsi="Times New Roman"/>
          <w:sz w:val="22"/>
        </w:rPr>
        <w:t xml:space="preserve"> While language and history sciences are vital for exegesis, natural sciences also play a role. Blocher discusses</w:t>
      </w:r>
      <w:r w:rsidRPr="00BF356B">
        <w:rPr>
          <w:rFonts w:ascii="Times New Roman" w:hAnsi="Times New Roman"/>
          <w:sz w:val="22"/>
        </w:rPr>
        <w:t xml:space="preserve"> several attitudes. </w:t>
      </w:r>
      <w:r w:rsidRPr="00BF356B">
        <w:rPr>
          <w:rFonts w:ascii="Times New Roman" w:hAnsi="Times New Roman"/>
          <w:i/>
          <w:iCs/>
          <w:sz w:val="22"/>
        </w:rPr>
        <w:t>Concordism</w:t>
      </w:r>
      <w:r w:rsidRPr="00BF356B">
        <w:rPr>
          <w:rFonts w:ascii="Times New Roman" w:hAnsi="Times New Roman"/>
          <w:sz w:val="22"/>
        </w:rPr>
        <w:t xml:space="preserve"> s</w:t>
      </w:r>
      <w:r w:rsidRPr="00BF356B">
        <w:rPr>
          <w:rFonts w:ascii="Times New Roman" w:hAnsi="Times New Roman"/>
          <w:sz w:val="22"/>
        </w:rPr>
        <w:t>eeks harmony between scripture and science but risks imposing scientific views onto biblical text.</w:t>
      </w:r>
      <w:r w:rsidRPr="00BF356B">
        <w:rPr>
          <w:rFonts w:ascii="Times New Roman" w:hAnsi="Times New Roman"/>
          <w:sz w:val="22"/>
        </w:rPr>
        <w:t xml:space="preserve"> </w:t>
      </w:r>
      <w:r w:rsidRPr="00BF356B">
        <w:rPr>
          <w:rFonts w:ascii="Times New Roman" w:hAnsi="Times New Roman"/>
          <w:i/>
          <w:iCs/>
          <w:sz w:val="22"/>
        </w:rPr>
        <w:t>Antiscientism</w:t>
      </w:r>
      <w:r w:rsidRPr="00BF356B">
        <w:rPr>
          <w:rFonts w:ascii="Times New Roman" w:hAnsi="Times New Roman"/>
          <w:sz w:val="22"/>
        </w:rPr>
        <w:t xml:space="preserve"> t</w:t>
      </w:r>
      <w:r w:rsidRPr="00BF356B">
        <w:rPr>
          <w:rFonts w:ascii="Times New Roman" w:hAnsi="Times New Roman"/>
          <w:sz w:val="22"/>
        </w:rPr>
        <w:t>ends towards a literal interpretation, questioning the presumptions behind scientific accounts.</w:t>
      </w:r>
      <w:r w:rsidRPr="00BF356B">
        <w:rPr>
          <w:rFonts w:ascii="Times New Roman" w:hAnsi="Times New Roman"/>
          <w:sz w:val="22"/>
        </w:rPr>
        <w:t xml:space="preserve"> </w:t>
      </w:r>
      <w:r w:rsidRPr="00BF356B">
        <w:rPr>
          <w:rFonts w:ascii="Times New Roman" w:hAnsi="Times New Roman"/>
          <w:i/>
          <w:iCs/>
          <w:sz w:val="22"/>
        </w:rPr>
        <w:t>Fideism</w:t>
      </w:r>
      <w:r w:rsidRPr="00BF356B">
        <w:rPr>
          <w:rFonts w:ascii="Times New Roman" w:hAnsi="Times New Roman"/>
          <w:sz w:val="22"/>
        </w:rPr>
        <w:t xml:space="preserve"> d</w:t>
      </w:r>
      <w:r w:rsidRPr="00BF356B">
        <w:rPr>
          <w:rFonts w:ascii="Times New Roman" w:hAnsi="Times New Roman"/>
          <w:sz w:val="22"/>
        </w:rPr>
        <w:t>istinguishes scripture as doctrinal truth from scientific realms,</w:t>
      </w:r>
      <w:r w:rsidRPr="00BF356B">
        <w:rPr>
          <w:rFonts w:ascii="Times New Roman" w:hAnsi="Times New Roman"/>
          <w:sz w:val="22"/>
        </w:rPr>
        <w:t xml:space="preserve"> arguing that Scripture is doctrinal rather than historical. God is indeed distinguished from the world but not </w:t>
      </w:r>
      <w:r w:rsidRPr="00BF356B">
        <w:rPr>
          <w:rFonts w:ascii="Times New Roman" w:hAnsi="Times New Roman"/>
          <w:i/>
          <w:iCs/>
          <w:sz w:val="22"/>
        </w:rPr>
        <w:t>separate</w:t>
      </w:r>
      <w:r w:rsidRPr="00BF356B">
        <w:rPr>
          <w:rFonts w:ascii="Times New Roman" w:hAnsi="Times New Roman"/>
          <w:sz w:val="22"/>
        </w:rPr>
        <w:t>. The Bible is indeed not a handbook for science but does have something to say which touches the realm of the scientist (God is the cause of everything that exists). Blocher argues that each approach has good and bad points but that the first concern is discerning the maning of the biblical text. Science has a ministerial, servant-role and is subject to Biblical authority.</w:t>
      </w:r>
    </w:p>
    <w:p w:rsidR="00A672A9" w:rsidRPr="00BF356B" w:rsidRDefault="00B55136" w:rsidP="00A672A9">
      <w:pPr>
        <w:jc w:val="both"/>
        <w:rPr>
          <w:sz w:val="24"/>
        </w:rPr>
      </w:pPr>
      <w:r w:rsidRPr="00BF356B">
        <w:rPr>
          <w:rFonts w:ascii="Times New Roman" w:hAnsi="Times New Roman"/>
          <w:b/>
          <w:bCs/>
          <w:sz w:val="22"/>
        </w:rPr>
        <w:t>The Two 'Tablets' of Creatio</w:t>
      </w:r>
      <w:r w:rsidRPr="00BF356B">
        <w:rPr>
          <w:rFonts w:ascii="Times New Roman" w:hAnsi="Times New Roman"/>
          <w:b/>
          <w:bCs/>
          <w:sz w:val="22"/>
        </w:rPr>
        <w:t>n.</w:t>
      </w:r>
      <w:r w:rsidRPr="00BF356B">
        <w:rPr>
          <w:rFonts w:ascii="Times New Roman" w:hAnsi="Times New Roman"/>
          <w:sz w:val="22"/>
        </w:rPr>
        <w:t xml:space="preserve"> </w:t>
      </w:r>
      <w:r w:rsidR="00A672A9" w:rsidRPr="00BF356B">
        <w:rPr>
          <w:rFonts w:ascii="Times New Roman" w:hAnsi="Times New Roman"/>
          <w:sz w:val="22"/>
        </w:rPr>
        <w:t>The "two tablets" of creation in Genesis indicate a dual structure in which Genesis 2:4 serves as either a conclusion or introduction. The first account (Genesis 1:1-2:3/4) is structured around seven days, while the second (Genesis 2:4-3:24) includes seven structural elements. Traditional documentary hypotheses, suggesting separate sources (Yahwist for the second, Priestly for the first), have been largely rejected in favor of seeing the text as the work of Moses, incorporating a simple prologue and genealogy.</w:t>
      </w:r>
      <w:r w:rsidR="00A672A9" w:rsidRPr="00BF356B">
        <w:rPr>
          <w:rFonts w:ascii="Times New Roman" w:hAnsi="Times New Roman"/>
          <w:sz w:val="22"/>
        </w:rPr>
        <w:t xml:space="preserve"> </w:t>
      </w:r>
      <w:r w:rsidR="00A672A9" w:rsidRPr="00BF356B">
        <w:rPr>
          <w:rFonts w:ascii="Times New Roman" w:hAnsi="Times New Roman"/>
          <w:b/>
          <w:bCs/>
          <w:sz w:val="22"/>
        </w:rPr>
        <w:t>The prologue</w:t>
      </w:r>
      <w:r w:rsidR="00A672A9" w:rsidRPr="00BF356B">
        <w:rPr>
          <w:rFonts w:ascii="Times New Roman" w:hAnsi="Times New Roman"/>
          <w:sz w:val="22"/>
        </w:rPr>
        <w:t xml:space="preserve"> is marked by simplicity, emphasizing the lack of rhetorical flourish. The narrative of Genesis 1 employs exalted, semi-poetical language—lacking typical Hebrew poetic features like parallelism but using rhythmic sentences and alliterations akin to a hymn, reflecting a narrative of intricate design using symbolic numbers like threes, sevens, and tens.</w:t>
      </w:r>
      <w:r w:rsidR="00A672A9" w:rsidRPr="00BF356B">
        <w:rPr>
          <w:rFonts w:ascii="Times New Roman" w:hAnsi="Times New Roman"/>
          <w:sz w:val="22"/>
        </w:rPr>
        <w:t xml:space="preserve"> </w:t>
      </w:r>
      <w:r w:rsidR="00A672A9" w:rsidRPr="00BF356B">
        <w:rPr>
          <w:rFonts w:ascii="Times New Roman" w:hAnsi="Times New Roman"/>
          <w:sz w:val="22"/>
        </w:rPr>
        <w:t xml:space="preserve">This composite genre, a highly stylized narrative, rejects theories of origin in pagan myths or oral tradition. The mode of revelation aligns with Wisdom writing—reflecting meditation on God’s creative acts without being tied to visions. </w:t>
      </w:r>
      <w:r w:rsidR="00A672A9" w:rsidRPr="00BF356B">
        <w:rPr>
          <w:rFonts w:ascii="Times New Roman" w:hAnsi="Times New Roman"/>
          <w:b/>
          <w:bCs/>
          <w:sz w:val="22"/>
        </w:rPr>
        <w:t>The second tablet</w:t>
      </w:r>
      <w:r w:rsidR="00A672A9" w:rsidRPr="00BF356B">
        <w:rPr>
          <w:rFonts w:ascii="Times New Roman" w:hAnsi="Times New Roman"/>
          <w:sz w:val="22"/>
        </w:rPr>
        <w:t xml:space="preserve"> closely resembles mythic language yet achieves a high literary and theological standard, utilizing word plays and theological richness that suggest a deliberate stylistic distance from myth. This "learned ingenuousness" uses common language to convey its unique theological message. Historically, the church read Genesis literally, but its mixed genre calls for an interpretation beyond a simple literal reading.</w:t>
      </w:r>
    </w:p>
    <w:p w:rsidR="00A672A9" w:rsidRPr="00BF356B" w:rsidRDefault="00A672A9" w:rsidP="00A672A9">
      <w:pPr>
        <w:jc w:val="both"/>
        <w:rPr>
          <w:sz w:val="24"/>
        </w:rPr>
      </w:pPr>
      <w:r w:rsidRPr="00BF356B">
        <w:rPr>
          <w:rFonts w:ascii="Times New Roman" w:hAnsi="Times New Roman"/>
          <w:b/>
          <w:bCs/>
          <w:sz w:val="22"/>
        </w:rPr>
        <w:t>2. The Week of Creation</w:t>
      </w:r>
      <w:r w:rsidRPr="00BF356B">
        <w:rPr>
          <w:rFonts w:ascii="Times New Roman" w:hAnsi="Times New Roman"/>
          <w:b/>
          <w:bCs/>
          <w:sz w:val="22"/>
        </w:rPr>
        <w:t>.</w:t>
      </w:r>
    </w:p>
    <w:p w:rsidR="00AA008D" w:rsidRPr="00BF356B" w:rsidRDefault="00A672A9" w:rsidP="00A672A9">
      <w:pPr>
        <w:jc w:val="both"/>
        <w:rPr>
          <w:sz w:val="24"/>
        </w:rPr>
      </w:pPr>
      <w:r w:rsidRPr="00BF356B">
        <w:rPr>
          <w:rFonts w:ascii="Times New Roman" w:hAnsi="Times New Roman"/>
          <w:b/>
          <w:bCs/>
          <w:sz w:val="22"/>
        </w:rPr>
        <w:t>God's Rest and Tim</w:t>
      </w:r>
      <w:r w:rsidRPr="00BF356B">
        <w:rPr>
          <w:rFonts w:ascii="Times New Roman" w:hAnsi="Times New Roman"/>
          <w:b/>
          <w:bCs/>
          <w:sz w:val="22"/>
        </w:rPr>
        <w:t>e.</w:t>
      </w:r>
      <w:r w:rsidRPr="00BF356B">
        <w:rPr>
          <w:rFonts w:ascii="Times New Roman" w:hAnsi="Times New Roman"/>
          <w:sz w:val="22"/>
        </w:rPr>
        <w:t xml:space="preserve"> God's rest on the seventh day is an allusion to the Sabbath, raising questions about how to interpret the days of creation. Four theories offer different perspectives:</w:t>
      </w:r>
      <w:r w:rsidRPr="00BF356B">
        <w:rPr>
          <w:rFonts w:ascii="Times New Roman" w:hAnsi="Times New Roman"/>
          <w:sz w:val="22"/>
        </w:rPr>
        <w:t xml:space="preserve"> </w:t>
      </w:r>
      <w:r w:rsidRPr="00BF356B">
        <w:rPr>
          <w:rFonts w:ascii="Times New Roman" w:hAnsi="Times New Roman"/>
          <w:b/>
          <w:bCs/>
          <w:i/>
          <w:iCs/>
          <w:sz w:val="22"/>
        </w:rPr>
        <w:t>The Reconstructionist Theory</w:t>
      </w:r>
      <w:r w:rsidRPr="00BF356B">
        <w:rPr>
          <w:rFonts w:ascii="Times New Roman" w:hAnsi="Times New Roman"/>
          <w:b/>
          <w:bCs/>
          <w:sz w:val="22"/>
        </w:rPr>
        <w:t>.</w:t>
      </w:r>
      <w:r w:rsidRPr="00BF356B">
        <w:rPr>
          <w:rFonts w:ascii="Times New Roman" w:hAnsi="Times New Roman"/>
          <w:sz w:val="22"/>
        </w:rPr>
        <w:t xml:space="preserve"> Proposed by Thomas Chalmers, this theory suggests a gap between Genesis 1:1 and 1:2, positing a catastrophe, possibly linked to Satan's fall, leaving the earth "formless and void." However, the Hebrew grammar of "became" contradicts this, requiring implausible alterations in meanings such as "remake," thus lacking textual support.</w:t>
      </w:r>
      <w:r w:rsidRPr="00BF356B">
        <w:rPr>
          <w:rFonts w:ascii="Times New Roman" w:hAnsi="Times New Roman"/>
          <w:sz w:val="22"/>
        </w:rPr>
        <w:t xml:space="preserve"> </w:t>
      </w:r>
      <w:r w:rsidRPr="00BF356B">
        <w:rPr>
          <w:rFonts w:ascii="Times New Roman" w:hAnsi="Times New Roman"/>
          <w:b/>
          <w:bCs/>
          <w:i/>
          <w:iCs/>
          <w:sz w:val="22"/>
        </w:rPr>
        <w:t>The Concordist Interpretation</w:t>
      </w:r>
      <w:r w:rsidRPr="00BF356B">
        <w:rPr>
          <w:rFonts w:ascii="Times New Roman" w:hAnsi="Times New Roman"/>
          <w:b/>
          <w:bCs/>
          <w:sz w:val="22"/>
        </w:rPr>
        <w:t>.</w:t>
      </w:r>
      <w:r w:rsidRPr="00BF356B">
        <w:rPr>
          <w:rFonts w:ascii="Times New Roman" w:hAnsi="Times New Roman"/>
          <w:sz w:val="22"/>
        </w:rPr>
        <w:t xml:space="preserve"> This 19th-century theory argues the days represent long epochs, not literal days. Supporters note "yom" can mean different time periods and highlight the seventh day’s lack of closure. However, the context suggests a 24-hour day, and scientific order conflicts (e.g., stars created after vegetation) make it untenable.</w:t>
      </w:r>
      <w:r w:rsidRPr="00BF356B">
        <w:rPr>
          <w:rFonts w:ascii="Times New Roman" w:hAnsi="Times New Roman"/>
          <w:sz w:val="22"/>
        </w:rPr>
        <w:t xml:space="preserve"> </w:t>
      </w:r>
      <w:r w:rsidRPr="00BF356B">
        <w:rPr>
          <w:rFonts w:ascii="Times New Roman" w:hAnsi="Times New Roman"/>
          <w:b/>
          <w:bCs/>
          <w:i/>
          <w:iCs/>
          <w:sz w:val="22"/>
        </w:rPr>
        <w:t>The Literal Interpretation</w:t>
      </w:r>
      <w:r w:rsidRPr="00BF356B">
        <w:rPr>
          <w:rFonts w:ascii="Times New Roman" w:hAnsi="Times New Roman"/>
          <w:b/>
          <w:bCs/>
          <w:sz w:val="22"/>
        </w:rPr>
        <w:t>.</w:t>
      </w:r>
      <w:r w:rsidRPr="00BF356B">
        <w:rPr>
          <w:rFonts w:ascii="Times New Roman" w:hAnsi="Times New Roman"/>
          <w:sz w:val="22"/>
        </w:rPr>
        <w:t xml:space="preserve"> Historically </w:t>
      </w:r>
      <w:r w:rsidRPr="00BF356B">
        <w:rPr>
          <w:rFonts w:ascii="Times New Roman" w:hAnsi="Times New Roman"/>
          <w:sz w:val="22"/>
        </w:rPr>
        <w:lastRenderedPageBreak/>
        <w:t>dominant, especially among Reformers, this view takes the Genesis days as literal, 24-hour days, asserting them as a straightforward chronological narrative. Critics, including Blocher, note that dismissing scientific consensus on earth’s age requires significant assumptions, although such interpretation has historical backing.</w:t>
      </w:r>
      <w:r w:rsidRPr="00BF356B">
        <w:rPr>
          <w:rFonts w:ascii="Times New Roman" w:hAnsi="Times New Roman"/>
          <w:sz w:val="22"/>
        </w:rPr>
        <w:t xml:space="preserve"> </w:t>
      </w:r>
      <w:r w:rsidRPr="00BF356B">
        <w:rPr>
          <w:rFonts w:ascii="Times New Roman" w:hAnsi="Times New Roman"/>
          <w:b/>
          <w:bCs/>
          <w:i/>
          <w:iCs/>
          <w:sz w:val="22"/>
        </w:rPr>
        <w:t>The Literary Interpretation / Framework Theory</w:t>
      </w:r>
      <w:r w:rsidRPr="00BF356B">
        <w:rPr>
          <w:rFonts w:ascii="Times New Roman" w:hAnsi="Times New Roman"/>
          <w:b/>
          <w:bCs/>
          <w:i/>
          <w:iCs/>
          <w:sz w:val="22"/>
        </w:rPr>
        <w:t>.</w:t>
      </w:r>
      <w:r w:rsidRPr="00BF356B">
        <w:rPr>
          <w:rFonts w:ascii="Times New Roman" w:hAnsi="Times New Roman"/>
          <w:sz w:val="22"/>
        </w:rPr>
        <w:t xml:space="preserve"> Rooted in Augustine, Aquinas, and others, this view treats the creation week as an artistic, non-literal framework organized to convey theological themes, particularly the Sabbath's significance. </w:t>
      </w:r>
      <w:r w:rsidR="00BF356B" w:rsidRPr="00BF356B">
        <w:rPr>
          <w:rFonts w:ascii="Times New Roman" w:hAnsi="Times New Roman"/>
          <w:sz w:val="22"/>
        </w:rPr>
        <w:t>F</w:t>
      </w:r>
      <w:r w:rsidRPr="00BF356B">
        <w:rPr>
          <w:rFonts w:ascii="Times New Roman" w:hAnsi="Times New Roman"/>
          <w:sz w:val="22"/>
        </w:rPr>
        <w:t>ocusing on thematic and theological content rather than strict chronology solves discrepancies in day length and order without conflicting with scientific findings. It highlights Genesis's structural symmetry, such as the geometric alignment of two triads of days, and positions the fourth day as central, connecting the creation narrative's progression with Sabbath theology.</w:t>
      </w:r>
      <w:r w:rsidR="00BF356B" w:rsidRPr="00BF356B">
        <w:rPr>
          <w:rFonts w:ascii="Times New Roman" w:hAnsi="Times New Roman"/>
          <w:sz w:val="22"/>
        </w:rPr>
        <w:t xml:space="preserve"> </w:t>
      </w:r>
      <w:r w:rsidRPr="00BF356B">
        <w:rPr>
          <w:rFonts w:ascii="Times New Roman" w:hAnsi="Times New Roman"/>
          <w:sz w:val="22"/>
        </w:rPr>
        <w:t>Within this framework, two peaks emerge</w:t>
      </w:r>
      <w:r w:rsidR="00BF356B" w:rsidRPr="00BF356B">
        <w:rPr>
          <w:rFonts w:ascii="Times New Roman" w:hAnsi="Times New Roman"/>
          <w:sz w:val="22"/>
        </w:rPr>
        <w:t>:</w:t>
      </w:r>
      <w:r w:rsidRPr="00BF356B">
        <w:rPr>
          <w:rFonts w:ascii="Times New Roman" w:hAnsi="Times New Roman"/>
          <w:sz w:val="22"/>
        </w:rPr>
        <w:t xml:space="preserve"> </w:t>
      </w:r>
      <w:r w:rsidRPr="00BF356B">
        <w:rPr>
          <w:rFonts w:ascii="Times New Roman" w:hAnsi="Times New Roman"/>
          <w:b/>
          <w:bCs/>
          <w:sz w:val="22"/>
        </w:rPr>
        <w:t>mankind and the Sabbath</w:t>
      </w:r>
      <w:r w:rsidRPr="00BF356B">
        <w:rPr>
          <w:rFonts w:ascii="Times New Roman" w:hAnsi="Times New Roman"/>
          <w:sz w:val="22"/>
        </w:rPr>
        <w:t>. Humanity's purpose is tied to the Sabbath, emphasizing their role in glorifying and enjoying God. God's rest from creation underscores His sovereignty, revealing time and history as arenas for divine revelation and redemption, where God remains transcendent and unabsorbed by His creation.</w:t>
      </w:r>
    </w:p>
    <w:sectPr w:rsidR="00AA008D" w:rsidRPr="00BF356B">
      <w:headerReference w:type="default" r:id="rId6"/>
      <w:footerReference w:type="default" r:id="rI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BloH</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In the Beginning: The Opening Chapters of Genesis</w:t>
      <w:tab/>
      <w:t>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136"/>
    <w:rsid w:val="00474C1F"/>
    <w:rsid w:val="009D265D"/>
    <w:rsid w:val="00A57F40"/>
    <w:rsid w:val="00A672A9"/>
    <w:rsid w:val="00AA008D"/>
    <w:rsid w:val="00B55136"/>
    <w:rsid w:val="00BF3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0FA9FA"/>
  <w15:chartTrackingRefBased/>
  <w15:docId w15:val="{E4031911-BA0B-8E40-8B6B-AF4AAB3E1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4092993">
      <w:bodyDiv w:val="1"/>
      <w:marLeft w:val="0"/>
      <w:marRight w:val="0"/>
      <w:marTop w:val="0"/>
      <w:marBottom w:val="0"/>
      <w:divBdr>
        <w:top w:val="none" w:sz="0" w:space="0" w:color="auto"/>
        <w:left w:val="none" w:sz="0" w:space="0" w:color="auto"/>
        <w:bottom w:val="none" w:sz="0" w:space="0" w:color="auto"/>
        <w:right w:val="none" w:sz="0" w:space="0" w:color="auto"/>
      </w:divBdr>
    </w:div>
    <w:div w:id="625310200">
      <w:bodyDiv w:val="1"/>
      <w:marLeft w:val="0"/>
      <w:marRight w:val="0"/>
      <w:marTop w:val="0"/>
      <w:marBottom w:val="0"/>
      <w:divBdr>
        <w:top w:val="none" w:sz="0" w:space="0" w:color="auto"/>
        <w:left w:val="none" w:sz="0" w:space="0" w:color="auto"/>
        <w:bottom w:val="none" w:sz="0" w:space="0" w:color="auto"/>
        <w:right w:val="none" w:sz="0" w:space="0" w:color="auto"/>
      </w:divBdr>
    </w:div>
    <w:div w:id="665742290">
      <w:bodyDiv w:val="1"/>
      <w:marLeft w:val="0"/>
      <w:marRight w:val="0"/>
      <w:marTop w:val="0"/>
      <w:marBottom w:val="0"/>
      <w:divBdr>
        <w:top w:val="none" w:sz="0" w:space="0" w:color="auto"/>
        <w:left w:val="none" w:sz="0" w:space="0" w:color="auto"/>
        <w:bottom w:val="none" w:sz="0" w:space="0" w:color="auto"/>
        <w:right w:val="none" w:sz="0" w:space="0" w:color="auto"/>
      </w:divBdr>
    </w:div>
    <w:div w:id="1871213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813</Words>
  <Characters>4638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2</cp:revision>
  <dcterms:created xsi:type="dcterms:W3CDTF">2024-10-07T20:34:00Z</dcterms:created>
  <dcterms:modified xsi:type="dcterms:W3CDTF">2024-10-07T20:57:00Z</dcterms:modified>
</cp:coreProperties>
</file>