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652D6" w:rsidRPr="00705C04" w:rsidRDefault="00B652D6" w:rsidP="004F7579">
      <w:pPr>
        <w:jc w:val="both"/>
        <w:rPr>
          <w:rFonts w:cs="Times New Roman"/>
          <w:b/>
          <w:bCs/>
          <w:sz w:val="24"/>
        </w:rPr>
      </w:pPr>
      <w:r w:rsidRPr="00705C04">
        <w:rPr>
          <w:rFonts w:cs="Times New Roman" w:ascii="Times New Roman" w:hAnsi="Times New Roman"/>
          <w:b/>
          <w:bCs/>
          <w:sz w:val="22"/>
        </w:rPr>
        <w:t>The Holy Spirit: Contours of Christian Theology – Sinclair B. Ferguson</w:t>
      </w:r>
    </w:p>
    <w:p w:rsidR="00B652D6" w:rsidRPr="00705C04" w:rsidRDefault="00B652D6" w:rsidP="004F7579">
      <w:pPr>
        <w:jc w:val="both"/>
        <w:rPr>
          <w:rFonts w:cs="Times New Roman"/>
          <w:sz w:val="24"/>
        </w:rPr>
      </w:pPr>
      <w:r w:rsidRPr="00705C04">
        <w:rPr>
          <w:rFonts w:cs="Times New Roman" w:ascii="Times New Roman" w:hAnsi="Times New Roman"/>
          <w:sz w:val="22"/>
        </w:rPr>
        <w:t>In the preface of "The Holy Spirit," Sinclair B. Ferguson asserts that the doctrine of the Holy Spirit is not forgotten. He approaches the topic with a blend of theology and doxology, aiming to deepen both understanding and worship.</w:t>
      </w:r>
    </w:p>
    <w:p w:rsidR="004F7579" w:rsidRPr="00705C04" w:rsidRDefault="00B652D6" w:rsidP="004F7579">
      <w:pPr>
        <w:jc w:val="both"/>
        <w:rPr>
          <w:rFonts w:eastAsia="Times New Roman" w:cs="Times New Roman"/>
          <w:noProof w:val="0"/>
          <w:color w:val="000000"/>
          <w:kern w:val="0"/>
          <w:sz w:val="24"/>
          <w14:ligatures w14:val="none"/>
        </w:rPr>
      </w:pPr>
      <w:r w:rsidRPr="00705C04">
        <w:rPr>
          <w:rFonts w:cs="Times New Roman" w:ascii="Times New Roman" w:hAnsi="Times New Roman"/>
          <w:b/>
          <w:bCs/>
          <w:sz w:val="22"/>
        </w:rPr>
        <w:t xml:space="preserve">Chapter 1: The Holy Spirit &amp; His Story. </w:t>
      </w:r>
      <w:r w:rsidR="004F7579" w:rsidRPr="00705C04">
        <w:rPr>
          <w:rFonts w:cs="Times New Roman" w:ascii="Times New Roman" w:hAnsi="Times New Roman"/>
          <w:sz w:val="22"/>
        </w:rPr>
        <w:t xml:space="preserve">Sinclair </w:t>
      </w:r>
      <w:r w:rsidR="004F7579" w:rsidRPr="00705C04">
        <w:rPr>
          <w:rFonts w:eastAsia="Times New Roman" w:cs="Times New Roman" w:ascii="Times New Roman" w:hAnsi="Times New Roman"/>
          <w:noProof w:val="0"/>
          <w:color w:val="000000"/>
          <w:kern w:val="0"/>
          <w:sz w:val="22"/>
          <w14:ligatures w14:val="none"/>
        </w:rPr>
        <w:t xml:space="preserve">Ferguson explores the identity of the Holy Spirit, noting that unlike the Father and the Son, the term "Holy Spirit" often leads to vagueness. "Holy ruach" combines holiness and dynamic energy, signifying wind or breath. The Spirit's role in creation is essential, extending God's presence and orchestrating the divine plan, as seen in Genesis 1:2. This work is creative, moral, and redemptive, as evidenced in Isaiah 63:7-14. Ferguson describes the Spirit's progressive revelation in Scripture, emphasizing its close relationship with the Word, including the Spirit's inspiration of </w:t>
      </w:r>
      <w:r w:rsidR="00770E29" w:rsidRPr="00705C04">
        <w:rPr>
          <w:rFonts w:eastAsia="Times New Roman" w:cs="Times New Roman" w:ascii="Times New Roman" w:hAnsi="Times New Roman"/>
          <w:noProof w:val="0"/>
          <w:color w:val="000000"/>
          <w:kern w:val="0"/>
          <w:sz w:val="22"/>
          <w14:ligatures w14:val="none"/>
        </w:rPr>
        <w:t>S</w:t>
      </w:r>
      <w:r w:rsidR="004F7579" w:rsidRPr="00705C04">
        <w:rPr>
          <w:rFonts w:eastAsia="Times New Roman" w:cs="Times New Roman" w:ascii="Times New Roman" w:hAnsi="Times New Roman"/>
          <w:noProof w:val="0"/>
          <w:color w:val="000000"/>
          <w:kern w:val="0"/>
          <w:sz w:val="22"/>
          <w14:ligatures w14:val="none"/>
        </w:rPr>
        <w:t>cripture (2 Peter 1:21, 2 Timothy 3:14-17). He concludes that the Spirit is both divine and personal, a distinct hypostatic being fully revealed through Christ. The New Testament marks a new understanding of the Spirit, portraying it as an active presence in the redemptive narrative. This progressive revelation deepens our appreciation of the Holy Spirit's role in creation and redemption.</w:t>
      </w:r>
    </w:p>
    <w:p w:rsidR="004F7579" w:rsidRPr="00705C04" w:rsidRDefault="004F7579" w:rsidP="004F7579">
      <w:pPr>
        <w:jc w:val="both"/>
        <w:rPr>
          <w:rFonts w:cs="Times New Roman"/>
          <w:sz w:val="24"/>
        </w:rPr>
      </w:pPr>
      <w:r w:rsidRPr="00705C04">
        <w:rPr>
          <w:rFonts w:cs="Times New Roman" w:ascii="Times New Roman" w:hAnsi="Times New Roman"/>
          <w:b/>
          <w:bCs/>
          <w:color w:val="000000"/>
          <w:sz w:val="22"/>
        </w:rPr>
        <w:t>Chapter 2</w:t>
      </w:r>
      <w:r w:rsidRPr="00705C04">
        <w:rPr>
          <w:rFonts w:cs="Times New Roman" w:ascii="Times New Roman" w:hAnsi="Times New Roman"/>
          <w:color w:val="000000"/>
          <w:sz w:val="22"/>
        </w:rPr>
        <w:t xml:space="preserve">: </w:t>
      </w:r>
      <w:r w:rsidRPr="00705C04">
        <w:rPr>
          <w:rFonts w:cs="Times New Roman" w:ascii="Times New Roman" w:hAnsi="Times New Roman"/>
          <w:b/>
          <w:bCs/>
          <w:color w:val="000000"/>
          <w:sz w:val="22"/>
        </w:rPr>
        <w:t>The Spirit of Christ</w:t>
      </w:r>
      <w:r w:rsidRPr="00705C04">
        <w:rPr>
          <w:rFonts w:cs="Times New Roman" w:ascii="Times New Roman" w:hAnsi="Times New Roman"/>
          <w:color w:val="000000"/>
          <w:sz w:val="22"/>
        </w:rPr>
        <w:t xml:space="preserve">.  Ferguson </w:t>
      </w:r>
      <w:r w:rsidRPr="00705C04">
        <w:rPr>
          <w:rFonts w:cs="Times New Roman" w:ascii="Times New Roman" w:hAnsi="Times New Roman"/>
          <w:sz w:val="22"/>
        </w:rPr>
        <w:t>examines the Holy Spirit's role in Jesus’ life and ministry. In John 13-16, Jesus introduces the Paraclete, the Holy Spirit acting as a witness-advocate for Christ. The Spirit indwells believers, demonstrating its inseparable bond with Christ. During the stage of conception and birth, the Holy Spirit comes upon Mary, ensuring Jesus' holiness from conception. This highlights the Trinity's involvement in redemption, referencing messianic prophecies in Isaiah. In the stage of baptism, temptations, and ministry, Jesus' baptism marks his anointing with the Holy Spirit, signifying his messianic mission. The Spirit’s role during Jesus’ wilderness temptation frames Jesus as the new Adam. Throughout his ministry, Jesus, empowered by the Spirit, demonstrates divine judgment and holiness. Finally, in the stage of death, resurrection, and ascension, the Trinity’s works are undivided; the Holy Spirit raises Christ with a spiritual body. The Spirit, as another Paraclete, continues Christ’s work post-ascension, maintaining unity and distinctiveness within the Trinity. Ferguson underscores the Holy Spirit’s continuous, comprehensive role in Jesus’ life, reinforcing the inseparable bond between Christ and the Spirit in the redemption plan.</w:t>
      </w:r>
    </w:p>
    <w:p w:rsidR="004F7579" w:rsidRPr="00705C04" w:rsidRDefault="00A227B8" w:rsidP="004F7579">
      <w:pPr>
        <w:jc w:val="both"/>
        <w:rPr>
          <w:rFonts w:cs="Times New Roman"/>
          <w:sz w:val="24"/>
        </w:rPr>
      </w:pPr>
      <w:r w:rsidRPr="00705C04">
        <w:rPr>
          <w:rFonts w:cs="Times New Roman" w:ascii="Times New Roman" w:hAnsi="Times New Roman"/>
          <w:b/>
          <w:bCs/>
          <w:sz w:val="22"/>
        </w:rPr>
        <w:t>Chapter 3: The Gift of the Spirit – Pentecost</w:t>
      </w:r>
      <w:r w:rsidRPr="00705C04">
        <w:rPr>
          <w:rFonts w:cs="Times New Roman" w:ascii="Times New Roman" w:hAnsi="Times New Roman"/>
          <w:sz w:val="22"/>
        </w:rPr>
        <w:t xml:space="preserve">. </w:t>
      </w:r>
      <w:r w:rsidR="004F7579" w:rsidRPr="00705C04">
        <w:rPr>
          <w:rFonts w:cs="Times New Roman" w:ascii="Times New Roman" w:hAnsi="Times New Roman"/>
          <w:sz w:val="22"/>
        </w:rPr>
        <w:t xml:space="preserve">Sinclair Ferguson discusses Pentecost as a pivotal event marking the transition from the Old to the New Testament. He examines the Lukan account, noting that Pentecost represents the outpouring of the Holy Spirit promised by God, which Christ, exalted to God's right hand, pours out on believers, symbolizing a new creation. This event reverses the effects of Babel, allowing people from various nations to hear the message in their languages. Ferguson draws parallels between Pentecost and Sinai, where fire and wind were present; at Pentecost, the law is written in the hearts of believers, fulfilling God's commands. He references Joel 2 in Acts 2, showing that Pentecost fulfills Old Testament prophecies. The Johannine perspective includes Jesus breathing the Holy Spirit onto his disciples in John 20:21-23, commissioning them to forgive sins. This act recalls God's breathing life into Adam and represents the disciples' new ministerial role. In John 16:7-11, Jesus speaks of the Spirit bringing conviction of sin, which is evident when people ask how to be saved in Acts 2. Ferguson highlights the Spirit as a counselor who teaches and reminds the disciples of Jesus' words (John 14:26), bears witness to Christ (John 15:26-27), and guides the apostles into all truth. The Spirit's indwelling marks a deep union with Christ in believers (John 15:26). He emphasizes the theological concept of the Spirit proceeding from both the Father and the Son, affirmed by the councils of Nicea and Constantinople. In conclusion, Ferguson argues that Pentecost is not just a historical event but a </w:t>
      </w:r>
      <w:r w:rsidR="004F7579" w:rsidRPr="00705C04">
        <w:rPr>
          <w:rFonts w:cs="Times New Roman" w:ascii="Times New Roman" w:hAnsi="Times New Roman"/>
          <w:sz w:val="22"/>
        </w:rPr>
        <w:lastRenderedPageBreak/>
        <w:t>theological milestone, marking the fulfillment of God's promises and transitioning from Old Covenant forms to New Covenant realities through the work of the Holy Spirit in believers' lives.</w:t>
      </w:r>
    </w:p>
    <w:p w:rsidR="004F7579" w:rsidRPr="00705C04" w:rsidRDefault="004F7579" w:rsidP="004F7579">
      <w:pPr>
        <w:jc w:val="both"/>
        <w:rPr>
          <w:rFonts w:cs="Times New Roman"/>
          <w:sz w:val="24"/>
        </w:rPr>
      </w:pPr>
      <w:r w:rsidRPr="00705C04">
        <w:rPr>
          <w:rFonts w:cs="Times New Roman" w:ascii="Times New Roman" w:hAnsi="Times New Roman"/>
          <w:b/>
          <w:bCs/>
          <w:sz w:val="22"/>
        </w:rPr>
        <w:t>In Chapter 4: Pentecost Today?</w:t>
      </w:r>
      <w:r w:rsidRPr="00705C04">
        <w:rPr>
          <w:rFonts w:cs="Times New Roman" w:ascii="Times New Roman" w:hAnsi="Times New Roman"/>
          <w:sz w:val="22"/>
        </w:rPr>
        <w:t xml:space="preserve"> Ferguson explores the church's current experience of the Holy Spirit, emphasizing several key points. He notes that the disciples' experiences of the Spirit before and at Pentecost were distinct stages, unified but not exemplary for all believers. The events involving Cornelius, Samaria, and Ephesus also highlight specific, non-normative instances of Spirit-baptism, indicating that tongues and prophecy were signs of a unique redemptive breakthrough rather than standard practice. Ferguson distinguishes Pentecost as a once-for-all event with unique phenomena, unlike later Spirit-baptisms that serve as ongoing conditions linked to speech and spiritual revival. The elements of Pentecost, although singular, have lasting effects that continue to influence the church. Pentecost is viewed as the epicenter of spiritual revival, whose impact persists as aftershocks, shaping the church's ongoing life. The ultimate goal of Pentecost is both redemptive-historical and personal, contributing to the restoration of creation and reproducing God's image in believers. Receiving the Holy Spirit, tied to faith and initiation into Christ, highlights the transformative power of the Spirit. Ferguson concludes that while Pentecost is a foundational event, its influence remains pervasive and ongoing, continuously empowering and shaping Christ's followers without establishing a uniform pattern for all.</w:t>
      </w:r>
    </w:p>
    <w:p w:rsidR="00D325F7" w:rsidRPr="00705C04" w:rsidRDefault="00D325F7" w:rsidP="00D325F7">
      <w:pPr>
        <w:jc w:val="both"/>
        <w:rPr>
          <w:rFonts w:cs="Times New Roman"/>
          <w:sz w:val="24"/>
        </w:rPr>
      </w:pPr>
      <w:r w:rsidRPr="00705C04">
        <w:rPr>
          <w:rFonts w:cs="Times New Roman" w:ascii="Times New Roman" w:hAnsi="Times New Roman"/>
          <w:b/>
          <w:bCs/>
          <w:sz w:val="22"/>
        </w:rPr>
        <w:t>Chapter 5: The Spirit of Order.</w:t>
      </w:r>
      <w:r w:rsidRPr="00705C04">
        <w:rPr>
          <w:rFonts w:cs="Times New Roman" w:ascii="Times New Roman" w:hAnsi="Times New Roman"/>
          <w:sz w:val="22"/>
        </w:rPr>
        <w:t xml:space="preserve"> Ferguson explores the Holy Spirit's role in the order of salvation and its theological development. Initially, Christology took precedence over soteriology, with the Holy Spirit gaining a defined role later. The Roman Catholic Church emphasized sacraments and priestly ministry in justification, while the Reformation, led by figures like Martin Luther and John Calvin, shifted focus to the Spirit's role in applying Christ's blessings. William Perkins' "A Golden Chain" outlined a sequence for salvation but often obscured Christ’s centrality. Calvin and Arminius debated the order of faith, repentance, and regeneration. Ferguson argues that union with Christ is the model for understanding the Spirit's work, emphasizing immediate, exclusive, and eschatological blessings through the Spirit. Ferguson identifies three stages of redemption: its foundation in Christ’s death and resurrection, the significance of resurrection for believers' justification and sanctification, and the application of redemption through union with Christ. Union with Christ, made possible by the Spirit, is central in Paul's writings and Calvin's theology. This union is rooted in God's election, Christ’s incarnation, and the Spirit's indwelling, creating a transformative bond without implying deification. Ferguson concludes that the Holy Spirit's orderly work unites believers to Christ, applying His redemptive work across theological, historical, and personal dimensions.</w:t>
      </w:r>
    </w:p>
    <w:p w:rsidR="00D325F7" w:rsidRPr="00705C04" w:rsidRDefault="00D325F7" w:rsidP="00D325F7">
      <w:pPr>
        <w:jc w:val="both"/>
        <w:rPr>
          <w:rFonts w:cs="Times New Roman"/>
          <w:sz w:val="24"/>
        </w:rPr>
      </w:pPr>
      <w:r w:rsidRPr="00705C04">
        <w:rPr>
          <w:rFonts w:cs="Times New Roman" w:ascii="Times New Roman" w:hAnsi="Times New Roman"/>
          <w:b/>
          <w:bCs/>
          <w:sz w:val="22"/>
        </w:rPr>
        <w:t>Chapter 6: Spiritus Recreator.</w:t>
      </w:r>
      <w:r w:rsidRPr="00705C04">
        <w:rPr>
          <w:rFonts w:cs="Times New Roman" w:ascii="Times New Roman" w:hAnsi="Times New Roman"/>
          <w:sz w:val="22"/>
        </w:rPr>
        <w:t xml:space="preserve"> Sinclair Ferguson explores regeneration, a fundamental transformation initiated by God in an individual's life, marking the start of a new, divinely powered existence. While baptism symbolizes initiation into this new life, it is distinct from the actual process of regeneration, which involves a higher source and participation in fellowship with Christ, facilitated by the Holy Spirit. This transformation roots believers in Christ's resurrection, signifying that regeneration is a direct result of Christ's victory over death. Divine monergism, a key concept in understanding regeneration, emphasizes that this change is initiated by God, not by human effort. This idea is illustrated by Nicodemus's story, where spiritual rebirth is shown to be beyond human capability. Regeneration involves intellectual illumination, liberation from sin, and inner cleansing by the Spirit. While human will remains intact, the Holy Spirit's sovereignty is crucial, with faith regarded as a gift from God, as highlighted in Ephesians 2:8. Ferguson also addresses the preparation for and implications of justification. Augustine viewed baptism as essential for justification, involving contrition and penance, thus making assurance elusive. </w:t>
      </w:r>
      <w:r w:rsidRPr="00705C04">
        <w:rPr>
          <w:rFonts w:cs="Times New Roman" w:ascii="Times New Roman" w:hAnsi="Times New Roman"/>
          <w:sz w:val="22"/>
        </w:rPr>
        <w:lastRenderedPageBreak/>
        <w:t>Contrarily, the Reformation emphasized justification as a sovereign act of the Holy Spirit, acknowledging the Spirit's work before justification occurs. Repentance, intrinsically linked to faith, includes recognizing one's offenses, turning away from sin, and adopting a new attitude toward sin, oneself, and God. True repentance leads to a new lifestyle marked by changed behavior, self-denial, and a deeper understanding of God as both forgiving and awe-inspiring, as exemplified in Psalm 51 by David's prayer for mercy and cleansing.</w:t>
      </w:r>
    </w:p>
    <w:p w:rsidR="00D325F7" w:rsidRPr="00705C04" w:rsidRDefault="00D325F7" w:rsidP="00D325F7">
      <w:pPr>
        <w:jc w:val="both"/>
        <w:rPr>
          <w:rFonts w:cs="Times New Roman"/>
          <w:sz w:val="24"/>
        </w:rPr>
      </w:pPr>
      <w:r w:rsidRPr="00705C04">
        <w:rPr>
          <w:rFonts w:cs="Times New Roman" w:ascii="Times New Roman" w:hAnsi="Times New Roman"/>
          <w:b/>
          <w:bCs/>
          <w:sz w:val="22"/>
        </w:rPr>
        <w:t>Chapter 7: The Spirit of Holiness.</w:t>
      </w:r>
      <w:r w:rsidRPr="00705C04">
        <w:rPr>
          <w:rFonts w:cs="Times New Roman" w:ascii="Times New Roman" w:hAnsi="Times New Roman"/>
          <w:sz w:val="22"/>
        </w:rPr>
        <w:t xml:space="preserve"> Ferguson explores the theme of holiness, linking Old and New Testament teachings. In the Old Testament, holiness signifies separation and possession by God, forming divine covenant bonds and expressing the divine image, with God being the motivation for holiness. This concept continues in the New Testament, focused on Jesus Christ, who sanctifies us through the Spirit. Belonging to God's family, holiness is equated with Christlikeness. Jesus sanctified himself for us, embodying perfect humanity and holiness, making Christlikeness the true expression of God's image. Sanctification leads to union with Christ, and through his death and resurrection, believers die to sin and live in holiness. This transformation means the old self, associated with Adam and sin, is crucified with Christ, granting believers a new identity freed from sin's power. Romans 6:3-10 highlights that sin's reign ends, freeing believers to offer themselves to God. Christ serves as an exemplar of conformity, humility, and blessing others. The Spirit opposes the flesh, creating an internal conflict that signifies a lifelong struggle against sin, yet also leading to living in the Spirit and fulfilling God's law. Ferguson discusses the law's changed status in the New Covenant, now written in believers' hearts. The battle between God's kingdom and the kingdom of evil continues; sin's </w:t>
      </w:r>
      <w:r w:rsidRPr="00705C04">
        <w:rPr>
          <w:rFonts w:cs="Times New Roman" w:ascii="Times New Roman" w:hAnsi="Times New Roman"/>
          <w:i/>
          <w:iCs/>
          <w:sz w:val="22"/>
        </w:rPr>
        <w:t>presence</w:t>
      </w:r>
      <w:r w:rsidRPr="00705C04">
        <w:rPr>
          <w:rFonts w:cs="Times New Roman" w:ascii="Times New Roman" w:hAnsi="Times New Roman"/>
          <w:sz w:val="22"/>
        </w:rPr>
        <w:t xml:space="preserve"> persists though its </w:t>
      </w:r>
      <w:r w:rsidRPr="00705C04">
        <w:rPr>
          <w:rFonts w:cs="Times New Roman" w:ascii="Times New Roman" w:hAnsi="Times New Roman"/>
          <w:i/>
          <w:iCs/>
          <w:sz w:val="22"/>
        </w:rPr>
        <w:t>reign</w:t>
      </w:r>
      <w:r w:rsidRPr="00705C04">
        <w:rPr>
          <w:rFonts w:cs="Times New Roman" w:ascii="Times New Roman" w:hAnsi="Times New Roman"/>
          <w:sz w:val="22"/>
        </w:rPr>
        <w:t xml:space="preserve"> is destroyed. Watchfulness and prayer are essential to resist temptation. Lastly, sharing in Christ's sufferings and resurrection power entails rejecting perfectionism and acknowledging human weakness, living by God's power as united with Christ. This chapter underscores a continuous, Spirit-led pursuit of holiness and Christlike transformation in the believer's journey.</w:t>
      </w:r>
    </w:p>
    <w:p w:rsidR="00D325F7" w:rsidRPr="00705C04" w:rsidRDefault="00D325F7" w:rsidP="00D325F7">
      <w:pPr>
        <w:jc w:val="both"/>
        <w:rPr>
          <w:rFonts w:cs="Times New Roman"/>
          <w:sz w:val="24"/>
        </w:rPr>
      </w:pPr>
      <w:r w:rsidRPr="00705C04">
        <w:rPr>
          <w:rFonts w:cs="Times New Roman" w:ascii="Times New Roman" w:hAnsi="Times New Roman"/>
          <w:b/>
          <w:bCs/>
          <w:sz w:val="22"/>
        </w:rPr>
        <w:t>Chapter 8: The Communion of the Spirit</w:t>
      </w:r>
      <w:r w:rsidRPr="00705C04">
        <w:rPr>
          <w:rFonts w:cs="Times New Roman" w:ascii="Times New Roman" w:hAnsi="Times New Roman"/>
          <w:sz w:val="22"/>
        </w:rPr>
        <w:t>. Ferguson delves into the eschatological nature of the Spirit's work, characterized by the tension of "already and not yet." The Spirit’s indwelling in believers signifies a mutual union with Christ, transforming weak humans into a new spiritual existence. The Spirit serves as an earnest, a firstfruits, and a seal—guaranteeing the future inheritance, providing a foretaste of future fullness, and securing and authenticating believers for the promises to come. The Spirit embodies the spirit of sonship, offering believers moral guidance, freeing them from bondage, and affirming their identity as God's children through their cry of "Abba, Father." As the Paraclete, the Spirit mirrors Christ’s roles, teaching and bearing witness to the truth. By providing Scripture and teaching inwardly, the Spirit assures believers of their union with Christ and the Father. In intercession, the Spirit aligns prayers with God's word, reflecting human weakness and God’s promises, evidenced through believers' groans. Ferguson concludes that the communion of the Spirit provides grace to the needy, revealing God’s power in weakness and fulfilling the role of another Paraclete, like Christ.</w:t>
      </w:r>
    </w:p>
    <w:p w:rsidR="00D325F7" w:rsidRPr="00705C04" w:rsidRDefault="00992CEC" w:rsidP="00992CEC">
      <w:pPr>
        <w:jc w:val="both"/>
        <w:rPr>
          <w:rFonts w:cs="Times New Roman"/>
          <w:sz w:val="24"/>
        </w:rPr>
      </w:pPr>
      <w:r w:rsidRPr="00705C04">
        <w:rPr>
          <w:rFonts w:cs="Times New Roman" w:ascii="Times New Roman" w:hAnsi="Times New Roman"/>
          <w:b/>
          <w:bCs/>
          <w:sz w:val="22"/>
        </w:rPr>
        <w:t>Chapter 9: The Spirit &amp; the Body</w:t>
      </w:r>
      <w:r w:rsidRPr="00705C04">
        <w:rPr>
          <w:rFonts w:cs="Times New Roman" w:ascii="Times New Roman" w:hAnsi="Times New Roman"/>
          <w:sz w:val="22"/>
        </w:rPr>
        <w:t xml:space="preserve">. Sinclair Ferguson explores the role of the Holy Spirit in the concept of the </w:t>
      </w:r>
      <w:r w:rsidRPr="00705C04">
        <w:rPr>
          <w:rFonts w:cs="Times New Roman" w:ascii="Times New Roman" w:hAnsi="Times New Roman"/>
          <w:i/>
          <w:iCs/>
          <w:sz w:val="22"/>
        </w:rPr>
        <w:t>church as the body of Christ</w:t>
      </w:r>
      <w:r w:rsidRPr="00705C04">
        <w:rPr>
          <w:rFonts w:cs="Times New Roman" w:ascii="Times New Roman" w:hAnsi="Times New Roman"/>
          <w:sz w:val="22"/>
        </w:rPr>
        <w:t xml:space="preserve">, focusing particularly on baptism. The body of Christ, a common linguistic term, is uniquely Christ’s as He is the head and ruler. Baptism with the Spirit is mentioned seven times in Scripture, six of which relate to Pentecost, where Christ is the baptizer and the Spirit is the medium. The seventh instance in 1 Corinthians 12:13 refers to the Spirit as the medium of baptism into the body, not the agent. Water baptism represents initiation, drawing from practices by John and for proselytes, while Spirit baptism signifies union with Christ. The early church distinguished between the two, with the Spirit functioning as the inward bond in God’s </w:t>
      </w:r>
      <w:r w:rsidRPr="00705C04">
        <w:rPr>
          <w:rFonts w:cs="Times New Roman" w:ascii="Times New Roman" w:hAnsi="Times New Roman"/>
          <w:sz w:val="22"/>
        </w:rPr>
        <w:lastRenderedPageBreak/>
        <w:t>covenant relationships. Baptism serves as both a sign and seal of divine grace and the riches of Christ. Ferguson references two Old Testament events symbolizing baptism: Noah’s flood and the Exodus through the Red Sea. The Spirit’s work unites believers to Christ, not merely as a sign of conversion, but as an expression of divine grace and activity. Regarding the Lord’s Supper, the Spirit witnesses to the covenantal fellowship of sharing in Christ’s sacrificial death, protecting believers from the curse. Through the Spirit, communion with Christ is experienced via the elements. Calvin’s view highlights that Christ’s presence is real yet spiritual—achieved by the Spirit descending to bridge the gap with the ascended Christ. The Spirit reveals what belongs to Christ, making it known to His disciples, thus ensuring communion with Christ clothed in His humanity.</w:t>
      </w:r>
    </w:p>
    <w:p w:rsidR="00992CEC" w:rsidRPr="00705C04" w:rsidRDefault="00992CEC" w:rsidP="00992CEC">
      <w:pPr>
        <w:jc w:val="both"/>
        <w:rPr>
          <w:rFonts w:cs="Times New Roman"/>
          <w:sz w:val="24"/>
        </w:rPr>
      </w:pPr>
      <w:r w:rsidRPr="00705C04">
        <w:rPr>
          <w:rFonts w:cs="Times New Roman" w:ascii="Times New Roman" w:hAnsi="Times New Roman"/>
          <w:b/>
          <w:bCs/>
          <w:sz w:val="22"/>
        </w:rPr>
        <w:t>Chapter 10: Gifts for Ministry</w:t>
      </w:r>
      <w:r w:rsidRPr="00705C04">
        <w:rPr>
          <w:rFonts w:cs="Times New Roman" w:ascii="Times New Roman" w:hAnsi="Times New Roman"/>
          <w:sz w:val="22"/>
        </w:rPr>
        <w:t xml:space="preserve">. Sinclair Ferguson explores how Christ expresses his love through sacraments and action gifts given via the Holy Spirit, reflecting Christ's triumph and enthronement. He emphasizes the centrality of the ministry of the Word and the role of love in exercising spiritual gifts, which reveal God's grace and enable ministry. The chapter discusses various gifts, including apostles, prophets, pastors, teachers, healing, wisdom, and understanding, noting they become less clear post-apostolic age. Ferguson examines the controversial gifts of tongues and prophecy, analyzing their nature, necessity, and decline, and debating their continuation or cessation. Regarding tongues, Ferguson highlights their unique occurrence in the New Testament, noting differences between Pentecost and Corinth. Tongues are seen as a sign of divine judgment, functionally equivalent to prophecy. </w:t>
      </w:r>
      <w:r w:rsidR="008C07D3" w:rsidRPr="00705C04">
        <w:rPr>
          <w:rFonts w:cs="Times New Roman" w:ascii="Times New Roman" w:hAnsi="Times New Roman"/>
          <w:sz w:val="22"/>
        </w:rPr>
        <w:t>According to Grudem’s two-tiered argument, p</w:t>
      </w:r>
      <w:r w:rsidRPr="00705C04">
        <w:rPr>
          <w:rFonts w:cs="Times New Roman" w:ascii="Times New Roman" w:hAnsi="Times New Roman"/>
          <w:sz w:val="22"/>
        </w:rPr>
        <w:t xml:space="preserve">rophecy, as a divine revelation, is considered both infallible (by apostles) and insightful (less authoritative), </w:t>
      </w:r>
      <w:r w:rsidR="008C07D3" w:rsidRPr="00705C04">
        <w:rPr>
          <w:rFonts w:cs="Times New Roman" w:ascii="Times New Roman" w:hAnsi="Times New Roman"/>
          <w:sz w:val="22"/>
        </w:rPr>
        <w:t xml:space="preserve">the latter still continuing. Ferguson rejects this distinction in the New Testament. </w:t>
      </w:r>
      <w:r w:rsidRPr="00705C04">
        <w:rPr>
          <w:rFonts w:cs="Times New Roman" w:ascii="Times New Roman" w:hAnsi="Times New Roman"/>
          <w:sz w:val="22"/>
        </w:rPr>
        <w:t>Ferguson weighs the continuationism versus cessationism debate. Continuationists argue from the prevalence of contemporary experience, the absence of a New Testament prohibition, and Paul's teaching that prophecy ceases only with Christ's return. Cessationists argue that miraculous gifts were apostolic confirmations and ended with the completion of the biblical canon.</w:t>
      </w:r>
      <w:r w:rsidR="008C07D3" w:rsidRPr="00705C04">
        <w:rPr>
          <w:rFonts w:cs="Times New Roman" w:ascii="Times New Roman" w:hAnsi="Times New Roman"/>
          <w:sz w:val="22"/>
        </w:rPr>
        <w:t xml:space="preserve"> </w:t>
      </w:r>
      <w:r w:rsidRPr="00705C04">
        <w:rPr>
          <w:rFonts w:cs="Times New Roman" w:ascii="Times New Roman" w:hAnsi="Times New Roman"/>
          <w:sz w:val="22"/>
        </w:rPr>
        <w:t>Ferguson suggests that contemporary manifestations of tongues should be understood as meaningful but require careful interpretation.</w:t>
      </w:r>
      <w:r w:rsidR="008C07D3" w:rsidRPr="00705C04">
        <w:rPr>
          <w:rFonts w:cs="Times New Roman" w:ascii="Times New Roman" w:hAnsi="Times New Roman"/>
          <w:sz w:val="22"/>
        </w:rPr>
        <w:t xml:space="preserve"> Illumination and revelation should not be confused (as do the Neo-Orthodox and Charismatics). </w:t>
      </w:r>
      <w:r w:rsidRPr="00705C04">
        <w:rPr>
          <w:rFonts w:cs="Times New Roman" w:ascii="Times New Roman" w:hAnsi="Times New Roman"/>
          <w:sz w:val="22"/>
        </w:rPr>
        <w:t>He concludes by emphasizing the enduring importance of biblical teaching and preaching, empowered by the Spirit to provide clarity and boldness in the post-apostolic period.</w:t>
      </w:r>
    </w:p>
    <w:p w:rsidR="008C07D3" w:rsidRPr="00705C04" w:rsidRDefault="008C07D3" w:rsidP="008C07D3">
      <w:pPr>
        <w:jc w:val="both"/>
        <w:rPr>
          <w:rFonts w:cs="Times New Roman"/>
          <w:sz w:val="24"/>
        </w:rPr>
      </w:pPr>
      <w:r w:rsidRPr="00705C04">
        <w:rPr>
          <w:rFonts w:cs="Times New Roman" w:ascii="Times New Roman" w:hAnsi="Times New Roman"/>
          <w:b/>
          <w:bCs/>
          <w:sz w:val="22"/>
        </w:rPr>
        <w:t>Chapter 11: The Cosmic Spirit.</w:t>
      </w:r>
      <w:r w:rsidRPr="00705C04">
        <w:rPr>
          <w:rFonts w:cs="Times New Roman" w:ascii="Times New Roman" w:hAnsi="Times New Roman"/>
          <w:sz w:val="22"/>
        </w:rPr>
        <w:t xml:space="preserve"> Ferguson explores the theme of new creation through the second Adam, underscoring the connection between the redeemed and created order. The Spirit's presence over the waters and Mary signifies this renewal. The concept of the Cosmic Christ (Colossians 1:19-20) leads to questions about a cosmic Spirit, cautioning against unitarianism and panentheism. Ferguson addresses universalism, which posits that God's Spirit works in all religions and peoples, countering exclusivism. He critiques Karl Rahner's idea of the 'anonymous Christian' and universal salvation through the Noahic covenant sealed in Christ. Hans Urs von Balthasar warns against diluting Christ's unique revelation, while Hans Küng argues that emphasizing Christ diminishes other religions. Ferguson contends that common grace’s truth and goodness do not imply the Spirit's indwelling without Christ's work. In discussing the cosmic and eschatological Spirit, Ferguson highlights prophecies of a renewed earth. Contrasting the first Adam with the last Adam, he emphasizes that Christ was justified by the Spirit (1 Timothy 3:16). The glorified Christ, fully possessing the Spirit, initiates a new order of life marked by spirituality. This eschatological life transforms natural bodies into spiritual ones. The spiritual body is described as raised, imperishable, glorious, and powerful, contrasting earthly weakness with heavenly power. Ferguson notes that the Old Testament's concept of "Spirit" encompasses the supernatural. The indwelling </w:t>
      </w:r>
      <w:r w:rsidRPr="00705C04">
        <w:rPr>
          <w:rFonts w:cs="Times New Roman" w:ascii="Times New Roman" w:hAnsi="Times New Roman"/>
          <w:sz w:val="22"/>
        </w:rPr>
        <w:lastRenderedPageBreak/>
        <w:t>Spirit leads to spiritual bodies and renewal of creation, which will be freed from frustration. While some Lutherans propose annihilation, Ferguson supports a continuity view, citing Romans 8:20-21 and the emergence of a new heaven and new earth.</w:t>
      </w:r>
    </w:p>
    <w:p w:rsidR="00B652D6" w:rsidRPr="00705C04" w:rsidRDefault="00B652D6" w:rsidP="004F7579">
      <w:pPr>
        <w:jc w:val="both"/>
        <w:rPr>
          <w:rFonts w:cs="Times New Roman"/>
          <w:sz w:val="24"/>
        </w:rPr>
      </w:pPr>
    </w:p>
    <w:sectPr w:rsidR="00B652D6" w:rsidRPr="00705C04">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FerSB</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Holy Spirit: Contours of Christian Theology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D6"/>
    <w:rsid w:val="001E3858"/>
    <w:rsid w:val="0048361F"/>
    <w:rsid w:val="004F7579"/>
    <w:rsid w:val="006A7D60"/>
    <w:rsid w:val="00705C04"/>
    <w:rsid w:val="00770E29"/>
    <w:rsid w:val="008C07D3"/>
    <w:rsid w:val="00992CEC"/>
    <w:rsid w:val="009D265D"/>
    <w:rsid w:val="00A227B8"/>
    <w:rsid w:val="00A57F40"/>
    <w:rsid w:val="00B652D6"/>
    <w:rsid w:val="00D32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7858BBF-E129-684B-9B52-E178A1CD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7B8"/>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52D6"/>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867420">
      <w:bodyDiv w:val="1"/>
      <w:marLeft w:val="0"/>
      <w:marRight w:val="0"/>
      <w:marTop w:val="0"/>
      <w:marBottom w:val="0"/>
      <w:divBdr>
        <w:top w:val="none" w:sz="0" w:space="0" w:color="auto"/>
        <w:left w:val="none" w:sz="0" w:space="0" w:color="auto"/>
        <w:bottom w:val="none" w:sz="0" w:space="0" w:color="auto"/>
        <w:right w:val="none" w:sz="0" w:space="0" w:color="auto"/>
      </w:divBdr>
    </w:div>
    <w:div w:id="970358019">
      <w:bodyDiv w:val="1"/>
      <w:marLeft w:val="0"/>
      <w:marRight w:val="0"/>
      <w:marTop w:val="0"/>
      <w:marBottom w:val="0"/>
      <w:divBdr>
        <w:top w:val="none" w:sz="0" w:space="0" w:color="auto"/>
        <w:left w:val="none" w:sz="0" w:space="0" w:color="auto"/>
        <w:bottom w:val="none" w:sz="0" w:space="0" w:color="auto"/>
        <w:right w:val="none" w:sz="0" w:space="0" w:color="auto"/>
      </w:divBdr>
    </w:div>
    <w:div w:id="1096487470">
      <w:bodyDiv w:val="1"/>
      <w:marLeft w:val="0"/>
      <w:marRight w:val="0"/>
      <w:marTop w:val="0"/>
      <w:marBottom w:val="0"/>
      <w:divBdr>
        <w:top w:val="none" w:sz="0" w:space="0" w:color="auto"/>
        <w:left w:val="none" w:sz="0" w:space="0" w:color="auto"/>
        <w:bottom w:val="none" w:sz="0" w:space="0" w:color="auto"/>
        <w:right w:val="none" w:sz="0" w:space="0" w:color="auto"/>
      </w:divBdr>
    </w:div>
    <w:div w:id="1220701113">
      <w:bodyDiv w:val="1"/>
      <w:marLeft w:val="0"/>
      <w:marRight w:val="0"/>
      <w:marTop w:val="0"/>
      <w:marBottom w:val="0"/>
      <w:divBdr>
        <w:top w:val="none" w:sz="0" w:space="0" w:color="auto"/>
        <w:left w:val="none" w:sz="0" w:space="0" w:color="auto"/>
        <w:bottom w:val="none" w:sz="0" w:space="0" w:color="auto"/>
        <w:right w:val="none" w:sz="0" w:space="0" w:color="auto"/>
      </w:divBdr>
    </w:div>
    <w:div w:id="1252081981">
      <w:bodyDiv w:val="1"/>
      <w:marLeft w:val="0"/>
      <w:marRight w:val="0"/>
      <w:marTop w:val="0"/>
      <w:marBottom w:val="0"/>
      <w:divBdr>
        <w:top w:val="none" w:sz="0" w:space="0" w:color="auto"/>
        <w:left w:val="none" w:sz="0" w:space="0" w:color="auto"/>
        <w:bottom w:val="none" w:sz="0" w:space="0" w:color="auto"/>
        <w:right w:val="none" w:sz="0" w:space="0" w:color="auto"/>
      </w:divBdr>
    </w:div>
    <w:div w:id="1266882552">
      <w:bodyDiv w:val="1"/>
      <w:marLeft w:val="0"/>
      <w:marRight w:val="0"/>
      <w:marTop w:val="0"/>
      <w:marBottom w:val="0"/>
      <w:divBdr>
        <w:top w:val="none" w:sz="0" w:space="0" w:color="auto"/>
        <w:left w:val="none" w:sz="0" w:space="0" w:color="auto"/>
        <w:bottom w:val="none" w:sz="0" w:space="0" w:color="auto"/>
        <w:right w:val="none" w:sz="0" w:space="0" w:color="auto"/>
      </w:divBdr>
    </w:div>
    <w:div w:id="1461803828">
      <w:bodyDiv w:val="1"/>
      <w:marLeft w:val="0"/>
      <w:marRight w:val="0"/>
      <w:marTop w:val="0"/>
      <w:marBottom w:val="0"/>
      <w:divBdr>
        <w:top w:val="none" w:sz="0" w:space="0" w:color="auto"/>
        <w:left w:val="none" w:sz="0" w:space="0" w:color="auto"/>
        <w:bottom w:val="none" w:sz="0" w:space="0" w:color="auto"/>
        <w:right w:val="none" w:sz="0" w:space="0" w:color="auto"/>
      </w:divBdr>
    </w:div>
    <w:div w:id="194730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2621</Words>
  <Characters>14945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2024-05-17T17:18:00Z</dcterms:created>
  <dcterms:modified xsi:type="dcterms:W3CDTF">2024-10-07T21:01:00Z</dcterms:modified>
</cp:coreProperties>
</file>