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325E1D" w:rsidRDefault="00193557" w:rsidP="00193557">
      <w:pPr>
        <w:jc w:val="both"/>
        <w:rPr>
          <w:b/>
          <w:bCs/>
          <w:sz w:val="24"/>
        </w:rPr>
      </w:pPr>
      <w:r w:rsidRPr="00325E1D">
        <w:rPr>
          <w:rFonts w:ascii="Times New Roman" w:hAnsi="Times New Roman"/>
          <w:b/>
          <w:bCs/>
          <w:sz w:val="22"/>
        </w:rPr>
        <w:t>The Structure of Biblical Authority – Meredith Kline</w:t>
      </w:r>
    </w:p>
    <w:p w:rsidR="00193557" w:rsidRPr="00325E1D" w:rsidRDefault="00193557" w:rsidP="00193557">
      <w:pPr>
        <w:tabs>
          <w:tab w:val="left" w:pos="7440"/>
        </w:tabs>
        <w:jc w:val="both"/>
        <w:rPr>
          <w:b/>
          <w:bCs/>
          <w:sz w:val="24"/>
        </w:rPr>
      </w:pPr>
      <w:r w:rsidRPr="00325E1D">
        <w:rPr>
          <w:rFonts w:ascii="Times New Roman" w:hAnsi="Times New Roman"/>
          <w:b/>
          <w:bCs/>
          <w:sz w:val="22"/>
        </w:rPr>
        <w:t>Part I: Canon and Covenant.</w:t>
      </w:r>
      <w:r w:rsidRPr="00325E1D">
        <w:rPr>
          <w:rFonts w:ascii="Times New Roman" w:hAnsi="Times New Roman"/>
          <w:b/>
          <w:bCs/>
          <w:sz w:val="22"/>
        </w:rPr>
        <w:tab/>
      </w:r>
    </w:p>
    <w:p w:rsidR="00193557" w:rsidRPr="00325E1D" w:rsidRDefault="00193557" w:rsidP="00193557">
      <w:pPr>
        <w:jc w:val="both"/>
        <w:rPr>
          <w:sz w:val="24"/>
        </w:rPr>
      </w:pPr>
      <w:r w:rsidRPr="00325E1D">
        <w:rPr>
          <w:rFonts w:ascii="Times New Roman" w:hAnsi="Times New Roman"/>
          <w:b/>
          <w:bCs/>
          <w:sz w:val="22"/>
        </w:rPr>
        <w:t xml:space="preserve">Introduction. </w:t>
      </w:r>
      <w:r w:rsidRPr="00325E1D">
        <w:rPr>
          <w:rFonts w:ascii="Times New Roman" w:hAnsi="Times New Roman"/>
          <w:sz w:val="22"/>
        </w:rPr>
        <w:t>Meredith Kline delves into the formation of the Old Testament canon, emphasizing that it was not merely the result of conciliar decisions but a divine process where God</w:t>
      </w:r>
      <w:r w:rsidR="00366B5F" w:rsidRPr="00325E1D">
        <w:rPr>
          <w:rFonts w:ascii="Times New Roman" w:hAnsi="Times New Roman"/>
          <w:sz w:val="22"/>
        </w:rPr>
        <w:t>’</w:t>
      </w:r>
      <w:r w:rsidRPr="00325E1D">
        <w:rPr>
          <w:rFonts w:ascii="Times New Roman" w:hAnsi="Times New Roman"/>
          <w:sz w:val="22"/>
        </w:rPr>
        <w:t>s authoritative word was systematically inscribed through inspiration. Historically, scholarship often focuses on the later recognition of the canon</w:t>
      </w:r>
      <w:r w:rsidR="00366B5F" w:rsidRPr="00325E1D">
        <w:rPr>
          <w:rFonts w:ascii="Times New Roman" w:hAnsi="Times New Roman"/>
          <w:sz w:val="22"/>
        </w:rPr>
        <w:t>’</w:t>
      </w:r>
      <w:r w:rsidRPr="00325E1D">
        <w:rPr>
          <w:rFonts w:ascii="Times New Roman" w:hAnsi="Times New Roman"/>
          <w:sz w:val="22"/>
        </w:rPr>
        <w:t>s boundaries rather than the true, millennium-long formation process. Orthodox scholarship maintains an apologetic role against critical perspectives that dismiss early canonical development.</w:t>
      </w:r>
    </w:p>
    <w:p w:rsidR="00193557" w:rsidRPr="00325E1D" w:rsidRDefault="00193557" w:rsidP="00193557">
      <w:pPr>
        <w:jc w:val="both"/>
        <w:rPr>
          <w:b/>
          <w:bCs/>
          <w:sz w:val="24"/>
        </w:rPr>
      </w:pPr>
      <w:r w:rsidRPr="00325E1D">
        <w:rPr>
          <w:rFonts w:ascii="Times New Roman" w:hAnsi="Times New Roman"/>
          <w:b/>
          <w:bCs/>
          <w:sz w:val="22"/>
        </w:rPr>
        <w:t>One: Formal Origins of Biblical Canon.</w:t>
      </w:r>
    </w:p>
    <w:p w:rsidR="00193557" w:rsidRPr="00325E1D" w:rsidRDefault="00193557" w:rsidP="00193557">
      <w:pPr>
        <w:jc w:val="both"/>
        <w:rPr>
          <w:sz w:val="24"/>
        </w:rPr>
      </w:pPr>
      <w:r w:rsidRPr="00325E1D">
        <w:rPr>
          <w:rFonts w:ascii="Times New Roman" w:hAnsi="Times New Roman"/>
          <w:b/>
          <w:bCs/>
          <w:sz w:val="22"/>
        </w:rPr>
        <w:t xml:space="preserve">Ancient Near Eastern Canonical Documents. </w:t>
      </w:r>
      <w:r w:rsidRPr="00325E1D">
        <w:rPr>
          <w:rFonts w:ascii="Times New Roman" w:hAnsi="Times New Roman"/>
          <w:sz w:val="22"/>
        </w:rPr>
        <w:t>Kline draws a formal analogy between treaty documents from the Ancient Near East (ANE) and biblical covenants, noting similarities in practices such as duplicates, safeguarding them, and reading them periodically. These documents</w:t>
      </w:r>
      <w:r w:rsidR="00366B5F" w:rsidRPr="00325E1D">
        <w:rPr>
          <w:rFonts w:ascii="Times New Roman" w:hAnsi="Times New Roman"/>
          <w:sz w:val="22"/>
        </w:rPr>
        <w:t>’</w:t>
      </w:r>
      <w:r w:rsidRPr="00325E1D">
        <w:rPr>
          <w:rFonts w:ascii="Times New Roman" w:hAnsi="Times New Roman"/>
          <w:sz w:val="22"/>
        </w:rPr>
        <w:t xml:space="preserve"> authority was enforced through inscriptional curses against alteration, a concept Kline refers to as </w:t>
      </w:r>
      <w:r w:rsidR="00366B5F" w:rsidRPr="00325E1D">
        <w:rPr>
          <w:rFonts w:ascii="Times New Roman" w:hAnsi="Times New Roman"/>
          <w:sz w:val="22"/>
        </w:rPr>
        <w:t>“</w:t>
      </w:r>
      <w:r w:rsidRPr="00325E1D">
        <w:rPr>
          <w:rFonts w:ascii="Times New Roman" w:hAnsi="Times New Roman"/>
          <w:sz w:val="22"/>
        </w:rPr>
        <w:t>canonical sanction,</w:t>
      </w:r>
      <w:r w:rsidR="00366B5F" w:rsidRPr="00325E1D">
        <w:rPr>
          <w:rFonts w:ascii="Times New Roman" w:hAnsi="Times New Roman"/>
          <w:sz w:val="22"/>
        </w:rPr>
        <w:t>”</w:t>
      </w:r>
      <w:r w:rsidRPr="00325E1D">
        <w:rPr>
          <w:rFonts w:ascii="Times New Roman" w:hAnsi="Times New Roman"/>
          <w:sz w:val="22"/>
        </w:rPr>
        <w:t xml:space="preserve"> which validates speaking of their canonicity.</w:t>
      </w:r>
    </w:p>
    <w:p w:rsidR="00193557" w:rsidRPr="00325E1D" w:rsidRDefault="00193557" w:rsidP="00193557">
      <w:pPr>
        <w:jc w:val="both"/>
        <w:rPr>
          <w:sz w:val="24"/>
        </w:rPr>
      </w:pPr>
      <w:r w:rsidRPr="00325E1D">
        <w:rPr>
          <w:rFonts w:ascii="Times New Roman" w:hAnsi="Times New Roman"/>
          <w:b/>
          <w:bCs/>
          <w:sz w:val="22"/>
        </w:rPr>
        <w:t xml:space="preserve">Adoption of the Canonical Treaty Form. </w:t>
      </w:r>
      <w:r w:rsidRPr="00325E1D">
        <w:rPr>
          <w:rFonts w:ascii="Times New Roman" w:hAnsi="Times New Roman"/>
          <w:sz w:val="22"/>
        </w:rPr>
        <w:t>In the ANE, canonical documents were standard for international treaties. Yahweh adopted this legal-literary form for His covenants with Israel, transforming them, through divine inspiration, into what the church acknowledges as canon. These suzerainty covenants merged divine authority with ANE treaty forms, establishing Israel</w:t>
      </w:r>
      <w:r w:rsidR="00366B5F" w:rsidRPr="00325E1D">
        <w:rPr>
          <w:rFonts w:ascii="Times New Roman" w:hAnsi="Times New Roman"/>
          <w:sz w:val="22"/>
        </w:rPr>
        <w:t>’</w:t>
      </w:r>
      <w:r w:rsidRPr="00325E1D">
        <w:rPr>
          <w:rFonts w:ascii="Times New Roman" w:hAnsi="Times New Roman"/>
          <w:sz w:val="22"/>
        </w:rPr>
        <w:t xml:space="preserve">s scriptural canon. </w:t>
      </w:r>
    </w:p>
    <w:p w:rsidR="00193557" w:rsidRPr="00325E1D" w:rsidRDefault="00193557" w:rsidP="00193557">
      <w:pPr>
        <w:jc w:val="both"/>
        <w:rPr>
          <w:sz w:val="24"/>
        </w:rPr>
      </w:pPr>
      <w:r w:rsidRPr="00325E1D">
        <w:rPr>
          <w:rFonts w:ascii="Times New Roman" w:hAnsi="Times New Roman"/>
          <w:b/>
          <w:bCs/>
          <w:sz w:val="22"/>
        </w:rPr>
        <w:t xml:space="preserve">Anachronistic Modern Canon Theories. </w:t>
      </w:r>
      <w:r w:rsidRPr="00325E1D">
        <w:rPr>
          <w:rFonts w:ascii="Times New Roman" w:hAnsi="Times New Roman"/>
          <w:sz w:val="22"/>
        </w:rPr>
        <w:t>Criticisms from modern scholars, such as von Rad and Fohrer, challenge the early relationship between the Sinai covenant and Israel</w:t>
      </w:r>
      <w:r w:rsidR="00366B5F" w:rsidRPr="00325E1D">
        <w:rPr>
          <w:rFonts w:ascii="Times New Roman" w:hAnsi="Times New Roman"/>
          <w:sz w:val="22"/>
        </w:rPr>
        <w:t>’</w:t>
      </w:r>
      <w:r w:rsidRPr="00325E1D">
        <w:rPr>
          <w:rFonts w:ascii="Times New Roman" w:hAnsi="Times New Roman"/>
          <w:sz w:val="22"/>
        </w:rPr>
        <w:t>s literature. Kline argues that if covenant concepts shaped Israel</w:t>
      </w:r>
      <w:r w:rsidR="00366B5F" w:rsidRPr="00325E1D">
        <w:rPr>
          <w:rFonts w:ascii="Times New Roman" w:hAnsi="Times New Roman"/>
          <w:sz w:val="22"/>
        </w:rPr>
        <w:t>’</w:t>
      </w:r>
      <w:r w:rsidRPr="00325E1D">
        <w:rPr>
          <w:rFonts w:ascii="Times New Roman" w:hAnsi="Times New Roman"/>
          <w:sz w:val="22"/>
        </w:rPr>
        <w:t>s pre</w:t>
      </w:r>
      <w:r w:rsidR="00775149" w:rsidRPr="00325E1D">
        <w:rPr>
          <w:rFonts w:ascii="Times New Roman" w:hAnsi="Times New Roman"/>
          <w:sz w:val="22"/>
        </w:rPr>
        <w:t>-</w:t>
      </w:r>
      <w:r w:rsidRPr="00325E1D">
        <w:rPr>
          <w:rFonts w:ascii="Times New Roman" w:hAnsi="Times New Roman"/>
          <w:sz w:val="22"/>
        </w:rPr>
        <w:t>prophetic literature, canonical Scripture cannot be viewed as a late innovation. Discrepancies arise when scholars, like Noth, distinguish validity from canonicity, leading to misunderstandings about the covenant</w:t>
      </w:r>
      <w:r w:rsidR="00366B5F" w:rsidRPr="00325E1D">
        <w:rPr>
          <w:rFonts w:ascii="Times New Roman" w:hAnsi="Times New Roman"/>
          <w:sz w:val="22"/>
        </w:rPr>
        <w:t>’</w:t>
      </w:r>
      <w:r w:rsidRPr="00325E1D">
        <w:rPr>
          <w:rFonts w:ascii="Times New Roman" w:hAnsi="Times New Roman"/>
          <w:sz w:val="22"/>
        </w:rPr>
        <w:t>s role in Israel</w:t>
      </w:r>
      <w:r w:rsidR="00366B5F" w:rsidRPr="00325E1D">
        <w:rPr>
          <w:rFonts w:ascii="Times New Roman" w:hAnsi="Times New Roman"/>
          <w:sz w:val="22"/>
        </w:rPr>
        <w:t>’</w:t>
      </w:r>
      <w:r w:rsidRPr="00325E1D">
        <w:rPr>
          <w:rFonts w:ascii="Times New Roman" w:hAnsi="Times New Roman"/>
          <w:sz w:val="22"/>
        </w:rPr>
        <w:t>s religious life and broader redemptive history. These theories often recycle outdated Wellhausenian approaches, missing the authentic historical trajectory of canon formation.</w:t>
      </w:r>
    </w:p>
    <w:p w:rsidR="00193557" w:rsidRPr="00325E1D" w:rsidRDefault="00193557" w:rsidP="00193557">
      <w:pPr>
        <w:jc w:val="both"/>
        <w:rPr>
          <w:sz w:val="24"/>
        </w:rPr>
      </w:pPr>
      <w:r w:rsidRPr="00325E1D">
        <w:rPr>
          <w:rFonts w:ascii="Times New Roman" w:hAnsi="Times New Roman"/>
          <w:b/>
          <w:bCs/>
          <w:sz w:val="22"/>
        </w:rPr>
        <w:t xml:space="preserve">Conclusion. </w:t>
      </w:r>
      <w:r w:rsidRPr="00325E1D">
        <w:rPr>
          <w:rFonts w:ascii="Times New Roman" w:hAnsi="Times New Roman"/>
          <w:sz w:val="22"/>
        </w:rPr>
        <w:t>Kline asserts that the treaty establishing Israel</w:t>
      </w:r>
      <w:r w:rsidR="00366B5F" w:rsidRPr="00325E1D">
        <w:rPr>
          <w:rFonts w:ascii="Times New Roman" w:hAnsi="Times New Roman"/>
          <w:sz w:val="22"/>
        </w:rPr>
        <w:t>’</w:t>
      </w:r>
      <w:r w:rsidRPr="00325E1D">
        <w:rPr>
          <w:rFonts w:ascii="Times New Roman" w:hAnsi="Times New Roman"/>
          <w:sz w:val="22"/>
        </w:rPr>
        <w:t xml:space="preserve">s theocracy was both the inception and core of the OT canon. The canon is inherently linked to the covenant, which informs the doctrine of canon with historical authenticity. </w:t>
      </w:r>
    </w:p>
    <w:p w:rsidR="00193557" w:rsidRPr="00325E1D" w:rsidRDefault="00193557" w:rsidP="00193557">
      <w:pPr>
        <w:jc w:val="both"/>
        <w:rPr>
          <w:b/>
          <w:bCs/>
          <w:sz w:val="24"/>
        </w:rPr>
      </w:pPr>
      <w:r w:rsidRPr="00325E1D">
        <w:rPr>
          <w:rFonts w:ascii="Times New Roman" w:hAnsi="Times New Roman"/>
          <w:b/>
          <w:bCs/>
          <w:sz w:val="22"/>
        </w:rPr>
        <w:t>Two: Covenantal Bible</w:t>
      </w:r>
    </w:p>
    <w:p w:rsidR="00193557" w:rsidRPr="00325E1D" w:rsidRDefault="00193557" w:rsidP="00193557">
      <w:pPr>
        <w:jc w:val="both"/>
        <w:rPr>
          <w:sz w:val="24"/>
        </w:rPr>
      </w:pPr>
      <w:r w:rsidRPr="00325E1D">
        <w:rPr>
          <w:rFonts w:ascii="Times New Roman" w:hAnsi="Times New Roman"/>
          <w:b/>
          <w:bCs/>
          <w:sz w:val="22"/>
        </w:rPr>
        <w:t xml:space="preserve">Covenantal Old Testament. </w:t>
      </w:r>
      <w:r w:rsidRPr="00325E1D">
        <w:rPr>
          <w:rFonts w:ascii="Times New Roman" w:hAnsi="Times New Roman"/>
          <w:sz w:val="22"/>
        </w:rPr>
        <w:t xml:space="preserve">The OT is repeatedly referred to as the </w:t>
      </w:r>
      <w:r w:rsidR="00366B5F" w:rsidRPr="00325E1D">
        <w:rPr>
          <w:rFonts w:ascii="Times New Roman" w:hAnsi="Times New Roman"/>
          <w:sz w:val="22"/>
        </w:rPr>
        <w:t>“</w:t>
      </w:r>
      <w:r w:rsidRPr="00325E1D">
        <w:rPr>
          <w:rFonts w:ascii="Times New Roman" w:hAnsi="Times New Roman"/>
          <w:sz w:val="22"/>
        </w:rPr>
        <w:t>book of the covenant</w:t>
      </w:r>
      <w:r w:rsidR="00366B5F" w:rsidRPr="00325E1D">
        <w:rPr>
          <w:rFonts w:ascii="Times New Roman" w:hAnsi="Times New Roman"/>
          <w:sz w:val="22"/>
        </w:rPr>
        <w:t>”</w:t>
      </w:r>
      <w:r w:rsidRPr="00325E1D">
        <w:rPr>
          <w:rFonts w:ascii="Times New Roman" w:hAnsi="Times New Roman"/>
          <w:sz w:val="22"/>
        </w:rPr>
        <w:t xml:space="preserve"> (Maccabees, 2 Cor. 3:14). Kline underscores two crucial claims: (1) </w:t>
      </w:r>
      <w:r w:rsidRPr="00325E1D">
        <w:rPr>
          <w:rFonts w:ascii="Times New Roman" w:hAnsi="Times New Roman"/>
          <w:i/>
          <w:iCs/>
          <w:sz w:val="22"/>
        </w:rPr>
        <w:t>Divine Authorship</w:t>
      </w:r>
      <w:r w:rsidRPr="00325E1D">
        <w:rPr>
          <w:rFonts w:ascii="Times New Roman" w:hAnsi="Times New Roman"/>
          <w:sz w:val="22"/>
        </w:rPr>
        <w:t xml:space="preserve">: While acknowledging the human dimensions of the OT, Kline insists that God is ultimately its principal author, issuing it from His throne, thereby imparting a functional unity across its varied literary forms. (2) </w:t>
      </w:r>
      <w:r w:rsidRPr="00325E1D">
        <w:rPr>
          <w:rFonts w:ascii="Times New Roman" w:hAnsi="Times New Roman"/>
          <w:i/>
          <w:iCs/>
          <w:sz w:val="22"/>
        </w:rPr>
        <w:t>Earthly Derivation</w:t>
      </w:r>
      <w:r w:rsidRPr="00325E1D">
        <w:rPr>
          <w:rFonts w:ascii="Times New Roman" w:hAnsi="Times New Roman"/>
          <w:sz w:val="22"/>
        </w:rPr>
        <w:t>: The OT emerged from the Israelite community under Yahweh</w:t>
      </w:r>
      <w:r w:rsidR="00366B5F" w:rsidRPr="00325E1D">
        <w:rPr>
          <w:rFonts w:ascii="Times New Roman" w:hAnsi="Times New Roman"/>
          <w:sz w:val="22"/>
        </w:rPr>
        <w:t>’</w:t>
      </w:r>
      <w:r w:rsidRPr="00325E1D">
        <w:rPr>
          <w:rFonts w:ascii="Times New Roman" w:hAnsi="Times New Roman"/>
          <w:sz w:val="22"/>
        </w:rPr>
        <w:t>s covenant rule, with all parts serving and bearing the covenant</w:t>
      </w:r>
      <w:r w:rsidR="00366B5F" w:rsidRPr="00325E1D">
        <w:rPr>
          <w:rFonts w:ascii="Times New Roman" w:hAnsi="Times New Roman"/>
          <w:sz w:val="22"/>
        </w:rPr>
        <w:t>’</w:t>
      </w:r>
      <w:r w:rsidRPr="00325E1D">
        <w:rPr>
          <w:rFonts w:ascii="Times New Roman" w:hAnsi="Times New Roman"/>
          <w:sz w:val="22"/>
        </w:rPr>
        <w:t>s mark.</w:t>
      </w:r>
    </w:p>
    <w:p w:rsidR="00193557" w:rsidRPr="00325E1D" w:rsidRDefault="00193557" w:rsidP="00193557">
      <w:pPr>
        <w:jc w:val="both"/>
        <w:rPr>
          <w:sz w:val="24"/>
        </w:rPr>
      </w:pPr>
      <w:r w:rsidRPr="00325E1D">
        <w:rPr>
          <w:rFonts w:ascii="Times New Roman" w:hAnsi="Times New Roman"/>
          <w:b/>
          <w:bCs/>
          <w:sz w:val="22"/>
        </w:rPr>
        <w:t xml:space="preserve">Law. </w:t>
      </w:r>
      <w:r w:rsidRPr="00325E1D">
        <w:rPr>
          <w:rFonts w:ascii="Times New Roman" w:hAnsi="Times New Roman"/>
          <w:sz w:val="22"/>
        </w:rPr>
        <w:t xml:space="preserve">Key legal texts, such as the Decalogue and Deuteronomy, adopt the treaty form, stipulations, and context of a covenant (e.g., Ex. 21-23: </w:t>
      </w:r>
      <w:r w:rsidR="00366B5F" w:rsidRPr="00325E1D">
        <w:rPr>
          <w:rFonts w:ascii="Times New Roman" w:hAnsi="Times New Roman"/>
          <w:sz w:val="22"/>
        </w:rPr>
        <w:t>“</w:t>
      </w:r>
      <w:r w:rsidRPr="00325E1D">
        <w:rPr>
          <w:rFonts w:ascii="Times New Roman" w:hAnsi="Times New Roman"/>
          <w:sz w:val="22"/>
        </w:rPr>
        <w:t>the book of the covenant</w:t>
      </w:r>
      <w:r w:rsidR="00366B5F" w:rsidRPr="00325E1D">
        <w:rPr>
          <w:rFonts w:ascii="Times New Roman" w:hAnsi="Times New Roman"/>
          <w:sz w:val="22"/>
        </w:rPr>
        <w:t>”</w:t>
      </w:r>
      <w:r w:rsidRPr="00325E1D">
        <w:rPr>
          <w:rFonts w:ascii="Times New Roman" w:hAnsi="Times New Roman"/>
          <w:sz w:val="22"/>
        </w:rPr>
        <w:t>). These laws were integrated with covenantal rites like cultic sacrifices and other suzerain-vassal obligations, emphasizing public treaty reading, military assistance, and ceremonial observances.</w:t>
      </w:r>
    </w:p>
    <w:p w:rsidR="00193557" w:rsidRPr="00325E1D" w:rsidRDefault="00193557" w:rsidP="00193557">
      <w:pPr>
        <w:jc w:val="both"/>
        <w:rPr>
          <w:sz w:val="24"/>
        </w:rPr>
      </w:pPr>
      <w:r w:rsidRPr="00325E1D">
        <w:rPr>
          <w:rFonts w:ascii="Times New Roman" w:hAnsi="Times New Roman"/>
          <w:b/>
          <w:bCs/>
          <w:sz w:val="22"/>
        </w:rPr>
        <w:t xml:space="preserve">History. </w:t>
      </w:r>
      <w:r w:rsidRPr="00325E1D">
        <w:rPr>
          <w:rFonts w:ascii="Times New Roman" w:hAnsi="Times New Roman"/>
          <w:sz w:val="22"/>
        </w:rPr>
        <w:t>Pentateuchal history intertwines with legal stipulations, setting a backdrop for particular obligations. Subsequent biblical history extends foundational Mosaic treaties, highlighting Yahweh</w:t>
      </w:r>
      <w:r w:rsidR="00366B5F" w:rsidRPr="00325E1D">
        <w:rPr>
          <w:rFonts w:ascii="Times New Roman" w:hAnsi="Times New Roman"/>
          <w:sz w:val="22"/>
        </w:rPr>
        <w:t>’</w:t>
      </w:r>
      <w:r w:rsidRPr="00325E1D">
        <w:rPr>
          <w:rFonts w:ascii="Times New Roman" w:hAnsi="Times New Roman"/>
          <w:sz w:val="22"/>
        </w:rPr>
        <w:t>s covenant relationship with Israel, His faithfulness, Israel</w:t>
      </w:r>
      <w:r w:rsidR="00366B5F" w:rsidRPr="00325E1D">
        <w:rPr>
          <w:rFonts w:ascii="Times New Roman" w:hAnsi="Times New Roman"/>
          <w:sz w:val="22"/>
        </w:rPr>
        <w:t>’</w:t>
      </w:r>
      <w:r w:rsidRPr="00325E1D">
        <w:rPr>
          <w:rFonts w:ascii="Times New Roman" w:hAnsi="Times New Roman"/>
          <w:sz w:val="22"/>
        </w:rPr>
        <w:t>s covenant-breaking, and resultant curses. These histories often reaffirm and renew the covenant post-judgment, linking closely with prophetic literature.</w:t>
      </w:r>
    </w:p>
    <w:p w:rsidR="00193557" w:rsidRPr="00325E1D" w:rsidRDefault="00193557" w:rsidP="00193557">
      <w:pPr>
        <w:jc w:val="both"/>
        <w:rPr>
          <w:sz w:val="24"/>
        </w:rPr>
      </w:pPr>
      <w:r w:rsidRPr="00325E1D">
        <w:rPr>
          <w:rFonts w:ascii="Times New Roman" w:hAnsi="Times New Roman"/>
          <w:b/>
          <w:bCs/>
          <w:sz w:val="22"/>
        </w:rPr>
        <w:lastRenderedPageBreak/>
        <w:t xml:space="preserve">Prophecy. </w:t>
      </w:r>
      <w:r w:rsidRPr="00325E1D">
        <w:rPr>
          <w:rFonts w:ascii="Times New Roman" w:hAnsi="Times New Roman"/>
          <w:sz w:val="22"/>
        </w:rPr>
        <w:t>Prophets served as Yahweh</w:t>
      </w:r>
      <w:r w:rsidR="00366B5F" w:rsidRPr="00325E1D">
        <w:rPr>
          <w:rFonts w:ascii="Times New Roman" w:hAnsi="Times New Roman"/>
          <w:sz w:val="22"/>
        </w:rPr>
        <w:t>’</w:t>
      </w:r>
      <w:r w:rsidRPr="00325E1D">
        <w:rPr>
          <w:rFonts w:ascii="Times New Roman" w:hAnsi="Times New Roman"/>
          <w:sz w:val="22"/>
        </w:rPr>
        <w:t>s messengers, performing a distinctive diplomatic function outlined in the Deuteronomic treaty. They represent Yahweh in covenant administration, employing covenantal language and themes (e.g., covenant lawsuits, witness of heaven and earth, admonition-promise-accusation-threat).</w:t>
      </w:r>
    </w:p>
    <w:p w:rsidR="00193557" w:rsidRPr="00325E1D" w:rsidRDefault="00193557" w:rsidP="00193557">
      <w:pPr>
        <w:jc w:val="both"/>
        <w:rPr>
          <w:sz w:val="24"/>
        </w:rPr>
      </w:pPr>
      <w:r w:rsidRPr="00325E1D">
        <w:rPr>
          <w:rFonts w:ascii="Times New Roman" w:hAnsi="Times New Roman"/>
          <w:b/>
          <w:bCs/>
          <w:sz w:val="22"/>
        </w:rPr>
        <w:t xml:space="preserve">Praise. </w:t>
      </w:r>
      <w:r w:rsidRPr="00325E1D">
        <w:rPr>
          <w:rFonts w:ascii="Times New Roman" w:hAnsi="Times New Roman"/>
          <w:sz w:val="22"/>
        </w:rPr>
        <w:t>Debate exists on the Psalter</w:t>
      </w:r>
      <w:r w:rsidR="00366B5F" w:rsidRPr="00325E1D">
        <w:rPr>
          <w:rFonts w:ascii="Times New Roman" w:hAnsi="Times New Roman"/>
          <w:sz w:val="22"/>
        </w:rPr>
        <w:t>’</w:t>
      </w:r>
      <w:r w:rsidRPr="00325E1D">
        <w:rPr>
          <w:rFonts w:ascii="Times New Roman" w:hAnsi="Times New Roman"/>
          <w:sz w:val="22"/>
        </w:rPr>
        <w:t>s relationship to Israel</w:t>
      </w:r>
      <w:r w:rsidR="00366B5F" w:rsidRPr="00325E1D">
        <w:rPr>
          <w:rFonts w:ascii="Times New Roman" w:hAnsi="Times New Roman"/>
          <w:sz w:val="22"/>
        </w:rPr>
        <w:t>’</w:t>
      </w:r>
      <w:r w:rsidRPr="00325E1D">
        <w:rPr>
          <w:rFonts w:ascii="Times New Roman" w:hAnsi="Times New Roman"/>
          <w:sz w:val="22"/>
        </w:rPr>
        <w:t>s cult, though many psalms were used in temple worship, which was central to the covenant. Psalms act as spiritual sacrifices to the suzerain, involving covenant ratification (</w:t>
      </w:r>
      <w:r w:rsidR="00366B5F" w:rsidRPr="00325E1D">
        <w:rPr>
          <w:rFonts w:ascii="Times New Roman" w:hAnsi="Times New Roman"/>
          <w:sz w:val="22"/>
        </w:rPr>
        <w:t>“</w:t>
      </w:r>
      <w:r w:rsidRPr="00325E1D">
        <w:rPr>
          <w:rFonts w:ascii="Times New Roman" w:hAnsi="Times New Roman"/>
          <w:sz w:val="22"/>
        </w:rPr>
        <w:t>Amen</w:t>
      </w:r>
      <w:r w:rsidR="00366B5F" w:rsidRPr="00325E1D">
        <w:rPr>
          <w:rFonts w:ascii="Times New Roman" w:hAnsi="Times New Roman"/>
          <w:sz w:val="22"/>
        </w:rPr>
        <w:t>”</w:t>
      </w:r>
      <w:r w:rsidRPr="00325E1D">
        <w:rPr>
          <w:rFonts w:ascii="Times New Roman" w:hAnsi="Times New Roman"/>
          <w:sz w:val="22"/>
        </w:rPr>
        <w:t>) and recounting Yahweh</w:t>
      </w:r>
      <w:r w:rsidR="00366B5F" w:rsidRPr="00325E1D">
        <w:rPr>
          <w:rFonts w:ascii="Times New Roman" w:hAnsi="Times New Roman"/>
          <w:sz w:val="22"/>
        </w:rPr>
        <w:t>’</w:t>
      </w:r>
      <w:r w:rsidRPr="00325E1D">
        <w:rPr>
          <w:rFonts w:ascii="Times New Roman" w:hAnsi="Times New Roman"/>
          <w:sz w:val="22"/>
        </w:rPr>
        <w:t>s mighty acts.</w:t>
      </w:r>
    </w:p>
    <w:p w:rsidR="00193557" w:rsidRPr="00325E1D" w:rsidRDefault="00193557" w:rsidP="00193557">
      <w:pPr>
        <w:jc w:val="both"/>
        <w:rPr>
          <w:sz w:val="24"/>
        </w:rPr>
      </w:pPr>
      <w:r w:rsidRPr="00325E1D">
        <w:rPr>
          <w:rFonts w:ascii="Times New Roman" w:hAnsi="Times New Roman"/>
          <w:b/>
          <w:bCs/>
          <w:sz w:val="22"/>
        </w:rPr>
        <w:t xml:space="preserve">Wisdom. </w:t>
      </w:r>
      <w:r w:rsidRPr="00325E1D">
        <w:rPr>
          <w:rFonts w:ascii="Times New Roman" w:hAnsi="Times New Roman"/>
          <w:sz w:val="22"/>
        </w:rPr>
        <w:t>Wisdom literature, beginning with the fear of Yahweh, functions to elucidate the covenant, adding personal knowledge of God</w:t>
      </w:r>
      <w:r w:rsidR="00366B5F" w:rsidRPr="00325E1D">
        <w:rPr>
          <w:rFonts w:ascii="Times New Roman" w:hAnsi="Times New Roman"/>
          <w:sz w:val="22"/>
        </w:rPr>
        <w:t>’</w:t>
      </w:r>
      <w:r w:rsidRPr="00325E1D">
        <w:rPr>
          <w:rFonts w:ascii="Times New Roman" w:hAnsi="Times New Roman"/>
          <w:sz w:val="22"/>
        </w:rPr>
        <w:t>s dealings with individuals to His covenantal requirements. Wisdom is linked to covenantal institutions like Solomon</w:t>
      </w:r>
      <w:r w:rsidR="00366B5F" w:rsidRPr="00325E1D">
        <w:rPr>
          <w:rFonts w:ascii="Times New Roman" w:hAnsi="Times New Roman"/>
          <w:sz w:val="22"/>
        </w:rPr>
        <w:t>’</w:t>
      </w:r>
      <w:r w:rsidRPr="00325E1D">
        <w:rPr>
          <w:rFonts w:ascii="Times New Roman" w:hAnsi="Times New Roman"/>
          <w:sz w:val="22"/>
        </w:rPr>
        <w:t>s court and is shaped by prophetic literary techniques and themes (e.g., lawsuits, theodicy in Lamentations). It shares concerns with extrabiblical literature on treaties by transmitting precepts through generational instruction.</w:t>
      </w:r>
    </w:p>
    <w:p w:rsidR="00193557" w:rsidRPr="00325E1D" w:rsidRDefault="00193557" w:rsidP="00193557">
      <w:pPr>
        <w:jc w:val="both"/>
        <w:rPr>
          <w:sz w:val="24"/>
        </w:rPr>
      </w:pPr>
      <w:r w:rsidRPr="00325E1D">
        <w:rPr>
          <w:rFonts w:ascii="Times New Roman" w:hAnsi="Times New Roman"/>
          <w:b/>
          <w:bCs/>
          <w:sz w:val="22"/>
        </w:rPr>
        <w:t xml:space="preserve">Covenantal New Testament. </w:t>
      </w:r>
      <w:r w:rsidRPr="00325E1D">
        <w:rPr>
          <w:rFonts w:ascii="Times New Roman" w:hAnsi="Times New Roman"/>
          <w:sz w:val="22"/>
        </w:rPr>
        <w:t xml:space="preserve">Kline includes this section for a holistic biblical view. The NT reflects the pattern of renewing covenants through new treaty documents, following organically connected redemptive history via successive covenant renewals. NT authors may not have consciously known the international treaty model but understood it through the OT form. </w:t>
      </w:r>
      <w:r w:rsidRPr="00325E1D">
        <w:rPr>
          <w:rFonts w:ascii="Times New Roman" w:hAnsi="Times New Roman"/>
          <w:sz w:val="22"/>
          <w:u w:val="single"/>
        </w:rPr>
        <w:t>Literary Forms</w:t>
      </w:r>
      <w:r w:rsidRPr="00325E1D">
        <w:rPr>
          <w:rFonts w:ascii="Times New Roman" w:hAnsi="Times New Roman"/>
          <w:sz w:val="22"/>
        </w:rPr>
        <w:t xml:space="preserve">: </w:t>
      </w:r>
      <w:r w:rsidRPr="00325E1D">
        <w:rPr>
          <w:rFonts w:ascii="Times New Roman" w:hAnsi="Times New Roman"/>
          <w:i/>
          <w:iCs/>
          <w:sz w:val="22"/>
        </w:rPr>
        <w:t xml:space="preserve">Gospels and Acts </w:t>
      </w:r>
      <w:r w:rsidRPr="00325E1D">
        <w:rPr>
          <w:rFonts w:ascii="Times New Roman" w:hAnsi="Times New Roman"/>
          <w:sz w:val="22"/>
        </w:rPr>
        <w:t xml:space="preserve">parallels OT historical narratives, focusing on the treaty of the Messianic Lord to establish a new covenant order. </w:t>
      </w:r>
      <w:r w:rsidRPr="00325E1D">
        <w:rPr>
          <w:rFonts w:ascii="Times New Roman" w:hAnsi="Times New Roman"/>
          <w:i/>
          <w:iCs/>
          <w:sz w:val="22"/>
        </w:rPr>
        <w:t>Epistles</w:t>
      </w:r>
      <w:r w:rsidRPr="00325E1D">
        <w:rPr>
          <w:rFonts w:ascii="Times New Roman" w:hAnsi="Times New Roman"/>
          <w:sz w:val="22"/>
        </w:rPr>
        <w:t xml:space="preserve"> reflect elements of prophetic literature, wisdom, worship, and law, adapted creatively from OT structures. </w:t>
      </w:r>
      <w:r w:rsidRPr="00325E1D">
        <w:rPr>
          <w:rFonts w:ascii="Times New Roman" w:hAnsi="Times New Roman"/>
          <w:i/>
          <w:iCs/>
          <w:sz w:val="22"/>
        </w:rPr>
        <w:t>Apocalypse</w:t>
      </w:r>
      <w:r w:rsidRPr="00325E1D">
        <w:rPr>
          <w:rFonts w:ascii="Times New Roman" w:hAnsi="Times New Roman"/>
          <w:sz w:val="22"/>
        </w:rPr>
        <w:t xml:space="preserve"> relates to prophetic literature. In sum, both OT and NT uniquely adapt and extend the formal structure of ancient treaties under divine inspiration to form the canonical Scriptures governing God</w:t>
      </w:r>
      <w:r w:rsidR="00366B5F" w:rsidRPr="00325E1D">
        <w:rPr>
          <w:rFonts w:ascii="Times New Roman" w:hAnsi="Times New Roman"/>
          <w:sz w:val="22"/>
        </w:rPr>
        <w:t>’</w:t>
      </w:r>
      <w:r w:rsidRPr="00325E1D">
        <w:rPr>
          <w:rFonts w:ascii="Times New Roman" w:hAnsi="Times New Roman"/>
          <w:sz w:val="22"/>
        </w:rPr>
        <w:t>s covenantal relationship with His people.</w:t>
      </w:r>
    </w:p>
    <w:p w:rsidR="00193557" w:rsidRPr="00325E1D" w:rsidRDefault="00193557" w:rsidP="00193557">
      <w:pPr>
        <w:jc w:val="both"/>
        <w:rPr>
          <w:b/>
          <w:bCs/>
          <w:sz w:val="24"/>
        </w:rPr>
      </w:pPr>
      <w:r w:rsidRPr="00325E1D">
        <w:rPr>
          <w:rFonts w:ascii="Times New Roman" w:hAnsi="Times New Roman"/>
          <w:b/>
          <w:bCs/>
          <w:sz w:val="22"/>
        </w:rPr>
        <w:t>Three: Canon and Covenant Community</w:t>
      </w:r>
    </w:p>
    <w:p w:rsidR="00193557" w:rsidRPr="00325E1D" w:rsidRDefault="00193557" w:rsidP="00193557">
      <w:pPr>
        <w:jc w:val="both"/>
        <w:rPr>
          <w:sz w:val="24"/>
        </w:rPr>
      </w:pPr>
      <w:r w:rsidRPr="00325E1D">
        <w:rPr>
          <w:rFonts w:ascii="Times New Roman" w:hAnsi="Times New Roman"/>
          <w:b/>
          <w:bCs/>
          <w:sz w:val="22"/>
        </w:rPr>
        <w:t xml:space="preserve">Architectural Model for Biblical Canon. </w:t>
      </w:r>
      <w:r w:rsidRPr="00325E1D">
        <w:rPr>
          <w:rFonts w:ascii="Times New Roman" w:hAnsi="Times New Roman"/>
          <w:sz w:val="22"/>
        </w:rPr>
        <w:t>The origins of Scripture, beginning in Exodus, demonstrate a structured approach to Israel</w:t>
      </w:r>
      <w:r w:rsidR="00366B5F" w:rsidRPr="00325E1D">
        <w:rPr>
          <w:rFonts w:ascii="Times New Roman" w:hAnsi="Times New Roman"/>
          <w:sz w:val="22"/>
        </w:rPr>
        <w:t>’</w:t>
      </w:r>
      <w:r w:rsidRPr="00325E1D">
        <w:rPr>
          <w:rFonts w:ascii="Times New Roman" w:hAnsi="Times New Roman"/>
          <w:sz w:val="22"/>
        </w:rPr>
        <w:t xml:space="preserve">s covenant relationship with God. </w:t>
      </w:r>
      <w:r w:rsidRPr="00325E1D">
        <w:rPr>
          <w:rFonts w:ascii="Times New Roman" w:hAnsi="Times New Roman"/>
          <w:i/>
          <w:iCs/>
          <w:sz w:val="22"/>
        </w:rPr>
        <w:t>Noahic Stage</w:t>
      </w:r>
      <w:r w:rsidRPr="00325E1D">
        <w:rPr>
          <w:rFonts w:ascii="Times New Roman" w:hAnsi="Times New Roman"/>
          <w:sz w:val="22"/>
        </w:rPr>
        <w:t xml:space="preserve">: Involved a familial covenant rather than a kingdom-oriented treaty. </w:t>
      </w:r>
      <w:r w:rsidRPr="00325E1D">
        <w:rPr>
          <w:rFonts w:ascii="Times New Roman" w:hAnsi="Times New Roman"/>
          <w:i/>
          <w:iCs/>
          <w:sz w:val="22"/>
        </w:rPr>
        <w:t>Mosaic Stage</w:t>
      </w:r>
      <w:r w:rsidR="00FC2ED0" w:rsidRPr="00325E1D">
        <w:rPr>
          <w:rFonts w:ascii="Times New Roman" w:hAnsi="Times New Roman"/>
          <w:sz w:val="22"/>
        </w:rPr>
        <w:t>:</w:t>
      </w:r>
      <w:r w:rsidRPr="00325E1D">
        <w:rPr>
          <w:rFonts w:ascii="Times New Roman" w:hAnsi="Times New Roman"/>
          <w:sz w:val="22"/>
        </w:rPr>
        <w:t xml:space="preserve"> Transitioned to a national covenant, establishing Israel as Yahweh</w:t>
      </w:r>
      <w:r w:rsidR="00366B5F" w:rsidRPr="00325E1D">
        <w:rPr>
          <w:rFonts w:ascii="Times New Roman" w:hAnsi="Times New Roman"/>
          <w:sz w:val="22"/>
        </w:rPr>
        <w:t>’</w:t>
      </w:r>
      <w:r w:rsidRPr="00325E1D">
        <w:rPr>
          <w:rFonts w:ascii="Times New Roman" w:hAnsi="Times New Roman"/>
          <w:sz w:val="22"/>
        </w:rPr>
        <w:t>s kingdom.</w:t>
      </w:r>
      <w:r w:rsidR="00FC2ED0" w:rsidRPr="00325E1D">
        <w:rPr>
          <w:rFonts w:ascii="Times New Roman" w:hAnsi="Times New Roman"/>
          <w:sz w:val="22"/>
        </w:rPr>
        <w:t xml:space="preserve"> </w:t>
      </w:r>
      <w:r w:rsidRPr="00325E1D">
        <w:rPr>
          <w:rFonts w:ascii="Times New Roman" w:hAnsi="Times New Roman"/>
          <w:sz w:val="22"/>
        </w:rPr>
        <w:t>Scriptural revelation through Abraham, Isaac, and Jacob promised a covenantal kingdom, fully realized in Israel, where Yahweh</w:t>
      </w:r>
      <w:r w:rsidR="00366B5F" w:rsidRPr="00325E1D">
        <w:rPr>
          <w:rFonts w:ascii="Times New Roman" w:hAnsi="Times New Roman"/>
          <w:sz w:val="22"/>
        </w:rPr>
        <w:t>’</w:t>
      </w:r>
      <w:r w:rsidRPr="00325E1D">
        <w:rPr>
          <w:rFonts w:ascii="Times New Roman" w:hAnsi="Times New Roman"/>
          <w:sz w:val="22"/>
        </w:rPr>
        <w:t>s triumphant kingship is dramatically displayed.</w:t>
      </w:r>
    </w:p>
    <w:p w:rsidR="00193557" w:rsidRPr="00325E1D" w:rsidRDefault="00193557" w:rsidP="00193557">
      <w:pPr>
        <w:jc w:val="both"/>
        <w:rPr>
          <w:sz w:val="24"/>
        </w:rPr>
      </w:pPr>
      <w:r w:rsidRPr="00325E1D">
        <w:rPr>
          <w:rFonts w:ascii="Times New Roman" w:hAnsi="Times New Roman"/>
          <w:b/>
          <w:bCs/>
          <w:sz w:val="22"/>
        </w:rPr>
        <w:t>Architectural Aspect</w:t>
      </w:r>
      <w:r w:rsidR="00FC2ED0" w:rsidRPr="00325E1D">
        <w:rPr>
          <w:rFonts w:ascii="Times New Roman" w:hAnsi="Times New Roman"/>
          <w:b/>
          <w:bCs/>
          <w:sz w:val="22"/>
        </w:rPr>
        <w:t>. T</w:t>
      </w:r>
      <w:r w:rsidRPr="00325E1D">
        <w:rPr>
          <w:rFonts w:ascii="Times New Roman" w:hAnsi="Times New Roman"/>
          <w:sz w:val="22"/>
        </w:rPr>
        <w:t>he Bible frames the covenant kingdom</w:t>
      </w:r>
      <w:r w:rsidR="00366B5F" w:rsidRPr="00325E1D">
        <w:rPr>
          <w:rFonts w:ascii="Times New Roman" w:hAnsi="Times New Roman"/>
          <w:sz w:val="22"/>
        </w:rPr>
        <w:t>’</w:t>
      </w:r>
      <w:r w:rsidRPr="00325E1D">
        <w:rPr>
          <w:rFonts w:ascii="Times New Roman" w:hAnsi="Times New Roman"/>
          <w:sz w:val="22"/>
        </w:rPr>
        <w:t xml:space="preserve">s structuring, likened to </w:t>
      </w:r>
      <w:r w:rsidR="00366B5F" w:rsidRPr="00325E1D">
        <w:rPr>
          <w:rFonts w:ascii="Times New Roman" w:hAnsi="Times New Roman"/>
          <w:sz w:val="22"/>
        </w:rPr>
        <w:t>“</w:t>
      </w:r>
      <w:r w:rsidRPr="00325E1D">
        <w:rPr>
          <w:rFonts w:ascii="Times New Roman" w:hAnsi="Times New Roman"/>
          <w:sz w:val="22"/>
        </w:rPr>
        <w:t>house-building,</w:t>
      </w:r>
      <w:r w:rsidR="00366B5F" w:rsidRPr="00325E1D">
        <w:rPr>
          <w:rFonts w:ascii="Times New Roman" w:hAnsi="Times New Roman"/>
          <w:sz w:val="22"/>
        </w:rPr>
        <w:t>”</w:t>
      </w:r>
      <w:r w:rsidRPr="00325E1D">
        <w:rPr>
          <w:rFonts w:ascii="Times New Roman" w:hAnsi="Times New Roman"/>
          <w:sz w:val="22"/>
        </w:rPr>
        <w:t xml:space="preserve"> prevalent in </w:t>
      </w:r>
      <w:r w:rsidR="00FC2ED0" w:rsidRPr="00325E1D">
        <w:rPr>
          <w:rFonts w:ascii="Times New Roman" w:hAnsi="Times New Roman"/>
          <w:sz w:val="22"/>
        </w:rPr>
        <w:t xml:space="preserve">Ancient </w:t>
      </w:r>
      <w:r w:rsidRPr="00325E1D">
        <w:rPr>
          <w:rFonts w:ascii="Times New Roman" w:hAnsi="Times New Roman"/>
          <w:sz w:val="22"/>
        </w:rPr>
        <w:t>Near Eastern tradition when kings triumphed.</w:t>
      </w:r>
      <w:r w:rsidR="00FC2ED0" w:rsidRPr="00325E1D">
        <w:rPr>
          <w:rFonts w:ascii="Times New Roman" w:hAnsi="Times New Roman"/>
          <w:sz w:val="22"/>
        </w:rPr>
        <w:t xml:space="preserve"> </w:t>
      </w:r>
      <w:r w:rsidRPr="00325E1D">
        <w:rPr>
          <w:rFonts w:ascii="Times New Roman" w:hAnsi="Times New Roman"/>
          <w:i/>
          <w:iCs/>
          <w:sz w:val="22"/>
        </w:rPr>
        <w:t>Exodus</w:t>
      </w:r>
      <w:r w:rsidRPr="00325E1D">
        <w:rPr>
          <w:rFonts w:ascii="Times New Roman" w:hAnsi="Times New Roman"/>
          <w:sz w:val="22"/>
        </w:rPr>
        <w:t xml:space="preserve"> </w:t>
      </w:r>
      <w:r w:rsidR="00FC2ED0" w:rsidRPr="00325E1D">
        <w:rPr>
          <w:rFonts w:ascii="Times New Roman" w:hAnsi="Times New Roman"/>
          <w:sz w:val="22"/>
        </w:rPr>
        <w:t>t</w:t>
      </w:r>
      <w:r w:rsidRPr="00325E1D">
        <w:rPr>
          <w:rFonts w:ascii="Times New Roman" w:hAnsi="Times New Roman"/>
          <w:sz w:val="22"/>
        </w:rPr>
        <w:t>hematically and literarily depicts house-building and victory.</w:t>
      </w:r>
      <w:r w:rsidR="00FC2ED0" w:rsidRPr="00325E1D">
        <w:rPr>
          <w:rFonts w:ascii="Times New Roman" w:hAnsi="Times New Roman"/>
          <w:sz w:val="22"/>
        </w:rPr>
        <w:t xml:space="preserve"> </w:t>
      </w:r>
      <w:r w:rsidRPr="00325E1D">
        <w:rPr>
          <w:rFonts w:ascii="Times New Roman" w:hAnsi="Times New Roman"/>
          <w:i/>
          <w:iCs/>
          <w:sz w:val="22"/>
        </w:rPr>
        <w:t>Victorious Kingship</w:t>
      </w:r>
      <w:r w:rsidRPr="00325E1D">
        <w:rPr>
          <w:rFonts w:ascii="Times New Roman" w:hAnsi="Times New Roman"/>
          <w:sz w:val="22"/>
        </w:rPr>
        <w:t xml:space="preserve"> </w:t>
      </w:r>
      <w:r w:rsidR="00FC2ED0" w:rsidRPr="00325E1D">
        <w:rPr>
          <w:rFonts w:ascii="Times New Roman" w:hAnsi="Times New Roman"/>
          <w:sz w:val="22"/>
        </w:rPr>
        <w:t>l</w:t>
      </w:r>
      <w:r w:rsidRPr="00325E1D">
        <w:rPr>
          <w:rFonts w:ascii="Times New Roman" w:hAnsi="Times New Roman"/>
          <w:sz w:val="22"/>
        </w:rPr>
        <w:t>eads to palace and temple building (e.g., Exodus 15, Psalms, David</w:t>
      </w:r>
      <w:r w:rsidR="00366B5F" w:rsidRPr="00325E1D">
        <w:rPr>
          <w:rFonts w:ascii="Times New Roman" w:hAnsi="Times New Roman"/>
          <w:sz w:val="22"/>
        </w:rPr>
        <w:t>’</w:t>
      </w:r>
      <w:r w:rsidRPr="00325E1D">
        <w:rPr>
          <w:rFonts w:ascii="Times New Roman" w:hAnsi="Times New Roman"/>
          <w:sz w:val="22"/>
        </w:rPr>
        <w:t>s victories). Extra-biblical parallels include Thutmosis III</w:t>
      </w:r>
      <w:r w:rsidR="00366B5F" w:rsidRPr="00325E1D">
        <w:rPr>
          <w:rFonts w:ascii="Times New Roman" w:hAnsi="Times New Roman"/>
          <w:sz w:val="22"/>
        </w:rPr>
        <w:t>’</w:t>
      </w:r>
      <w:r w:rsidRPr="00325E1D">
        <w:rPr>
          <w:rFonts w:ascii="Times New Roman" w:hAnsi="Times New Roman"/>
          <w:sz w:val="22"/>
        </w:rPr>
        <w:t>s hymn leading to temple construction for Amon-Re.</w:t>
      </w:r>
      <w:r w:rsidR="00FC2ED0" w:rsidRPr="00325E1D">
        <w:rPr>
          <w:rFonts w:ascii="Times New Roman" w:hAnsi="Times New Roman"/>
          <w:sz w:val="22"/>
        </w:rPr>
        <w:t xml:space="preserve"> </w:t>
      </w:r>
      <w:r w:rsidRPr="00325E1D">
        <w:rPr>
          <w:rFonts w:ascii="Times New Roman" w:hAnsi="Times New Roman"/>
          <w:i/>
          <w:iCs/>
          <w:sz w:val="22"/>
        </w:rPr>
        <w:t>NT Perspective</w:t>
      </w:r>
      <w:r w:rsidRPr="00325E1D">
        <w:rPr>
          <w:rFonts w:ascii="Times New Roman" w:hAnsi="Times New Roman"/>
          <w:sz w:val="22"/>
        </w:rPr>
        <w:t xml:space="preserve"> Christ</w:t>
      </w:r>
      <w:r w:rsidR="00366B5F" w:rsidRPr="00325E1D">
        <w:rPr>
          <w:rFonts w:ascii="Times New Roman" w:hAnsi="Times New Roman"/>
          <w:sz w:val="22"/>
        </w:rPr>
        <w:t>’</w:t>
      </w:r>
      <w:r w:rsidRPr="00325E1D">
        <w:rPr>
          <w:rFonts w:ascii="Times New Roman" w:hAnsi="Times New Roman"/>
          <w:sz w:val="22"/>
        </w:rPr>
        <w:t>s victory manifests in the body of believers, with Christ as the cornerstone and the Holy Spirit indwelling within the church.</w:t>
      </w:r>
    </w:p>
    <w:p w:rsidR="00193557" w:rsidRPr="00325E1D" w:rsidRDefault="00193557" w:rsidP="00193557">
      <w:pPr>
        <w:jc w:val="both"/>
        <w:rPr>
          <w:sz w:val="24"/>
        </w:rPr>
      </w:pPr>
      <w:r w:rsidRPr="00325E1D">
        <w:rPr>
          <w:rFonts w:ascii="Times New Roman" w:hAnsi="Times New Roman"/>
          <w:b/>
          <w:bCs/>
          <w:sz w:val="22"/>
        </w:rPr>
        <w:t>Biblical Canon as Architectural Model</w:t>
      </w:r>
      <w:r w:rsidR="00FC2ED0" w:rsidRPr="00325E1D">
        <w:rPr>
          <w:rFonts w:ascii="Times New Roman" w:hAnsi="Times New Roman"/>
          <w:b/>
          <w:bCs/>
          <w:sz w:val="22"/>
        </w:rPr>
        <w:t>.</w:t>
      </w:r>
      <w:r w:rsidR="00FC2ED0" w:rsidRPr="00325E1D">
        <w:rPr>
          <w:rFonts w:ascii="Times New Roman" w:hAnsi="Times New Roman"/>
          <w:sz w:val="22"/>
        </w:rPr>
        <w:t xml:space="preserve"> </w:t>
      </w:r>
      <w:r w:rsidRPr="00325E1D">
        <w:rPr>
          <w:rFonts w:ascii="Times New Roman" w:hAnsi="Times New Roman"/>
          <w:i/>
          <w:iCs/>
          <w:sz w:val="22"/>
        </w:rPr>
        <w:t>Visions</w:t>
      </w:r>
      <w:r w:rsidRPr="00325E1D">
        <w:rPr>
          <w:rFonts w:ascii="Times New Roman" w:hAnsi="Times New Roman"/>
          <w:sz w:val="22"/>
        </w:rPr>
        <w:t xml:space="preserve"> span from Moses</w:t>
      </w:r>
      <w:r w:rsidR="00366B5F" w:rsidRPr="00325E1D">
        <w:rPr>
          <w:rFonts w:ascii="Times New Roman" w:hAnsi="Times New Roman"/>
          <w:sz w:val="22"/>
        </w:rPr>
        <w:t>’</w:t>
      </w:r>
      <w:r w:rsidRPr="00325E1D">
        <w:rPr>
          <w:rFonts w:ascii="Times New Roman" w:hAnsi="Times New Roman"/>
          <w:sz w:val="22"/>
        </w:rPr>
        <w:t xml:space="preserve"> tabernacle, David</w:t>
      </w:r>
      <w:r w:rsidR="00366B5F" w:rsidRPr="00325E1D">
        <w:rPr>
          <w:rFonts w:ascii="Times New Roman" w:hAnsi="Times New Roman"/>
          <w:sz w:val="22"/>
        </w:rPr>
        <w:t>’</w:t>
      </w:r>
      <w:r w:rsidRPr="00325E1D">
        <w:rPr>
          <w:rFonts w:ascii="Times New Roman" w:hAnsi="Times New Roman"/>
          <w:sz w:val="22"/>
        </w:rPr>
        <w:t>s temple plans, Ezekiel</w:t>
      </w:r>
      <w:r w:rsidR="00366B5F" w:rsidRPr="00325E1D">
        <w:rPr>
          <w:rFonts w:ascii="Times New Roman" w:hAnsi="Times New Roman"/>
          <w:sz w:val="22"/>
        </w:rPr>
        <w:t>’</w:t>
      </w:r>
      <w:r w:rsidRPr="00325E1D">
        <w:rPr>
          <w:rFonts w:ascii="Times New Roman" w:hAnsi="Times New Roman"/>
          <w:sz w:val="22"/>
        </w:rPr>
        <w:t>s eschatological temple, to John</w:t>
      </w:r>
      <w:r w:rsidR="00366B5F" w:rsidRPr="00325E1D">
        <w:rPr>
          <w:rFonts w:ascii="Times New Roman" w:hAnsi="Times New Roman"/>
          <w:sz w:val="22"/>
        </w:rPr>
        <w:t>’</w:t>
      </w:r>
      <w:r w:rsidRPr="00325E1D">
        <w:rPr>
          <w:rFonts w:ascii="Times New Roman" w:hAnsi="Times New Roman"/>
          <w:sz w:val="22"/>
        </w:rPr>
        <w:t>s revelation of the eternal temple-city (Revelation 21-22). Each symbolizes divine house-building post-victory over evil.</w:t>
      </w:r>
      <w:r w:rsidR="00FC2ED0" w:rsidRPr="00325E1D">
        <w:rPr>
          <w:rFonts w:ascii="Times New Roman" w:hAnsi="Times New Roman"/>
          <w:sz w:val="22"/>
        </w:rPr>
        <w:t xml:space="preserve"> </w:t>
      </w:r>
      <w:r w:rsidRPr="00325E1D">
        <w:rPr>
          <w:rFonts w:ascii="Times New Roman" w:hAnsi="Times New Roman"/>
          <w:i/>
          <w:iCs/>
          <w:sz w:val="22"/>
        </w:rPr>
        <w:t>Wisdom</w:t>
      </w:r>
      <w:r w:rsidR="00366B5F" w:rsidRPr="00325E1D">
        <w:rPr>
          <w:rFonts w:ascii="Times New Roman" w:hAnsi="Times New Roman"/>
          <w:i/>
          <w:iCs/>
          <w:sz w:val="22"/>
        </w:rPr>
        <w:t>’</w:t>
      </w:r>
      <w:r w:rsidRPr="00325E1D">
        <w:rPr>
          <w:rFonts w:ascii="Times New Roman" w:hAnsi="Times New Roman"/>
          <w:i/>
          <w:iCs/>
          <w:sz w:val="22"/>
        </w:rPr>
        <w:t>s</w:t>
      </w:r>
      <w:r w:rsidRPr="00325E1D">
        <w:rPr>
          <w:rFonts w:ascii="Times New Roman" w:hAnsi="Times New Roman"/>
          <w:sz w:val="22"/>
        </w:rPr>
        <w:t xml:space="preserve"> role in house-building is evident through figures like Bezalel (Mosaic Temple) and Huram-abi (Solomonic Temple).</w:t>
      </w:r>
      <w:r w:rsidR="00FC2ED0" w:rsidRPr="00325E1D">
        <w:rPr>
          <w:rFonts w:ascii="Times New Roman" w:hAnsi="Times New Roman"/>
          <w:sz w:val="22"/>
        </w:rPr>
        <w:t xml:space="preserve"> </w:t>
      </w:r>
      <w:r w:rsidRPr="00325E1D">
        <w:rPr>
          <w:rFonts w:ascii="Times New Roman" w:hAnsi="Times New Roman"/>
          <w:i/>
          <w:iCs/>
          <w:sz w:val="22"/>
        </w:rPr>
        <w:t>Creation</w:t>
      </w:r>
      <w:r w:rsidRPr="00325E1D">
        <w:rPr>
          <w:rFonts w:ascii="Times New Roman" w:hAnsi="Times New Roman"/>
          <w:sz w:val="22"/>
        </w:rPr>
        <w:t xml:space="preserve"> itself, described in Genesis, follows the triumph-to-house-building pattern.</w:t>
      </w:r>
      <w:r w:rsidR="00FC2ED0" w:rsidRPr="00325E1D">
        <w:rPr>
          <w:rFonts w:ascii="Times New Roman" w:hAnsi="Times New Roman"/>
          <w:sz w:val="22"/>
        </w:rPr>
        <w:t xml:space="preserve"> </w:t>
      </w:r>
    </w:p>
    <w:p w:rsidR="00193557" w:rsidRPr="00325E1D" w:rsidRDefault="00FC2ED0" w:rsidP="00193557">
      <w:pPr>
        <w:jc w:val="both"/>
        <w:rPr>
          <w:sz w:val="24"/>
        </w:rPr>
      </w:pPr>
      <w:r w:rsidRPr="00325E1D">
        <w:rPr>
          <w:rFonts w:ascii="Times New Roman" w:hAnsi="Times New Roman"/>
          <w:b/>
          <w:bCs/>
          <w:sz w:val="22"/>
        </w:rPr>
        <w:t>Community</w:t>
      </w:r>
      <w:r w:rsidR="00193557" w:rsidRPr="00325E1D">
        <w:rPr>
          <w:rFonts w:ascii="Times New Roman" w:hAnsi="Times New Roman"/>
          <w:b/>
          <w:bCs/>
          <w:sz w:val="22"/>
        </w:rPr>
        <w:t xml:space="preserve"> Correlative to Biblical Canon</w:t>
      </w:r>
      <w:r w:rsidRPr="00325E1D">
        <w:rPr>
          <w:rFonts w:ascii="Times New Roman" w:hAnsi="Times New Roman"/>
          <w:b/>
          <w:bCs/>
          <w:sz w:val="22"/>
        </w:rPr>
        <w:t xml:space="preserve">. </w:t>
      </w:r>
      <w:r w:rsidR="00193557" w:rsidRPr="00325E1D">
        <w:rPr>
          <w:rFonts w:ascii="Times New Roman" w:hAnsi="Times New Roman"/>
          <w:sz w:val="22"/>
        </w:rPr>
        <w:t>The canonical Scripture is depicted as structuring the covenant community in two significant ways</w:t>
      </w:r>
      <w:r w:rsidRPr="00325E1D">
        <w:rPr>
          <w:rFonts w:ascii="Times New Roman" w:hAnsi="Times New Roman"/>
          <w:sz w:val="22"/>
        </w:rPr>
        <w:t xml:space="preserve">. </w:t>
      </w:r>
      <w:r w:rsidR="00193557" w:rsidRPr="00325E1D">
        <w:rPr>
          <w:rFonts w:ascii="Times New Roman" w:hAnsi="Times New Roman"/>
          <w:i/>
          <w:iCs/>
          <w:sz w:val="22"/>
        </w:rPr>
        <w:t>Authoritative Word</w:t>
      </w:r>
      <w:r w:rsidRPr="00325E1D">
        <w:rPr>
          <w:rFonts w:ascii="Times New Roman" w:hAnsi="Times New Roman"/>
          <w:i/>
          <w:iCs/>
          <w:sz w:val="22"/>
        </w:rPr>
        <w:t xml:space="preserve">. </w:t>
      </w:r>
      <w:r w:rsidR="00193557" w:rsidRPr="00325E1D">
        <w:rPr>
          <w:rFonts w:ascii="Times New Roman" w:hAnsi="Times New Roman"/>
          <w:sz w:val="22"/>
        </w:rPr>
        <w:t>Scripture serves as an authoritative word, likened to an architectonic model building God</w:t>
      </w:r>
      <w:r w:rsidR="00366B5F" w:rsidRPr="00325E1D">
        <w:rPr>
          <w:rFonts w:ascii="Times New Roman" w:hAnsi="Times New Roman"/>
          <w:sz w:val="22"/>
        </w:rPr>
        <w:t>’</w:t>
      </w:r>
      <w:r w:rsidR="00193557" w:rsidRPr="00325E1D">
        <w:rPr>
          <w:rFonts w:ascii="Times New Roman" w:hAnsi="Times New Roman"/>
          <w:sz w:val="22"/>
        </w:rPr>
        <w:t>s kingdom-house. The OT</w:t>
      </w:r>
      <w:r w:rsidR="00366B5F" w:rsidRPr="00325E1D">
        <w:rPr>
          <w:rFonts w:ascii="Times New Roman" w:hAnsi="Times New Roman"/>
          <w:sz w:val="22"/>
        </w:rPr>
        <w:t>’</w:t>
      </w:r>
      <w:r w:rsidR="00193557" w:rsidRPr="00325E1D">
        <w:rPr>
          <w:rFonts w:ascii="Times New Roman" w:hAnsi="Times New Roman"/>
          <w:sz w:val="22"/>
        </w:rPr>
        <w:t xml:space="preserve">s canonical covenant outlines stipulations that shape the covenant community both historically and </w:t>
      </w:r>
      <w:r w:rsidR="00193557" w:rsidRPr="00325E1D">
        <w:rPr>
          <w:rFonts w:ascii="Times New Roman" w:hAnsi="Times New Roman"/>
          <w:sz w:val="22"/>
        </w:rPr>
        <w:lastRenderedPageBreak/>
        <w:t xml:space="preserve">theologically. </w:t>
      </w:r>
      <w:r w:rsidR="00193557" w:rsidRPr="00325E1D">
        <w:rPr>
          <w:rFonts w:ascii="Times New Roman" w:hAnsi="Times New Roman"/>
          <w:i/>
          <w:iCs/>
          <w:sz w:val="22"/>
        </w:rPr>
        <w:t>Community Rule</w:t>
      </w:r>
      <w:r w:rsidRPr="00325E1D">
        <w:rPr>
          <w:rFonts w:ascii="Times New Roman" w:hAnsi="Times New Roman"/>
          <w:sz w:val="22"/>
        </w:rPr>
        <w:t>.</w:t>
      </w:r>
      <w:r w:rsidR="00193557" w:rsidRPr="00325E1D">
        <w:rPr>
          <w:rFonts w:ascii="Times New Roman" w:hAnsi="Times New Roman"/>
          <w:sz w:val="22"/>
        </w:rPr>
        <w:t xml:space="preserve"> The canonical covenant functions formally to establish community rules.</w:t>
      </w:r>
      <w:r w:rsidRPr="00325E1D">
        <w:rPr>
          <w:rFonts w:ascii="Times New Roman" w:hAnsi="Times New Roman"/>
          <w:sz w:val="22"/>
        </w:rPr>
        <w:t xml:space="preserve"> </w:t>
      </w:r>
      <w:r w:rsidR="00193557" w:rsidRPr="00325E1D">
        <w:rPr>
          <w:rFonts w:ascii="Times New Roman" w:hAnsi="Times New Roman"/>
          <w:i/>
          <w:iCs/>
          <w:sz w:val="22"/>
        </w:rPr>
        <w:t>Word of Power</w:t>
      </w:r>
      <w:r w:rsidRPr="00325E1D">
        <w:rPr>
          <w:rFonts w:ascii="Times New Roman" w:hAnsi="Times New Roman"/>
          <w:sz w:val="22"/>
        </w:rPr>
        <w:t xml:space="preserve">. </w:t>
      </w:r>
      <w:r w:rsidR="00193557" w:rsidRPr="00325E1D">
        <w:rPr>
          <w:rFonts w:ascii="Times New Roman" w:hAnsi="Times New Roman"/>
          <w:sz w:val="22"/>
        </w:rPr>
        <w:t>God</w:t>
      </w:r>
      <w:r w:rsidR="00366B5F" w:rsidRPr="00325E1D">
        <w:rPr>
          <w:rFonts w:ascii="Times New Roman" w:hAnsi="Times New Roman"/>
          <w:sz w:val="22"/>
        </w:rPr>
        <w:t>’</w:t>
      </w:r>
      <w:r w:rsidR="00193557" w:rsidRPr="00325E1D">
        <w:rPr>
          <w:rFonts w:ascii="Times New Roman" w:hAnsi="Times New Roman"/>
          <w:sz w:val="22"/>
        </w:rPr>
        <w:t>s word functions creatively and powerfully, exemplified in creation</w:t>
      </w:r>
      <w:r w:rsidR="00366B5F" w:rsidRPr="00325E1D">
        <w:rPr>
          <w:rFonts w:ascii="Times New Roman" w:hAnsi="Times New Roman"/>
          <w:sz w:val="22"/>
        </w:rPr>
        <w:t>’</w:t>
      </w:r>
      <w:r w:rsidR="00193557" w:rsidRPr="00325E1D">
        <w:rPr>
          <w:rFonts w:ascii="Times New Roman" w:hAnsi="Times New Roman"/>
          <w:sz w:val="22"/>
        </w:rPr>
        <w:t>s fiat, shaping the covenant community through divine authority.</w:t>
      </w:r>
      <w:r w:rsidRPr="00325E1D">
        <w:rPr>
          <w:rFonts w:ascii="Times New Roman" w:hAnsi="Times New Roman"/>
          <w:sz w:val="22"/>
        </w:rPr>
        <w:t xml:space="preserve"> </w:t>
      </w:r>
      <w:r w:rsidR="00193557" w:rsidRPr="00325E1D">
        <w:rPr>
          <w:rFonts w:ascii="Times New Roman" w:hAnsi="Times New Roman"/>
          <w:i/>
          <w:iCs/>
          <w:sz w:val="22"/>
        </w:rPr>
        <w:t>Constructing Community</w:t>
      </w:r>
      <w:r w:rsidRPr="00325E1D">
        <w:rPr>
          <w:rFonts w:ascii="Times New Roman" w:hAnsi="Times New Roman"/>
          <w:sz w:val="22"/>
        </w:rPr>
        <w:t>.</w:t>
      </w:r>
      <w:r w:rsidR="00193557" w:rsidRPr="00325E1D">
        <w:rPr>
          <w:rFonts w:ascii="Times New Roman" w:hAnsi="Times New Roman"/>
          <w:sz w:val="22"/>
        </w:rPr>
        <w:t xml:space="preserve"> The covenant-canon creates a covenant-community. It is integral to the community, not derived from it. The covenant document functions as an oath of allegiance, inherently carrying canonical authority</w:t>
      </w:r>
      <w:r w:rsidRPr="00325E1D">
        <w:rPr>
          <w:rFonts w:ascii="Times New Roman" w:hAnsi="Times New Roman"/>
          <w:sz w:val="22"/>
        </w:rPr>
        <w:t xml:space="preserve">. </w:t>
      </w:r>
      <w:r w:rsidR="00193557" w:rsidRPr="00325E1D">
        <w:rPr>
          <w:rFonts w:ascii="Times New Roman" w:hAnsi="Times New Roman"/>
          <w:i/>
          <w:iCs/>
          <w:sz w:val="22"/>
        </w:rPr>
        <w:t>Witness Against</w:t>
      </w:r>
      <w:r w:rsidRPr="00325E1D">
        <w:rPr>
          <w:rFonts w:ascii="Times New Roman" w:hAnsi="Times New Roman"/>
          <w:sz w:val="22"/>
        </w:rPr>
        <w:t>.</w:t>
      </w:r>
      <w:r w:rsidR="00193557" w:rsidRPr="00325E1D">
        <w:rPr>
          <w:rFonts w:ascii="Times New Roman" w:hAnsi="Times New Roman"/>
          <w:sz w:val="22"/>
        </w:rPr>
        <w:t xml:space="preserve"> The theme of the covenant as a witness against Israel (Deut. 31:26) mirrors extra-biblical treaty practices, reinforcing the inherent authoritative nature of the canonical covenant documents.</w:t>
      </w:r>
      <w:r w:rsidRPr="00325E1D">
        <w:rPr>
          <w:rFonts w:ascii="Times New Roman" w:hAnsi="Times New Roman"/>
          <w:sz w:val="22"/>
        </w:rPr>
        <w:t xml:space="preserve"> </w:t>
      </w:r>
      <w:r w:rsidR="00193557" w:rsidRPr="00325E1D">
        <w:rPr>
          <w:rFonts w:ascii="Times New Roman" w:hAnsi="Times New Roman"/>
          <w:sz w:val="22"/>
        </w:rPr>
        <w:t>By blending these elements, Kline presents the canon as both the blueprint and the dynamic force behind God</w:t>
      </w:r>
      <w:r w:rsidR="00366B5F" w:rsidRPr="00325E1D">
        <w:rPr>
          <w:rFonts w:ascii="Times New Roman" w:hAnsi="Times New Roman"/>
          <w:sz w:val="22"/>
        </w:rPr>
        <w:t>’</w:t>
      </w:r>
      <w:r w:rsidR="00193557" w:rsidRPr="00325E1D">
        <w:rPr>
          <w:rFonts w:ascii="Times New Roman" w:hAnsi="Times New Roman"/>
          <w:sz w:val="22"/>
        </w:rPr>
        <w:t>s covenant community, affirming its divinely inspired structure and power.</w:t>
      </w:r>
    </w:p>
    <w:p w:rsidR="00FC2ED0" w:rsidRPr="00325E1D" w:rsidRDefault="00FC2ED0" w:rsidP="00FC2ED0">
      <w:pPr>
        <w:jc w:val="both"/>
        <w:rPr>
          <w:b/>
          <w:bCs/>
          <w:sz w:val="24"/>
        </w:rPr>
      </w:pPr>
      <w:r w:rsidRPr="00325E1D">
        <w:rPr>
          <w:rFonts w:ascii="Times New Roman" w:hAnsi="Times New Roman"/>
          <w:b/>
          <w:bCs/>
          <w:sz w:val="22"/>
        </w:rPr>
        <w:t>Four: Canonical Polities, Old and New.</w:t>
      </w:r>
    </w:p>
    <w:p w:rsidR="00FC2ED0" w:rsidRPr="00325E1D" w:rsidRDefault="00FC2ED0" w:rsidP="00FC2ED0">
      <w:pPr>
        <w:jc w:val="both"/>
        <w:rPr>
          <w:sz w:val="24"/>
        </w:rPr>
      </w:pPr>
      <w:r w:rsidRPr="00325E1D">
        <w:rPr>
          <w:rFonts w:ascii="Times New Roman" w:hAnsi="Times New Roman"/>
          <w:b/>
          <w:bCs/>
          <w:sz w:val="22"/>
        </w:rPr>
        <w:t xml:space="preserve">Old Canon in the New Covenant. </w:t>
      </w:r>
      <w:r w:rsidRPr="00325E1D">
        <w:rPr>
          <w:rFonts w:ascii="Times New Roman" w:hAnsi="Times New Roman"/>
          <w:sz w:val="22"/>
        </w:rPr>
        <w:t>In the Ancient Near East, treaties could be modified due to evolving circumstances, reflecting eternal and changing aspects. Similarly, biblical covenants exhibit a progressive history and revelation, not strictly evolutionary or dispensational. Biblical Scripture, therefore, is not a perpetually closed system but allows for divine revisions initiated by God. The Old and New Testament canons, while distinct, share an organic spiritual-historical relationship underpinned by the same principles of redemptive grace, the goal of God</w:t>
      </w:r>
      <w:r w:rsidR="00366B5F" w:rsidRPr="00325E1D">
        <w:rPr>
          <w:rFonts w:ascii="Times New Roman" w:hAnsi="Times New Roman"/>
          <w:sz w:val="22"/>
        </w:rPr>
        <w:t>’</w:t>
      </w:r>
      <w:r w:rsidRPr="00325E1D">
        <w:rPr>
          <w:rFonts w:ascii="Times New Roman" w:hAnsi="Times New Roman"/>
          <w:sz w:val="22"/>
        </w:rPr>
        <w:t>s kingdom, and the blessings accomplished by Christ. There remains continuity, such as the transition from the Davidic dynasty to Christ and the theocratic monarchy of Israel mirrored in the Church. However, the cultural-cultic kingdom of Israel differs from the cultic practices of the Church in the present NT phase. Kline asserts that the distinction between OT Scriptures and the Christian canon does not deny biblical infallibility. Everything in the OT remains normative and truthful, but the sine qua non of biblical canonicity lies in life-norms that are community-specific, which have been replaced in the NT by a new polity for the church.</w:t>
      </w:r>
    </w:p>
    <w:p w:rsidR="00FC2ED0" w:rsidRPr="00325E1D" w:rsidRDefault="00FC2ED0" w:rsidP="00FC2ED0">
      <w:pPr>
        <w:jc w:val="both"/>
        <w:rPr>
          <w:sz w:val="24"/>
        </w:rPr>
      </w:pPr>
      <w:r w:rsidRPr="00325E1D">
        <w:rPr>
          <w:rFonts w:ascii="Times New Roman" w:hAnsi="Times New Roman"/>
          <w:b/>
          <w:bCs/>
          <w:sz w:val="22"/>
        </w:rPr>
        <w:t xml:space="preserve">Intracanonical Polity Phases. </w:t>
      </w:r>
      <w:r w:rsidRPr="00325E1D">
        <w:rPr>
          <w:rFonts w:ascii="Times New Roman" w:hAnsi="Times New Roman"/>
          <w:sz w:val="22"/>
        </w:rPr>
        <w:t>Distinct stages within the OT reflect the covenant community</w:t>
      </w:r>
      <w:r w:rsidR="00366B5F" w:rsidRPr="00325E1D">
        <w:rPr>
          <w:rFonts w:ascii="Times New Roman" w:hAnsi="Times New Roman"/>
          <w:sz w:val="22"/>
        </w:rPr>
        <w:t>’</w:t>
      </w:r>
      <w:r w:rsidRPr="00325E1D">
        <w:rPr>
          <w:rFonts w:ascii="Times New Roman" w:hAnsi="Times New Roman"/>
          <w:sz w:val="22"/>
        </w:rPr>
        <w:t>s evolving context. The Pentateuch</w:t>
      </w:r>
      <w:r w:rsidR="00366B5F" w:rsidRPr="00325E1D">
        <w:rPr>
          <w:rFonts w:ascii="Times New Roman" w:hAnsi="Times New Roman"/>
          <w:sz w:val="22"/>
        </w:rPr>
        <w:t>’</w:t>
      </w:r>
      <w:r w:rsidRPr="00325E1D">
        <w:rPr>
          <w:rFonts w:ascii="Times New Roman" w:hAnsi="Times New Roman"/>
          <w:sz w:val="22"/>
        </w:rPr>
        <w:t>s laws address phases from the wilderness period to the transitionary settlement phase under Joshua and the Judges, culminating in the Davidic monarchy. Pre-Sinaitic relationships (e.g., Adamic, Noahic, Abrahamic) offer different polities within the overall covenant framework, integrating both culture and cult. The NT exhibits a reverse movement, detaching the concept of God</w:t>
      </w:r>
      <w:r w:rsidR="00366B5F" w:rsidRPr="00325E1D">
        <w:rPr>
          <w:rFonts w:ascii="Times New Roman" w:hAnsi="Times New Roman"/>
          <w:sz w:val="22"/>
        </w:rPr>
        <w:t>’</w:t>
      </w:r>
      <w:r w:rsidRPr="00325E1D">
        <w:rPr>
          <w:rFonts w:ascii="Times New Roman" w:hAnsi="Times New Roman"/>
          <w:sz w:val="22"/>
        </w:rPr>
        <w:t>s sanctuary from Jerusalem and expanding God</w:t>
      </w:r>
      <w:r w:rsidR="00366B5F" w:rsidRPr="00325E1D">
        <w:rPr>
          <w:rFonts w:ascii="Times New Roman" w:hAnsi="Times New Roman"/>
          <w:sz w:val="22"/>
        </w:rPr>
        <w:t>’</w:t>
      </w:r>
      <w:r w:rsidRPr="00325E1D">
        <w:rPr>
          <w:rFonts w:ascii="Times New Roman" w:hAnsi="Times New Roman"/>
          <w:sz w:val="22"/>
        </w:rPr>
        <w:t>s covenant to the nations. Certain NT procedural details—like the mission directives of the 12 and the 70, the Jerusalem council</w:t>
      </w:r>
      <w:r w:rsidR="00366B5F" w:rsidRPr="00325E1D">
        <w:rPr>
          <w:rFonts w:ascii="Times New Roman" w:hAnsi="Times New Roman"/>
          <w:sz w:val="22"/>
        </w:rPr>
        <w:t>’</w:t>
      </w:r>
      <w:r w:rsidRPr="00325E1D">
        <w:rPr>
          <w:rFonts w:ascii="Times New Roman" w:hAnsi="Times New Roman"/>
          <w:sz w:val="22"/>
        </w:rPr>
        <w:t xml:space="preserve">s dietary rulings, and the acknowledgment of the Jerusalem temple—do not apply to the broader new covenant order. </w:t>
      </w:r>
    </w:p>
    <w:p w:rsidR="00FC2ED0" w:rsidRPr="00325E1D" w:rsidRDefault="00FC2ED0" w:rsidP="00FC2ED0">
      <w:pPr>
        <w:jc w:val="both"/>
        <w:rPr>
          <w:sz w:val="24"/>
        </w:rPr>
      </w:pPr>
      <w:r w:rsidRPr="00325E1D">
        <w:rPr>
          <w:rFonts w:ascii="Times New Roman" w:hAnsi="Times New Roman"/>
          <w:b/>
          <w:bCs/>
          <w:sz w:val="22"/>
        </w:rPr>
        <w:t xml:space="preserve">Conclusion. </w:t>
      </w:r>
      <w:r w:rsidRPr="00325E1D">
        <w:rPr>
          <w:rFonts w:ascii="Times New Roman" w:hAnsi="Times New Roman"/>
          <w:sz w:val="22"/>
        </w:rPr>
        <w:t>Faith-norms remain permanent across both Old and New Testament revelations, while life-norms adapt to fit the evolving covenantal contexts, shaping the structure and practices of the covenant community through different historical and theological phases.</w:t>
      </w:r>
    </w:p>
    <w:p w:rsidR="00FC2ED0" w:rsidRPr="00325E1D" w:rsidRDefault="00FC2ED0" w:rsidP="00FC2ED0">
      <w:pPr>
        <w:jc w:val="both"/>
        <w:rPr>
          <w:b/>
          <w:bCs/>
          <w:sz w:val="24"/>
        </w:rPr>
      </w:pPr>
      <w:r w:rsidRPr="00325E1D">
        <w:rPr>
          <w:rFonts w:ascii="Times New Roman" w:hAnsi="Times New Roman"/>
          <w:b/>
          <w:bCs/>
          <w:sz w:val="22"/>
        </w:rPr>
        <w:t>Part II: Collateral Studies</w:t>
      </w:r>
    </w:p>
    <w:p w:rsidR="00FC2ED0" w:rsidRPr="00325E1D" w:rsidRDefault="00FC2ED0" w:rsidP="00FC2ED0">
      <w:pPr>
        <w:jc w:val="both"/>
        <w:rPr>
          <w:sz w:val="24"/>
        </w:rPr>
      </w:pPr>
      <w:r w:rsidRPr="00325E1D">
        <w:rPr>
          <w:rFonts w:ascii="Times New Roman" w:hAnsi="Times New Roman"/>
          <w:b/>
          <w:bCs/>
          <w:sz w:val="22"/>
        </w:rPr>
        <w:t xml:space="preserve">One: The Two Tables of the Covenant. </w:t>
      </w:r>
      <w:r w:rsidRPr="00325E1D">
        <w:rPr>
          <w:rFonts w:ascii="Times New Roman" w:hAnsi="Times New Roman"/>
          <w:sz w:val="22"/>
        </w:rPr>
        <w:t>Kline explores the significance of the two tables of the covenant in the context of suzerainty treaties from the Ancient Near Eas. In such treaties, the two tables were typically identical copies, a practice mirrored in the biblical covenant.</w:t>
      </w:r>
    </w:p>
    <w:p w:rsidR="00FC2ED0" w:rsidRPr="00325E1D" w:rsidRDefault="00FC2ED0" w:rsidP="00FC2ED0">
      <w:pPr>
        <w:jc w:val="both"/>
        <w:rPr>
          <w:sz w:val="24"/>
        </w:rPr>
      </w:pPr>
      <w:r w:rsidRPr="00325E1D">
        <w:rPr>
          <w:rFonts w:ascii="Times New Roman" w:hAnsi="Times New Roman"/>
          <w:b/>
          <w:bCs/>
          <w:sz w:val="22"/>
        </w:rPr>
        <w:t xml:space="preserve">Suzerainty Treaty Context. </w:t>
      </w:r>
      <w:r w:rsidRPr="00325E1D">
        <w:rPr>
          <w:rFonts w:ascii="Times New Roman" w:hAnsi="Times New Roman"/>
          <w:sz w:val="22"/>
        </w:rPr>
        <w:t>The preamble of the suzerainty treaties (identification of suzerain) corresponds to the opening of the Decalogue (</w:t>
      </w:r>
      <w:r w:rsidR="00366B5F" w:rsidRPr="00325E1D">
        <w:rPr>
          <w:rFonts w:ascii="Times New Roman" w:hAnsi="Times New Roman"/>
          <w:sz w:val="22"/>
        </w:rPr>
        <w:t>“</w:t>
      </w:r>
      <w:r w:rsidRPr="00325E1D">
        <w:rPr>
          <w:rFonts w:ascii="Times New Roman" w:hAnsi="Times New Roman"/>
          <w:sz w:val="22"/>
        </w:rPr>
        <w:t>I am the Lord</w:t>
      </w:r>
      <w:r w:rsidR="00366B5F" w:rsidRPr="00325E1D">
        <w:rPr>
          <w:rFonts w:ascii="Times New Roman" w:hAnsi="Times New Roman"/>
          <w:sz w:val="22"/>
        </w:rPr>
        <w:t>”</w:t>
      </w:r>
      <w:r w:rsidRPr="00325E1D">
        <w:rPr>
          <w:rFonts w:ascii="Times New Roman" w:hAnsi="Times New Roman"/>
          <w:sz w:val="22"/>
        </w:rPr>
        <w:t>). Parallels, such as the exclusion of foreign alliances (</w:t>
      </w:r>
      <w:r w:rsidR="00366B5F" w:rsidRPr="00325E1D">
        <w:rPr>
          <w:rFonts w:ascii="Times New Roman" w:hAnsi="Times New Roman"/>
          <w:sz w:val="22"/>
        </w:rPr>
        <w:t>“</w:t>
      </w:r>
      <w:r w:rsidRPr="00325E1D">
        <w:rPr>
          <w:rFonts w:ascii="Times New Roman" w:hAnsi="Times New Roman"/>
          <w:sz w:val="22"/>
        </w:rPr>
        <w:t>thou shalt have no other gods before me</w:t>
      </w:r>
      <w:r w:rsidR="00366B5F" w:rsidRPr="00325E1D">
        <w:rPr>
          <w:rFonts w:ascii="Times New Roman" w:hAnsi="Times New Roman"/>
          <w:sz w:val="22"/>
        </w:rPr>
        <w:t>”</w:t>
      </w:r>
      <w:r w:rsidRPr="00325E1D">
        <w:rPr>
          <w:rFonts w:ascii="Times New Roman" w:hAnsi="Times New Roman"/>
          <w:sz w:val="22"/>
        </w:rPr>
        <w:t xml:space="preserve">), reinforce the idea that the Decalogue functions as a covenant rather than merely a legal code. </w:t>
      </w:r>
    </w:p>
    <w:p w:rsidR="00FC2ED0" w:rsidRPr="00325E1D" w:rsidRDefault="00FC2ED0" w:rsidP="00FC2ED0">
      <w:pPr>
        <w:jc w:val="both"/>
        <w:rPr>
          <w:sz w:val="24"/>
        </w:rPr>
      </w:pPr>
      <w:r w:rsidRPr="00325E1D">
        <w:rPr>
          <w:rFonts w:ascii="Times New Roman" w:hAnsi="Times New Roman"/>
          <w:b/>
          <w:bCs/>
          <w:sz w:val="22"/>
        </w:rPr>
        <w:t xml:space="preserve">Purpose and Structure of the Tables. </w:t>
      </w:r>
      <w:r w:rsidRPr="00325E1D">
        <w:rPr>
          <w:rFonts w:ascii="Times New Roman" w:hAnsi="Times New Roman"/>
          <w:sz w:val="22"/>
        </w:rPr>
        <w:t xml:space="preserve">The two tables should not be viewed as a divided legal code but as duplicate copies of the entire treaty. Extrabiblical treaties often involved writing the </w:t>
      </w:r>
      <w:r w:rsidRPr="00325E1D">
        <w:rPr>
          <w:rFonts w:ascii="Times New Roman" w:hAnsi="Times New Roman"/>
          <w:sz w:val="22"/>
        </w:rPr>
        <w:lastRenderedPageBreak/>
        <w:t>entire text on one table, sometimes on both sides. This duplication was a common ANE practice where one copy would be kept in the vassal</w:t>
      </w:r>
      <w:r w:rsidR="00366B5F" w:rsidRPr="00325E1D">
        <w:rPr>
          <w:rFonts w:ascii="Times New Roman" w:hAnsi="Times New Roman"/>
          <w:sz w:val="22"/>
        </w:rPr>
        <w:t>’</w:t>
      </w:r>
      <w:r w:rsidRPr="00325E1D">
        <w:rPr>
          <w:rFonts w:ascii="Times New Roman" w:hAnsi="Times New Roman"/>
          <w:sz w:val="22"/>
        </w:rPr>
        <w:t>s sanctuary and the other in the suzerain</w:t>
      </w:r>
      <w:r w:rsidR="00366B5F" w:rsidRPr="00325E1D">
        <w:rPr>
          <w:rFonts w:ascii="Times New Roman" w:hAnsi="Times New Roman"/>
          <w:sz w:val="22"/>
        </w:rPr>
        <w:t>’</w:t>
      </w:r>
      <w:r w:rsidRPr="00325E1D">
        <w:rPr>
          <w:rFonts w:ascii="Times New Roman" w:hAnsi="Times New Roman"/>
          <w:sz w:val="22"/>
        </w:rPr>
        <w:t>s sanctuary.</w:t>
      </w:r>
    </w:p>
    <w:p w:rsidR="00FC2ED0" w:rsidRPr="00325E1D" w:rsidRDefault="00FC2ED0" w:rsidP="00FC2ED0">
      <w:pPr>
        <w:jc w:val="both"/>
        <w:rPr>
          <w:sz w:val="24"/>
        </w:rPr>
      </w:pPr>
      <w:r w:rsidRPr="00325E1D">
        <w:rPr>
          <w:rFonts w:ascii="Times New Roman" w:hAnsi="Times New Roman"/>
          <w:b/>
          <w:bCs/>
          <w:sz w:val="22"/>
        </w:rPr>
        <w:t xml:space="preserve">Context in Israel. </w:t>
      </w:r>
      <w:r w:rsidRPr="00325E1D">
        <w:rPr>
          <w:rFonts w:ascii="Times New Roman" w:hAnsi="Times New Roman"/>
          <w:sz w:val="22"/>
        </w:rPr>
        <w:t>In Israel</w:t>
      </w:r>
      <w:r w:rsidR="00366B5F" w:rsidRPr="00325E1D">
        <w:rPr>
          <w:rFonts w:ascii="Times New Roman" w:hAnsi="Times New Roman"/>
          <w:sz w:val="22"/>
        </w:rPr>
        <w:t>’</w:t>
      </w:r>
      <w:r w:rsidRPr="00325E1D">
        <w:rPr>
          <w:rFonts w:ascii="Times New Roman" w:hAnsi="Times New Roman"/>
          <w:sz w:val="22"/>
        </w:rPr>
        <w:t>s context, both copies of the covenant were placed in the Ark of the Covenant in the Tabernacle, signifying Yahweh</w:t>
      </w:r>
      <w:r w:rsidR="00366B5F" w:rsidRPr="00325E1D">
        <w:rPr>
          <w:rFonts w:ascii="Times New Roman" w:hAnsi="Times New Roman"/>
          <w:sz w:val="22"/>
        </w:rPr>
        <w:t>’</w:t>
      </w:r>
      <w:r w:rsidRPr="00325E1D">
        <w:rPr>
          <w:rFonts w:ascii="Times New Roman" w:hAnsi="Times New Roman"/>
          <w:sz w:val="22"/>
        </w:rPr>
        <w:t>s unique role as both covenant Suzerain and God of Israel. The instructions for this placement are found later in the legislative instructions for the Ark and sanctuary (Exodus 25:10-22), as well as mandates for public reading (Deuteronomy 21:9-13). Israel</w:t>
      </w:r>
      <w:r w:rsidR="00366B5F" w:rsidRPr="00325E1D">
        <w:rPr>
          <w:rFonts w:ascii="Times New Roman" w:hAnsi="Times New Roman"/>
          <w:sz w:val="22"/>
        </w:rPr>
        <w:t>’</w:t>
      </w:r>
      <w:r w:rsidRPr="00325E1D">
        <w:rPr>
          <w:rFonts w:ascii="Times New Roman" w:hAnsi="Times New Roman"/>
          <w:sz w:val="22"/>
        </w:rPr>
        <w:t>s copy served as a documentary witness to and against the people.</w:t>
      </w:r>
    </w:p>
    <w:p w:rsidR="00FC2ED0" w:rsidRPr="00325E1D" w:rsidRDefault="00FC2ED0" w:rsidP="00FC2ED0">
      <w:pPr>
        <w:jc w:val="both"/>
        <w:rPr>
          <w:sz w:val="24"/>
        </w:rPr>
      </w:pPr>
      <w:r w:rsidRPr="00325E1D">
        <w:rPr>
          <w:rFonts w:ascii="Times New Roman" w:hAnsi="Times New Roman"/>
          <w:b/>
          <w:bCs/>
          <w:sz w:val="22"/>
        </w:rPr>
        <w:t>Yahweh</w:t>
      </w:r>
      <w:r w:rsidR="00366B5F" w:rsidRPr="00325E1D">
        <w:rPr>
          <w:rFonts w:ascii="Times New Roman" w:hAnsi="Times New Roman"/>
          <w:b/>
          <w:bCs/>
          <w:sz w:val="22"/>
        </w:rPr>
        <w:t>’</w:t>
      </w:r>
      <w:r w:rsidRPr="00325E1D">
        <w:rPr>
          <w:rFonts w:ascii="Times New Roman" w:hAnsi="Times New Roman"/>
          <w:b/>
          <w:bCs/>
          <w:sz w:val="22"/>
        </w:rPr>
        <w:t>s Role</w:t>
      </w:r>
      <w:r w:rsidR="00523612" w:rsidRPr="00325E1D">
        <w:rPr>
          <w:rFonts w:ascii="Times New Roman" w:hAnsi="Times New Roman"/>
          <w:b/>
          <w:bCs/>
          <w:sz w:val="22"/>
        </w:rPr>
        <w:t xml:space="preserve">. </w:t>
      </w:r>
      <w:r w:rsidRPr="00325E1D">
        <w:rPr>
          <w:rFonts w:ascii="Times New Roman" w:hAnsi="Times New Roman"/>
          <w:sz w:val="22"/>
        </w:rPr>
        <w:t>Yahweh</w:t>
      </w:r>
      <w:r w:rsidR="00366B5F" w:rsidRPr="00325E1D">
        <w:rPr>
          <w:rFonts w:ascii="Times New Roman" w:hAnsi="Times New Roman"/>
          <w:sz w:val="22"/>
        </w:rPr>
        <w:t>’</w:t>
      </w:r>
      <w:r w:rsidRPr="00325E1D">
        <w:rPr>
          <w:rFonts w:ascii="Times New Roman" w:hAnsi="Times New Roman"/>
          <w:sz w:val="22"/>
        </w:rPr>
        <w:t>s copy demonstrates His position as the actual enforcer of the covenant. Unlike human suzerains who sought tribute, God</w:t>
      </w:r>
      <w:r w:rsidR="00366B5F" w:rsidRPr="00325E1D">
        <w:rPr>
          <w:rFonts w:ascii="Times New Roman" w:hAnsi="Times New Roman"/>
          <w:sz w:val="22"/>
        </w:rPr>
        <w:t>’</w:t>
      </w:r>
      <w:r w:rsidRPr="00325E1D">
        <w:rPr>
          <w:rFonts w:ascii="Times New Roman" w:hAnsi="Times New Roman"/>
          <w:sz w:val="22"/>
        </w:rPr>
        <w:t>s interest lay in mercy and relational fidelity, extending benefits to a thousand generations. This is akin to Genesis 15, where Yahweh swears covenant fidelity, ensuring promises are fulfilled and demanding total allegiance from Abraham.</w:t>
      </w:r>
    </w:p>
    <w:p w:rsidR="00FC2ED0" w:rsidRPr="00325E1D" w:rsidRDefault="00FC2ED0" w:rsidP="00FC2ED0">
      <w:pPr>
        <w:jc w:val="both"/>
        <w:rPr>
          <w:sz w:val="24"/>
        </w:rPr>
      </w:pPr>
      <w:r w:rsidRPr="00325E1D">
        <w:rPr>
          <w:rFonts w:ascii="Times New Roman" w:hAnsi="Times New Roman"/>
          <w:b/>
          <w:bCs/>
          <w:sz w:val="22"/>
        </w:rPr>
        <w:t>Soteric Covenants</w:t>
      </w:r>
      <w:r w:rsidR="00523612" w:rsidRPr="00325E1D">
        <w:rPr>
          <w:rFonts w:ascii="Times New Roman" w:hAnsi="Times New Roman"/>
          <w:b/>
          <w:bCs/>
          <w:sz w:val="22"/>
        </w:rPr>
        <w:t xml:space="preserve">. </w:t>
      </w:r>
      <w:r w:rsidRPr="00325E1D">
        <w:rPr>
          <w:rFonts w:ascii="Times New Roman" w:hAnsi="Times New Roman"/>
          <w:sz w:val="22"/>
        </w:rPr>
        <w:t>God</w:t>
      </w:r>
      <w:r w:rsidR="00366B5F" w:rsidRPr="00325E1D">
        <w:rPr>
          <w:rFonts w:ascii="Times New Roman" w:hAnsi="Times New Roman"/>
          <w:sz w:val="22"/>
        </w:rPr>
        <w:t>’</w:t>
      </w:r>
      <w:r w:rsidRPr="00325E1D">
        <w:rPr>
          <w:rFonts w:ascii="Times New Roman" w:hAnsi="Times New Roman"/>
          <w:sz w:val="22"/>
        </w:rPr>
        <w:t>s covenants are marked by His sovereign grace, guaranteeing the fulfillment of His redemptive purposes in Christ. These covenants come with divine assurances, effecting the realization of the covenants</w:t>
      </w:r>
      <w:r w:rsidR="00366B5F" w:rsidRPr="00325E1D">
        <w:rPr>
          <w:rFonts w:ascii="Times New Roman" w:hAnsi="Times New Roman"/>
          <w:sz w:val="22"/>
        </w:rPr>
        <w:t>’</w:t>
      </w:r>
      <w:r w:rsidRPr="00325E1D">
        <w:rPr>
          <w:rFonts w:ascii="Times New Roman" w:hAnsi="Times New Roman"/>
          <w:sz w:val="22"/>
        </w:rPr>
        <w:t xml:space="preserve"> blessing</w:t>
      </w:r>
      <w:r w:rsidR="00523612" w:rsidRPr="00325E1D">
        <w:rPr>
          <w:rFonts w:ascii="Times New Roman" w:hAnsi="Times New Roman"/>
          <w:sz w:val="22"/>
        </w:rPr>
        <w:t xml:space="preserve"> and</w:t>
      </w:r>
      <w:r w:rsidRPr="00325E1D">
        <w:rPr>
          <w:rFonts w:ascii="Times New Roman" w:hAnsi="Times New Roman"/>
          <w:sz w:val="22"/>
        </w:rPr>
        <w:t xml:space="preserve"> sanctions.</w:t>
      </w:r>
    </w:p>
    <w:p w:rsidR="00FC2ED0" w:rsidRPr="00325E1D" w:rsidRDefault="00FC2ED0" w:rsidP="00FC2ED0">
      <w:pPr>
        <w:jc w:val="both"/>
        <w:rPr>
          <w:b/>
          <w:bCs/>
          <w:sz w:val="24"/>
        </w:rPr>
      </w:pPr>
      <w:r w:rsidRPr="00325E1D">
        <w:rPr>
          <w:rFonts w:ascii="Times New Roman" w:hAnsi="Times New Roman"/>
          <w:b/>
          <w:bCs/>
          <w:sz w:val="22"/>
        </w:rPr>
        <w:t>Two Copies and Ethical Implications</w:t>
      </w:r>
      <w:r w:rsidR="00523612" w:rsidRPr="00325E1D">
        <w:rPr>
          <w:rFonts w:ascii="Times New Roman" w:hAnsi="Times New Roman"/>
          <w:b/>
          <w:bCs/>
          <w:sz w:val="22"/>
        </w:rPr>
        <w:t xml:space="preserve">. </w:t>
      </w:r>
      <w:r w:rsidRPr="00325E1D">
        <w:rPr>
          <w:rFonts w:ascii="Times New Roman" w:hAnsi="Times New Roman"/>
          <w:sz w:val="22"/>
        </w:rPr>
        <w:t>The two copies signify the personal and relational nature of biblical ethics, contrasting with the idea of a mere legal code. This bilateral covenant emphasizes an I-Thou relationship, avoiding a simplistic division of commandments into those concerning God (1-4) and those concerning fellow humans (5-10). The great commandment to love God and one</w:t>
      </w:r>
      <w:r w:rsidR="00366B5F" w:rsidRPr="00325E1D">
        <w:rPr>
          <w:rFonts w:ascii="Times New Roman" w:hAnsi="Times New Roman"/>
          <w:sz w:val="22"/>
        </w:rPr>
        <w:t>’</w:t>
      </w:r>
      <w:r w:rsidRPr="00325E1D">
        <w:rPr>
          <w:rFonts w:ascii="Times New Roman" w:hAnsi="Times New Roman"/>
          <w:sz w:val="22"/>
        </w:rPr>
        <w:t>s neighbor encompasses all Ten Commandments, underscoring the indivisibility of these ethical imperatives.</w:t>
      </w:r>
    </w:p>
    <w:p w:rsidR="00FC2ED0" w:rsidRPr="00325E1D" w:rsidRDefault="00FC2ED0" w:rsidP="00FC2ED0">
      <w:pPr>
        <w:jc w:val="both"/>
        <w:rPr>
          <w:sz w:val="24"/>
        </w:rPr>
      </w:pPr>
      <w:r w:rsidRPr="00325E1D">
        <w:rPr>
          <w:rFonts w:ascii="Times New Roman" w:hAnsi="Times New Roman"/>
          <w:sz w:val="22"/>
        </w:rPr>
        <w:t>In essence, the two tables represent the covenantal relationship between God and Israel, emphasizing relational faithfulness over legalistic adherence and reflecting the deep interconnectedness of divine and human obligations.</w:t>
      </w:r>
    </w:p>
    <w:p w:rsidR="00523612" w:rsidRPr="00325E1D" w:rsidRDefault="00523612" w:rsidP="00523612">
      <w:pPr>
        <w:jc w:val="both"/>
        <w:rPr>
          <w:sz w:val="24"/>
        </w:rPr>
      </w:pPr>
      <w:r w:rsidRPr="00325E1D">
        <w:rPr>
          <w:rFonts w:ascii="Times New Roman" w:hAnsi="Times New Roman"/>
          <w:b/>
          <w:bCs/>
          <w:sz w:val="22"/>
        </w:rPr>
        <w:t>Two: Dynastic Covenant</w:t>
      </w:r>
    </w:p>
    <w:p w:rsidR="00523612" w:rsidRPr="00325E1D" w:rsidRDefault="00523612" w:rsidP="00523612">
      <w:pPr>
        <w:jc w:val="both"/>
        <w:rPr>
          <w:sz w:val="24"/>
        </w:rPr>
      </w:pPr>
      <w:r w:rsidRPr="00325E1D">
        <w:rPr>
          <w:rFonts w:ascii="Times New Roman" w:hAnsi="Times New Roman"/>
          <w:b/>
          <w:bCs/>
          <w:sz w:val="22"/>
        </w:rPr>
        <w:t xml:space="preserve">Higher Criticism and Deuteronomy. </w:t>
      </w:r>
      <w:r w:rsidRPr="00325E1D">
        <w:rPr>
          <w:rFonts w:ascii="Times New Roman" w:hAnsi="Times New Roman"/>
          <w:sz w:val="22"/>
        </w:rPr>
        <w:t>Higher criticism challenges the structural unity and integrity of Deuteronomy. Kline counters this by arguing that Deuteronomy is a covenant renewal document embodying the classical legal form of Mosaic-era suzerainty treaties.</w:t>
      </w:r>
    </w:p>
    <w:p w:rsidR="00523612" w:rsidRPr="00325E1D" w:rsidRDefault="00523612" w:rsidP="00523612">
      <w:pPr>
        <w:jc w:val="both"/>
        <w:rPr>
          <w:sz w:val="24"/>
        </w:rPr>
      </w:pPr>
    </w:p>
    <w:p w:rsidR="00523612" w:rsidRPr="00325E1D" w:rsidRDefault="00523612" w:rsidP="00523612">
      <w:pPr>
        <w:jc w:val="both"/>
        <w:rPr>
          <w:sz w:val="24"/>
        </w:rPr>
      </w:pPr>
      <w:r w:rsidRPr="00325E1D">
        <w:rPr>
          <w:rFonts w:ascii="Times New Roman" w:hAnsi="Times New Roman"/>
          <w:b/>
          <w:bCs/>
          <w:sz w:val="22"/>
        </w:rPr>
        <w:t xml:space="preserve">Outline of Deuteronomy. </w:t>
      </w:r>
      <w:r w:rsidRPr="00325E1D">
        <w:rPr>
          <w:rFonts w:ascii="Times New Roman" w:hAnsi="Times New Roman"/>
          <w:sz w:val="22"/>
        </w:rPr>
        <w:t>Kline offers the following structure for Deuteronomy, aligning it with suzerainty treaties:</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Preamble (1:1-5)</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Historical Prologue (1:6-4:49)</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Stipulations (Chapters 5-26)</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Curses and Blessings or Covenant Ratification (Chapters 27-30)</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Succession Arrangements or Covenant Continuity (Chapters 31-34)</w:t>
      </w:r>
    </w:p>
    <w:p w:rsidR="00523612" w:rsidRPr="00325E1D" w:rsidRDefault="00523612" w:rsidP="00523612">
      <w:pPr>
        <w:jc w:val="both"/>
        <w:rPr>
          <w:sz w:val="24"/>
        </w:rPr>
      </w:pPr>
      <w:r w:rsidRPr="00325E1D">
        <w:rPr>
          <w:rFonts w:ascii="Times New Roman" w:hAnsi="Times New Roman"/>
          <w:sz w:val="22"/>
        </w:rPr>
        <w:t>This documentary pattern supports the idea that Deuteronomy is a text for a covenant ceremony, even if understood as a series of addresses.</w:t>
      </w:r>
    </w:p>
    <w:p w:rsidR="00523612" w:rsidRPr="00325E1D" w:rsidRDefault="00523612" w:rsidP="00523612">
      <w:pPr>
        <w:jc w:val="both"/>
        <w:rPr>
          <w:b/>
          <w:bCs/>
          <w:sz w:val="24"/>
        </w:rPr>
      </w:pPr>
      <w:r w:rsidRPr="00325E1D">
        <w:rPr>
          <w:rFonts w:ascii="Times New Roman" w:hAnsi="Times New Roman"/>
          <w:b/>
          <w:bCs/>
          <w:sz w:val="22"/>
        </w:rPr>
        <w:t>Deuteronomy</w:t>
      </w:r>
      <w:r w:rsidR="00366B5F" w:rsidRPr="00325E1D">
        <w:rPr>
          <w:rFonts w:ascii="Times New Roman" w:hAnsi="Times New Roman"/>
          <w:b/>
          <w:bCs/>
          <w:sz w:val="22"/>
        </w:rPr>
        <w:t>’</w:t>
      </w:r>
      <w:r w:rsidRPr="00325E1D">
        <w:rPr>
          <w:rFonts w:ascii="Times New Roman" w:hAnsi="Times New Roman"/>
          <w:b/>
          <w:bCs/>
          <w:sz w:val="22"/>
        </w:rPr>
        <w:t>s Structure and Treaty Elements.</w:t>
      </w:r>
    </w:p>
    <w:p w:rsidR="00523612" w:rsidRPr="00325E1D" w:rsidRDefault="00523612" w:rsidP="00523612">
      <w:pPr>
        <w:jc w:val="both"/>
        <w:rPr>
          <w:sz w:val="24"/>
        </w:rPr>
      </w:pPr>
      <w:r w:rsidRPr="00325E1D">
        <w:rPr>
          <w:rFonts w:ascii="Times New Roman" w:hAnsi="Times New Roman"/>
          <w:sz w:val="22"/>
        </w:rPr>
        <w:t>Deuteronomy parallels ancient treaties, featuring God as the Suzerain:</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Preamble and Historical Prologue: Identifies Yahweh and outlines covenant history.</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 xml:space="preserve">Stipulations: </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General commands in chapters 5-11 emphasize undivided allegiance and conquest mandates.</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Specific regulations in chapters 12-26 have a hortatory character, indicating Deuteronomy is more than a legal code. Repetition aligns with suzerain treaties and renewed covenants.</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lastRenderedPageBreak/>
        <w:t xml:space="preserve">Curses and Blessings (Chapters 27-30): </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Include sanctions, a call for decision, historical recounting of Yahweh</w:t>
      </w:r>
      <w:r w:rsidR="00366B5F" w:rsidRPr="00325E1D">
        <w:rPr>
          <w:rFonts w:ascii="Times New Roman" w:hAnsi="Times New Roman"/>
          <w:sz w:val="22"/>
        </w:rPr>
        <w:t>’</w:t>
      </w:r>
      <w:r w:rsidRPr="00325E1D">
        <w:rPr>
          <w:rFonts w:ascii="Times New Roman" w:hAnsi="Times New Roman"/>
          <w:sz w:val="22"/>
        </w:rPr>
        <w:t>s acts, and reiteration of primary stipulations.</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The invocation of witnesses (heaven and earth) and the pronounced blessings and curses provide a framework for the prophetic eschatological message.</w:t>
      </w:r>
    </w:p>
    <w:p w:rsidR="00523612" w:rsidRPr="00325E1D" w:rsidRDefault="00523612" w:rsidP="00523612">
      <w:pPr>
        <w:pStyle w:val="ListParagraph"/>
        <w:numPr>
          <w:ilvl w:val="0"/>
          <w:numId w:val="1"/>
        </w:numPr>
        <w:jc w:val="both"/>
        <w:rPr>
          <w:sz w:val="24"/>
        </w:rPr>
      </w:pPr>
      <w:r w:rsidRPr="00325E1D">
        <w:rPr>
          <w:rFonts w:ascii="Times New Roman" w:hAnsi="Times New Roman"/>
          <w:sz w:val="22"/>
        </w:rPr>
        <w:t xml:space="preserve">Succession Arrangements (Chapters 31-34): </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Aligns with treaty elements like witness invocation and treaty text deposition in sanctuaries.</w:t>
      </w:r>
    </w:p>
    <w:p w:rsidR="00523612" w:rsidRPr="00325E1D" w:rsidRDefault="00523612" w:rsidP="00523612">
      <w:pPr>
        <w:pStyle w:val="ListParagraph"/>
        <w:numPr>
          <w:ilvl w:val="1"/>
          <w:numId w:val="1"/>
        </w:numPr>
        <w:jc w:val="both"/>
        <w:rPr>
          <w:sz w:val="24"/>
        </w:rPr>
      </w:pPr>
      <w:r w:rsidRPr="00325E1D">
        <w:rPr>
          <w:rFonts w:ascii="Times New Roman" w:hAnsi="Times New Roman"/>
          <w:sz w:val="22"/>
        </w:rPr>
        <w:t>Succession involves Moses transferring leadership to Joshua in two stages: Moab and Shechem, paralleling vassal oaths to the suzerain and successors.</w:t>
      </w:r>
    </w:p>
    <w:p w:rsidR="00523612" w:rsidRPr="00325E1D" w:rsidRDefault="00523612" w:rsidP="00523612">
      <w:pPr>
        <w:jc w:val="both"/>
        <w:rPr>
          <w:sz w:val="24"/>
        </w:rPr>
      </w:pPr>
      <w:r w:rsidRPr="00325E1D">
        <w:rPr>
          <w:rFonts w:ascii="Times New Roman" w:hAnsi="Times New Roman"/>
          <w:b/>
          <w:bCs/>
          <w:sz w:val="22"/>
        </w:rPr>
        <w:t xml:space="preserve">The Davidic Covenant. </w:t>
      </w:r>
      <w:r w:rsidRPr="00325E1D">
        <w:rPr>
          <w:rFonts w:ascii="Times New Roman" w:hAnsi="Times New Roman"/>
          <w:sz w:val="22"/>
        </w:rPr>
        <w:t>The Davidic covenant also offers an absolute guarantee of blessing, intertwined with human responsibility and the potential for curses. This mirrors the structure found in Deuteronomy.</w:t>
      </w:r>
    </w:p>
    <w:p w:rsidR="00523612" w:rsidRPr="00325E1D" w:rsidRDefault="00523612" w:rsidP="00523612">
      <w:pPr>
        <w:jc w:val="both"/>
        <w:rPr>
          <w:sz w:val="24"/>
        </w:rPr>
      </w:pPr>
      <w:r w:rsidRPr="00325E1D">
        <w:rPr>
          <w:rFonts w:ascii="Times New Roman" w:hAnsi="Times New Roman"/>
          <w:b/>
          <w:bCs/>
          <w:sz w:val="22"/>
        </w:rPr>
        <w:t xml:space="preserve">Conclusion. </w:t>
      </w:r>
      <w:r w:rsidRPr="00325E1D">
        <w:rPr>
          <w:rFonts w:ascii="Times New Roman" w:hAnsi="Times New Roman"/>
          <w:sz w:val="22"/>
        </w:rPr>
        <w:t>Kline concludes that Deuteronomy, in its present form, unmistakably exhibits the ancient suzerainty treaty structure in its entirety. Its preparation for specific historical occasions affirms its historicity, likening it to Hittite treaties. Prohibitions against adding to or diminishing the text (cf. Deut. 12:32 and Rev. 22:18-19) argue against an evolutionary view and support the canonical integrity of Scripture.</w:t>
      </w:r>
    </w:p>
    <w:p w:rsidR="00523612" w:rsidRPr="00325E1D" w:rsidRDefault="00523612" w:rsidP="00523612">
      <w:pPr>
        <w:jc w:val="both"/>
        <w:rPr>
          <w:b/>
          <w:bCs/>
          <w:sz w:val="24"/>
        </w:rPr>
      </w:pPr>
      <w:r w:rsidRPr="00325E1D">
        <w:rPr>
          <w:rFonts w:ascii="Times New Roman" w:hAnsi="Times New Roman"/>
          <w:b/>
          <w:bCs/>
          <w:sz w:val="22"/>
        </w:rPr>
        <w:t>Three: The Intrusion and the Decalogue</w:t>
      </w:r>
    </w:p>
    <w:p w:rsidR="00523612" w:rsidRPr="00325E1D" w:rsidRDefault="00523612" w:rsidP="00523612">
      <w:pPr>
        <w:jc w:val="both"/>
        <w:rPr>
          <w:sz w:val="24"/>
        </w:rPr>
      </w:pPr>
      <w:r w:rsidRPr="00325E1D">
        <w:rPr>
          <w:rFonts w:ascii="Times New Roman" w:hAnsi="Times New Roman"/>
          <w:b/>
          <w:bCs/>
          <w:sz w:val="22"/>
        </w:rPr>
        <w:t xml:space="preserve">The Concept of Intrusion. </w:t>
      </w:r>
      <w:r w:rsidRPr="00325E1D">
        <w:rPr>
          <w:rFonts w:ascii="Times New Roman" w:hAnsi="Times New Roman"/>
          <w:sz w:val="22"/>
        </w:rPr>
        <w:t>Eschatology predates redemption, rooted in the creation pattern. The breach of the creation covenant by the fall did not result in a blessing but rather a curse. This delay of eschatology, alongside common grace, delineates the mutual exclusivity between the reprobate under common grace and the elect under consummation. The covenant of Redemption introduces an intrusion, pointing to both pre-fall conditions and future eschatological fulfillment. Intrusion encompasses all that prevents the creation covenant</w:t>
      </w:r>
      <w:r w:rsidR="00366B5F" w:rsidRPr="00325E1D">
        <w:rPr>
          <w:rFonts w:ascii="Times New Roman" w:hAnsi="Times New Roman"/>
          <w:sz w:val="22"/>
        </w:rPr>
        <w:t>’</w:t>
      </w:r>
      <w:r w:rsidRPr="00325E1D">
        <w:rPr>
          <w:rFonts w:ascii="Times New Roman" w:hAnsi="Times New Roman"/>
          <w:sz w:val="22"/>
        </w:rPr>
        <w:t xml:space="preserve">s full eschatological realization. It embodies </w:t>
      </w:r>
      <w:r w:rsidRPr="00325E1D">
        <w:rPr>
          <w:rFonts w:ascii="Times New Roman" w:hAnsi="Times New Roman"/>
          <w:i/>
          <w:iCs/>
          <w:sz w:val="22"/>
        </w:rPr>
        <w:t>already</w:t>
      </w:r>
      <w:r w:rsidRPr="00325E1D">
        <w:rPr>
          <w:rFonts w:ascii="Times New Roman" w:hAnsi="Times New Roman"/>
          <w:sz w:val="22"/>
        </w:rPr>
        <w:t xml:space="preserve"> realized eschatology at its core, while symbolically reflecting eschatology </w:t>
      </w:r>
      <w:r w:rsidRPr="00325E1D">
        <w:rPr>
          <w:rFonts w:ascii="Times New Roman" w:hAnsi="Times New Roman"/>
          <w:i/>
          <w:iCs/>
          <w:sz w:val="22"/>
        </w:rPr>
        <w:t>yet</w:t>
      </w:r>
      <w:r w:rsidRPr="00325E1D">
        <w:rPr>
          <w:rFonts w:ascii="Times New Roman" w:hAnsi="Times New Roman"/>
          <w:sz w:val="22"/>
        </w:rPr>
        <w:t xml:space="preserve"> to be realized. This core-and-shell dynamic is essential for understanding the Old Testament, indicating that the core (realized eschatology) is always present within the shell (symbolic representation).</w:t>
      </w:r>
    </w:p>
    <w:p w:rsidR="00523612" w:rsidRPr="00325E1D" w:rsidRDefault="00523612" w:rsidP="00523612">
      <w:pPr>
        <w:jc w:val="both"/>
        <w:rPr>
          <w:sz w:val="24"/>
        </w:rPr>
      </w:pPr>
      <w:r w:rsidRPr="00325E1D">
        <w:rPr>
          <w:rFonts w:ascii="Times New Roman" w:hAnsi="Times New Roman"/>
          <w:b/>
          <w:bCs/>
          <w:sz w:val="22"/>
        </w:rPr>
        <w:t xml:space="preserve">The Intrusion and Ethic. </w:t>
      </w:r>
      <w:r w:rsidRPr="00325E1D">
        <w:rPr>
          <w:rFonts w:ascii="Times New Roman" w:hAnsi="Times New Roman"/>
          <w:sz w:val="22"/>
        </w:rPr>
        <w:t>Biblical laws do not possess eternal validity; they are contextually bound to the existing world order. Some laws have an expiration point at the boundary of our current state of existence. For example, a biblical ethic might dictate different neighborly responsibilities in the present world as compared to the eschatological future where distinctions between the elect and the reprobate are more pronounced.</w:t>
      </w:r>
    </w:p>
    <w:p w:rsidR="00523612" w:rsidRPr="00325E1D" w:rsidRDefault="00523612" w:rsidP="00523612">
      <w:pPr>
        <w:jc w:val="both"/>
        <w:rPr>
          <w:sz w:val="24"/>
        </w:rPr>
      </w:pPr>
      <w:r w:rsidRPr="00325E1D">
        <w:rPr>
          <w:rFonts w:ascii="Times New Roman" w:hAnsi="Times New Roman"/>
          <w:b/>
          <w:bCs/>
          <w:sz w:val="22"/>
        </w:rPr>
        <w:t xml:space="preserve">Intrusion of Judgment. </w:t>
      </w:r>
      <w:r w:rsidRPr="00325E1D">
        <w:rPr>
          <w:rFonts w:ascii="Times New Roman" w:hAnsi="Times New Roman"/>
          <w:i/>
          <w:iCs/>
          <w:sz w:val="22"/>
        </w:rPr>
        <w:t xml:space="preserve">Imprecations in the Psalms. </w:t>
      </w:r>
      <w:r w:rsidRPr="00325E1D">
        <w:rPr>
          <w:rFonts w:ascii="Times New Roman" w:hAnsi="Times New Roman"/>
          <w:sz w:val="22"/>
        </w:rPr>
        <w:t>The Psalms contain imprecations reflecting curses not out of personal wrath but from concern for God</w:t>
      </w:r>
      <w:r w:rsidR="00366B5F" w:rsidRPr="00325E1D">
        <w:rPr>
          <w:rFonts w:ascii="Times New Roman" w:hAnsi="Times New Roman"/>
          <w:sz w:val="22"/>
        </w:rPr>
        <w:t>’</w:t>
      </w:r>
      <w:r w:rsidRPr="00325E1D">
        <w:rPr>
          <w:rFonts w:ascii="Times New Roman" w:hAnsi="Times New Roman"/>
          <w:sz w:val="22"/>
        </w:rPr>
        <w:t xml:space="preserve">s honor and love for His kingdom. The welfare of mankind is secondary to divine judgment, which will eventually fulfill these curses. This distinction lies between common grace ethics and consummation ethics, with imprecations reflecting the latter. </w:t>
      </w:r>
      <w:r w:rsidRPr="00325E1D">
        <w:rPr>
          <w:rFonts w:ascii="Times New Roman" w:hAnsi="Times New Roman"/>
          <w:i/>
          <w:iCs/>
          <w:sz w:val="22"/>
        </w:rPr>
        <w:t xml:space="preserve">Conquest of Canaan. </w:t>
      </w:r>
      <w:r w:rsidRPr="00325E1D">
        <w:rPr>
          <w:rFonts w:ascii="Times New Roman" w:hAnsi="Times New Roman"/>
          <w:sz w:val="22"/>
        </w:rPr>
        <w:t xml:space="preserve">The extermination of the Canaanites appears to contradict commandments against murder and unprovoked aggression. Under common grace, such acts would be considered unethical. However, Kline argues they represent an anticipated eschatology, an ethical sphere intrusion that aligns with divine judgment. </w:t>
      </w:r>
      <w:r w:rsidRPr="00325E1D">
        <w:rPr>
          <w:rFonts w:ascii="Times New Roman" w:hAnsi="Times New Roman"/>
          <w:i/>
          <w:iCs/>
          <w:sz w:val="22"/>
        </w:rPr>
        <w:t xml:space="preserve">Other Judgments. </w:t>
      </w:r>
      <w:r w:rsidRPr="00325E1D">
        <w:rPr>
          <w:rFonts w:ascii="Times New Roman" w:hAnsi="Times New Roman"/>
          <w:sz w:val="22"/>
        </w:rPr>
        <w:t>Other instances of ethical intrusion include withholding truth from the reprobate and breaking commandments in contexts anticipating eschatological judgment.</w:t>
      </w:r>
    </w:p>
    <w:p w:rsidR="00523612" w:rsidRPr="00325E1D" w:rsidRDefault="00523612" w:rsidP="00523612">
      <w:pPr>
        <w:jc w:val="both"/>
        <w:rPr>
          <w:sz w:val="24"/>
        </w:rPr>
      </w:pPr>
      <w:r w:rsidRPr="00325E1D">
        <w:rPr>
          <w:rFonts w:ascii="Times New Roman" w:hAnsi="Times New Roman"/>
          <w:b/>
          <w:bCs/>
          <w:sz w:val="22"/>
        </w:rPr>
        <w:t xml:space="preserve">Intrusion of Redemptive Blessing. </w:t>
      </w:r>
      <w:r w:rsidRPr="00325E1D">
        <w:rPr>
          <w:rFonts w:ascii="Times New Roman" w:hAnsi="Times New Roman"/>
          <w:i/>
          <w:iCs/>
          <w:sz w:val="22"/>
        </w:rPr>
        <w:t xml:space="preserve">The Theocracy and the Nations. </w:t>
      </w:r>
      <w:r w:rsidRPr="00325E1D">
        <w:rPr>
          <w:rFonts w:ascii="Times New Roman" w:hAnsi="Times New Roman"/>
          <w:sz w:val="22"/>
        </w:rPr>
        <w:t xml:space="preserve">True theocracy is aligned with consummation, not common grace. However, examples like God stirring King Cyrus of Persia to restore exiled nations and their cults reflect an intrusion of eschatological ethics. Revelations </w:t>
      </w:r>
      <w:r w:rsidRPr="00325E1D">
        <w:rPr>
          <w:rFonts w:ascii="Times New Roman" w:hAnsi="Times New Roman"/>
          <w:sz w:val="22"/>
        </w:rPr>
        <w:lastRenderedPageBreak/>
        <w:t>21:24 suggests that the kings of the earth will eventually bring their glory and honor to God</w:t>
      </w:r>
      <w:r w:rsidR="00366B5F" w:rsidRPr="00325E1D">
        <w:rPr>
          <w:rFonts w:ascii="Times New Roman" w:hAnsi="Times New Roman"/>
          <w:sz w:val="22"/>
        </w:rPr>
        <w:t>’</w:t>
      </w:r>
      <w:r w:rsidRPr="00325E1D">
        <w:rPr>
          <w:rFonts w:ascii="Times New Roman" w:hAnsi="Times New Roman"/>
          <w:sz w:val="22"/>
        </w:rPr>
        <w:t xml:space="preserve">s kingdom, signaling this redemptive intrusion. </w:t>
      </w:r>
      <w:r w:rsidRPr="00325E1D">
        <w:rPr>
          <w:rFonts w:ascii="Times New Roman" w:hAnsi="Times New Roman"/>
          <w:i/>
          <w:iCs/>
          <w:sz w:val="22"/>
        </w:rPr>
        <w:t xml:space="preserve">The </w:t>
      </w:r>
      <w:r w:rsidR="00366B5F" w:rsidRPr="00325E1D">
        <w:rPr>
          <w:rFonts w:ascii="Times New Roman" w:hAnsi="Times New Roman"/>
          <w:i/>
          <w:iCs/>
          <w:sz w:val="22"/>
        </w:rPr>
        <w:t>“</w:t>
      </w:r>
      <w:r w:rsidRPr="00325E1D">
        <w:rPr>
          <w:rFonts w:ascii="Times New Roman" w:hAnsi="Times New Roman"/>
          <w:i/>
          <w:iCs/>
          <w:sz w:val="22"/>
        </w:rPr>
        <w:t>Sacrifice</w:t>
      </w:r>
      <w:r w:rsidR="00366B5F" w:rsidRPr="00325E1D">
        <w:rPr>
          <w:rFonts w:ascii="Times New Roman" w:hAnsi="Times New Roman"/>
          <w:i/>
          <w:iCs/>
          <w:sz w:val="22"/>
        </w:rPr>
        <w:t>”</w:t>
      </w:r>
      <w:r w:rsidRPr="00325E1D">
        <w:rPr>
          <w:rFonts w:ascii="Times New Roman" w:hAnsi="Times New Roman"/>
          <w:i/>
          <w:iCs/>
          <w:sz w:val="22"/>
        </w:rPr>
        <w:t xml:space="preserve"> of Isaac. </w:t>
      </w:r>
      <w:r w:rsidRPr="00325E1D">
        <w:rPr>
          <w:rFonts w:ascii="Times New Roman" w:hAnsi="Times New Roman"/>
          <w:sz w:val="22"/>
        </w:rPr>
        <w:t>God</w:t>
      </w:r>
      <w:r w:rsidR="00366B5F" w:rsidRPr="00325E1D">
        <w:rPr>
          <w:rFonts w:ascii="Times New Roman" w:hAnsi="Times New Roman"/>
          <w:sz w:val="22"/>
        </w:rPr>
        <w:t>’</w:t>
      </w:r>
      <w:r w:rsidRPr="00325E1D">
        <w:rPr>
          <w:rFonts w:ascii="Times New Roman" w:hAnsi="Times New Roman"/>
          <w:sz w:val="22"/>
        </w:rPr>
        <w:t xml:space="preserve">s command to Abraham to sacrifice Isaac is an intrusion reflecting the ethics of the Cross, symbolizing profound redemptive sacrifice beyond common grace norms. </w:t>
      </w:r>
      <w:r w:rsidRPr="00325E1D">
        <w:rPr>
          <w:rFonts w:ascii="Times New Roman" w:hAnsi="Times New Roman"/>
          <w:i/>
          <w:iCs/>
          <w:sz w:val="22"/>
        </w:rPr>
        <w:t xml:space="preserve">The Marriage of Hosea. </w:t>
      </w:r>
      <w:r w:rsidRPr="00325E1D">
        <w:rPr>
          <w:rFonts w:ascii="Times New Roman" w:hAnsi="Times New Roman"/>
          <w:sz w:val="22"/>
        </w:rPr>
        <w:t>Hosea</w:t>
      </w:r>
      <w:r w:rsidR="00366B5F" w:rsidRPr="00325E1D">
        <w:rPr>
          <w:rFonts w:ascii="Times New Roman" w:hAnsi="Times New Roman"/>
          <w:sz w:val="22"/>
        </w:rPr>
        <w:t>’</w:t>
      </w:r>
      <w:r w:rsidRPr="00325E1D">
        <w:rPr>
          <w:rFonts w:ascii="Times New Roman" w:hAnsi="Times New Roman"/>
          <w:sz w:val="22"/>
        </w:rPr>
        <w:t>s marriage to a prostitute, which seems contradictory to common grace ethics, signifies consummate ethics. It typifies Christ</w:t>
      </w:r>
      <w:r w:rsidR="00366B5F" w:rsidRPr="00325E1D">
        <w:rPr>
          <w:rFonts w:ascii="Times New Roman" w:hAnsi="Times New Roman"/>
          <w:sz w:val="22"/>
        </w:rPr>
        <w:t>’</w:t>
      </w:r>
      <w:r w:rsidRPr="00325E1D">
        <w:rPr>
          <w:rFonts w:ascii="Times New Roman" w:hAnsi="Times New Roman"/>
          <w:sz w:val="22"/>
        </w:rPr>
        <w:t>s relationship with sinners, emphasizing redemptive love and restoration.</w:t>
      </w:r>
    </w:p>
    <w:p w:rsidR="00523612" w:rsidRPr="00325E1D" w:rsidRDefault="00523612" w:rsidP="00523612">
      <w:pPr>
        <w:jc w:val="both"/>
        <w:rPr>
          <w:sz w:val="24"/>
        </w:rPr>
      </w:pPr>
      <w:r w:rsidRPr="00325E1D">
        <w:rPr>
          <w:rFonts w:ascii="Times New Roman" w:hAnsi="Times New Roman"/>
          <w:b/>
          <w:bCs/>
          <w:sz w:val="22"/>
        </w:rPr>
        <w:t xml:space="preserve">Conclusion. </w:t>
      </w:r>
      <w:r w:rsidRPr="00325E1D">
        <w:rPr>
          <w:rFonts w:ascii="Times New Roman" w:hAnsi="Times New Roman"/>
          <w:sz w:val="22"/>
        </w:rPr>
        <w:t>Kline</w:t>
      </w:r>
      <w:r w:rsidR="00366B5F" w:rsidRPr="00325E1D">
        <w:rPr>
          <w:rFonts w:ascii="Times New Roman" w:hAnsi="Times New Roman"/>
          <w:sz w:val="22"/>
        </w:rPr>
        <w:t>’</w:t>
      </w:r>
      <w:r w:rsidRPr="00325E1D">
        <w:rPr>
          <w:rFonts w:ascii="Times New Roman" w:hAnsi="Times New Roman"/>
          <w:sz w:val="22"/>
        </w:rPr>
        <w:t>s concept of intrusion reveals the deep interaction between eschatological expectations and current ethical behaviors prescribed in the Bible. The Old and New Testament both contain elements of this intrusion, presenting a complex interplay between the already-realized aspects of God</w:t>
      </w:r>
      <w:r w:rsidR="00366B5F" w:rsidRPr="00325E1D">
        <w:rPr>
          <w:rFonts w:ascii="Times New Roman" w:hAnsi="Times New Roman"/>
          <w:sz w:val="22"/>
        </w:rPr>
        <w:t>’</w:t>
      </w:r>
      <w:r w:rsidRPr="00325E1D">
        <w:rPr>
          <w:rFonts w:ascii="Times New Roman" w:hAnsi="Times New Roman"/>
          <w:sz w:val="22"/>
        </w:rPr>
        <w:t>s kingdom and the not-yet-realized future consummation.</w:t>
      </w:r>
    </w:p>
    <w:p w:rsidR="00523612" w:rsidRPr="00325E1D" w:rsidRDefault="00523612" w:rsidP="00523612">
      <w:pPr>
        <w:jc w:val="both"/>
        <w:rPr>
          <w:b/>
          <w:bCs/>
          <w:sz w:val="24"/>
        </w:rPr>
      </w:pPr>
      <w:r w:rsidRPr="00325E1D">
        <w:rPr>
          <w:rFonts w:ascii="Times New Roman" w:hAnsi="Times New Roman"/>
          <w:b/>
          <w:bCs/>
          <w:sz w:val="22"/>
        </w:rPr>
        <w:t>Four: The Old Testament Origins of the Gospel Genre</w:t>
      </w:r>
    </w:p>
    <w:p w:rsidR="00523612" w:rsidRPr="00325E1D" w:rsidRDefault="00523612" w:rsidP="00523612">
      <w:pPr>
        <w:jc w:val="both"/>
        <w:rPr>
          <w:sz w:val="24"/>
        </w:rPr>
      </w:pPr>
      <w:r w:rsidRPr="00325E1D">
        <w:rPr>
          <w:rFonts w:ascii="Times New Roman" w:hAnsi="Times New Roman"/>
          <w:b/>
          <w:bCs/>
          <w:sz w:val="22"/>
        </w:rPr>
        <w:t xml:space="preserve">The Concept of Gospel Genre. </w:t>
      </w:r>
      <w:r w:rsidRPr="00325E1D">
        <w:rPr>
          <w:rFonts w:ascii="Times New Roman" w:hAnsi="Times New Roman"/>
          <w:sz w:val="22"/>
        </w:rPr>
        <w:t>Scholarly consensus is lacking on directly linking the canonical gospels with earlier literary traditions. The gospels incorporate teaching discourse and historical narrative, documenting both the words and works of Jesus across a variety of literary forms, such as sapiential, legal, polemical, and apocalyptic content. Form-critical studies view the gospels primarily as church documents, while conservatives often treat them as biographical accounts of Jesus</w:t>
      </w:r>
      <w:r w:rsidR="00366B5F" w:rsidRPr="00325E1D">
        <w:rPr>
          <w:rFonts w:ascii="Times New Roman" w:hAnsi="Times New Roman"/>
          <w:sz w:val="22"/>
        </w:rPr>
        <w:t>’</w:t>
      </w:r>
      <w:r w:rsidRPr="00325E1D">
        <w:rPr>
          <w:rFonts w:ascii="Times New Roman" w:hAnsi="Times New Roman"/>
          <w:sz w:val="22"/>
        </w:rPr>
        <w:t xml:space="preserve"> life.</w:t>
      </w:r>
    </w:p>
    <w:p w:rsidR="00523612" w:rsidRPr="00325E1D" w:rsidRDefault="00523612" w:rsidP="00523612">
      <w:pPr>
        <w:jc w:val="both"/>
        <w:rPr>
          <w:sz w:val="24"/>
        </w:rPr>
      </w:pPr>
      <w:r w:rsidRPr="00325E1D">
        <w:rPr>
          <w:rFonts w:ascii="Times New Roman" w:hAnsi="Times New Roman"/>
          <w:b/>
          <w:bCs/>
          <w:sz w:val="22"/>
        </w:rPr>
        <w:t xml:space="preserve">The Book of Exodus and the Gospel Genre. </w:t>
      </w:r>
      <w:r w:rsidRPr="00325E1D">
        <w:rPr>
          <w:rFonts w:ascii="Times New Roman" w:hAnsi="Times New Roman"/>
          <w:sz w:val="22"/>
        </w:rPr>
        <w:t xml:space="preserve">Comparative literary analysis suggests that just as contemporary Judaism at Qumran adapted various OT literary forms, the gospels similarly could have adopted such forms. The Book of Exodus provides a particularly salient parallel, referred to by Kline as the </w:t>
      </w:r>
      <w:r w:rsidR="00366B5F" w:rsidRPr="00325E1D">
        <w:rPr>
          <w:rFonts w:ascii="Times New Roman" w:hAnsi="Times New Roman"/>
          <w:sz w:val="22"/>
        </w:rPr>
        <w:t>“</w:t>
      </w:r>
      <w:r w:rsidRPr="00325E1D">
        <w:rPr>
          <w:rFonts w:ascii="Times New Roman" w:hAnsi="Times New Roman"/>
          <w:sz w:val="22"/>
        </w:rPr>
        <w:t>Gospel of Moses.</w:t>
      </w:r>
      <w:r w:rsidR="00366B5F" w:rsidRPr="00325E1D">
        <w:rPr>
          <w:rFonts w:ascii="Times New Roman" w:hAnsi="Times New Roman"/>
          <w:sz w:val="22"/>
        </w:rPr>
        <w:t>”</w:t>
      </w:r>
      <w:r w:rsidRPr="00325E1D">
        <w:rPr>
          <w:rFonts w:ascii="Times New Roman" w:hAnsi="Times New Roman"/>
          <w:sz w:val="22"/>
        </w:rPr>
        <w:t xml:space="preserve"> Both Exodus and the gospels encompass historical narratives and authoritative sayings (legislation in Exodus and teachings in the gospels). The structural similarity in both content and form is striking: (1) Inauguration of Covenants: Both documents focus extensively on the initiation of divine covenants—Sinaitic in Exodus and New Covenant in the gospels; (2) Covenant Mediator</w:t>
      </w:r>
      <w:r w:rsidR="00366B5F" w:rsidRPr="00325E1D">
        <w:rPr>
          <w:rFonts w:ascii="Times New Roman" w:hAnsi="Times New Roman"/>
          <w:sz w:val="22"/>
        </w:rPr>
        <w:t>’</w:t>
      </w:r>
      <w:r w:rsidRPr="00325E1D">
        <w:rPr>
          <w:rFonts w:ascii="Times New Roman" w:hAnsi="Times New Roman"/>
          <w:sz w:val="22"/>
        </w:rPr>
        <w:t>s Life: The first halves detail the public careers of the covenant mediators, Moses and Jesus; and (3), distinctive Christological Perspectives: Each gospel</w:t>
      </w:r>
      <w:r w:rsidR="00366B5F" w:rsidRPr="00325E1D">
        <w:rPr>
          <w:rFonts w:ascii="Times New Roman" w:hAnsi="Times New Roman"/>
          <w:sz w:val="22"/>
        </w:rPr>
        <w:t>’</w:t>
      </w:r>
      <w:r w:rsidRPr="00325E1D">
        <w:rPr>
          <w:rFonts w:ascii="Times New Roman" w:hAnsi="Times New Roman"/>
          <w:sz w:val="22"/>
        </w:rPr>
        <w:t xml:space="preserve">s unique portrayal of Christ enriches the genre, making it slightly fluid yet maintaining a core focus on covenantal themes. </w:t>
      </w:r>
    </w:p>
    <w:p w:rsidR="00523612" w:rsidRPr="00325E1D" w:rsidRDefault="00523612" w:rsidP="00523612">
      <w:pPr>
        <w:jc w:val="both"/>
        <w:rPr>
          <w:sz w:val="24"/>
        </w:rPr>
      </w:pPr>
      <w:r w:rsidRPr="00325E1D">
        <w:rPr>
          <w:rFonts w:ascii="Times New Roman" w:hAnsi="Times New Roman"/>
          <w:sz w:val="22"/>
        </w:rPr>
        <w:t>Kline defines the genre as centering on the divine covenant</w:t>
      </w:r>
      <w:r w:rsidR="00366B5F" w:rsidRPr="00325E1D">
        <w:rPr>
          <w:rFonts w:ascii="Times New Roman" w:hAnsi="Times New Roman"/>
          <w:sz w:val="22"/>
        </w:rPr>
        <w:t>’</w:t>
      </w:r>
      <w:r w:rsidRPr="00325E1D">
        <w:rPr>
          <w:rFonts w:ascii="Times New Roman" w:hAnsi="Times New Roman"/>
          <w:sz w:val="22"/>
        </w:rPr>
        <w:t>s inauguration, framed within the mediator</w:t>
      </w:r>
      <w:r w:rsidR="00366B5F" w:rsidRPr="00325E1D">
        <w:rPr>
          <w:rFonts w:ascii="Times New Roman" w:hAnsi="Times New Roman"/>
          <w:sz w:val="22"/>
        </w:rPr>
        <w:t>’</w:t>
      </w:r>
      <w:r w:rsidRPr="00325E1D">
        <w:rPr>
          <w:rFonts w:ascii="Times New Roman" w:hAnsi="Times New Roman"/>
          <w:sz w:val="22"/>
        </w:rPr>
        <w:t>s life and the laws promulgated by the mediator.</w:t>
      </w:r>
    </w:p>
    <w:p w:rsidR="00523612" w:rsidRPr="00325E1D" w:rsidRDefault="00523612" w:rsidP="00523612">
      <w:pPr>
        <w:jc w:val="both"/>
        <w:rPr>
          <w:b/>
          <w:bCs/>
          <w:sz w:val="24"/>
        </w:rPr>
      </w:pPr>
      <w:r w:rsidRPr="00325E1D">
        <w:rPr>
          <w:rFonts w:ascii="Times New Roman" w:hAnsi="Times New Roman"/>
          <w:b/>
          <w:bCs/>
          <w:sz w:val="22"/>
        </w:rPr>
        <w:t>Moses-Exodus Typology in the Gospels</w:t>
      </w:r>
    </w:p>
    <w:p w:rsidR="00523612" w:rsidRPr="00325E1D" w:rsidRDefault="00523612" w:rsidP="00523612">
      <w:pPr>
        <w:jc w:val="both"/>
        <w:rPr>
          <w:sz w:val="24"/>
        </w:rPr>
      </w:pPr>
      <w:r w:rsidRPr="00325E1D">
        <w:rPr>
          <w:rFonts w:ascii="Times New Roman" w:hAnsi="Times New Roman"/>
          <w:sz w:val="22"/>
        </w:rPr>
        <w:t>The gospels leverage Moses-Exodus typology to present Christ</w:t>
      </w:r>
      <w:r w:rsidR="00366B5F" w:rsidRPr="00325E1D">
        <w:rPr>
          <w:rFonts w:ascii="Times New Roman" w:hAnsi="Times New Roman"/>
          <w:sz w:val="22"/>
        </w:rPr>
        <w:t>’</w:t>
      </w:r>
      <w:r w:rsidRPr="00325E1D">
        <w:rPr>
          <w:rFonts w:ascii="Times New Roman" w:hAnsi="Times New Roman"/>
          <w:sz w:val="22"/>
        </w:rPr>
        <w:t>s saving acts as a new exodus led by a new Moses:</w:t>
      </w:r>
    </w:p>
    <w:p w:rsidR="00523612" w:rsidRPr="00325E1D" w:rsidRDefault="00366B5F" w:rsidP="00523612">
      <w:pPr>
        <w:pStyle w:val="ListParagraph"/>
        <w:numPr>
          <w:ilvl w:val="0"/>
          <w:numId w:val="1"/>
        </w:numPr>
        <w:jc w:val="both"/>
        <w:rPr>
          <w:sz w:val="24"/>
        </w:rPr>
      </w:pPr>
      <w:r w:rsidRPr="00325E1D">
        <w:rPr>
          <w:rFonts w:ascii="Times New Roman" w:hAnsi="Times New Roman"/>
          <w:i/>
          <w:iCs/>
          <w:sz w:val="22"/>
        </w:rPr>
        <w:t>“</w:t>
      </w:r>
      <w:r w:rsidR="00523612" w:rsidRPr="00325E1D">
        <w:rPr>
          <w:rFonts w:ascii="Times New Roman" w:hAnsi="Times New Roman"/>
          <w:i/>
          <w:iCs/>
          <w:sz w:val="22"/>
        </w:rPr>
        <w:t>Exodos</w:t>
      </w:r>
      <w:r w:rsidRPr="00325E1D">
        <w:rPr>
          <w:rFonts w:ascii="Times New Roman" w:hAnsi="Times New Roman"/>
          <w:i/>
          <w:iCs/>
          <w:sz w:val="22"/>
        </w:rPr>
        <w:t>”</w:t>
      </w:r>
      <w:r w:rsidR="00523612" w:rsidRPr="00325E1D">
        <w:rPr>
          <w:rFonts w:ascii="Times New Roman" w:hAnsi="Times New Roman"/>
          <w:i/>
          <w:iCs/>
          <w:sz w:val="22"/>
        </w:rPr>
        <w:t xml:space="preserve"> Term</w:t>
      </w:r>
      <w:r w:rsidR="00523612" w:rsidRPr="00325E1D">
        <w:rPr>
          <w:rFonts w:ascii="Times New Roman" w:hAnsi="Times New Roman"/>
          <w:sz w:val="22"/>
        </w:rPr>
        <w:t>: Appears in transfiguration (Luke), paralleling important elements of the Israelites</w:t>
      </w:r>
      <w:r w:rsidRPr="00325E1D">
        <w:rPr>
          <w:rFonts w:ascii="Times New Roman" w:hAnsi="Times New Roman"/>
          <w:sz w:val="22"/>
        </w:rPr>
        <w:t>’</w:t>
      </w:r>
      <w:r w:rsidR="00523612" w:rsidRPr="00325E1D">
        <w:rPr>
          <w:rFonts w:ascii="Times New Roman" w:hAnsi="Times New Roman"/>
          <w:sz w:val="22"/>
        </w:rPr>
        <w:t xml:space="preserve"> journey with Christ</w:t>
      </w:r>
      <w:r w:rsidRPr="00325E1D">
        <w:rPr>
          <w:rFonts w:ascii="Times New Roman" w:hAnsi="Times New Roman"/>
          <w:sz w:val="22"/>
        </w:rPr>
        <w:t>’</w:t>
      </w:r>
      <w:r w:rsidR="00523612" w:rsidRPr="00325E1D">
        <w:rPr>
          <w:rFonts w:ascii="Times New Roman" w:hAnsi="Times New Roman"/>
          <w:sz w:val="22"/>
        </w:rPr>
        <w:t>s mission.</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Passover/Last Supper</w:t>
      </w:r>
      <w:r w:rsidRPr="00325E1D">
        <w:rPr>
          <w:rFonts w:ascii="Times New Roman" w:hAnsi="Times New Roman"/>
          <w:sz w:val="22"/>
        </w:rPr>
        <w:t>: In both narratives, these events mark significant covenant inaugurations involving sacrificial themes.</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Redemption Themes</w:t>
      </w:r>
      <w:r w:rsidRPr="00325E1D">
        <w:rPr>
          <w:rFonts w:ascii="Times New Roman" w:hAnsi="Times New Roman"/>
          <w:sz w:val="22"/>
        </w:rPr>
        <w:t>: Echoing the redemption from slavery, gospels like Luke emphasize themes of redemption extending to nativity and youth.</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Wilderness Experience</w:t>
      </w:r>
      <w:r w:rsidRPr="00325E1D">
        <w:rPr>
          <w:rFonts w:ascii="Times New Roman" w:hAnsi="Times New Roman"/>
          <w:sz w:val="22"/>
        </w:rPr>
        <w:t>: From John the Baptist</w:t>
      </w:r>
      <w:r w:rsidR="00366B5F" w:rsidRPr="00325E1D">
        <w:rPr>
          <w:rFonts w:ascii="Times New Roman" w:hAnsi="Times New Roman"/>
          <w:sz w:val="22"/>
        </w:rPr>
        <w:t>’</w:t>
      </w:r>
      <w:r w:rsidRPr="00325E1D">
        <w:rPr>
          <w:rFonts w:ascii="Times New Roman" w:hAnsi="Times New Roman"/>
          <w:sz w:val="22"/>
        </w:rPr>
        <w:t>s ministry to Jesus</w:t>
      </w:r>
      <w:r w:rsidR="00366B5F" w:rsidRPr="00325E1D">
        <w:rPr>
          <w:rFonts w:ascii="Times New Roman" w:hAnsi="Times New Roman"/>
          <w:sz w:val="22"/>
        </w:rPr>
        <w:t>’</w:t>
      </w:r>
      <w:r w:rsidRPr="00325E1D">
        <w:rPr>
          <w:rFonts w:ascii="Times New Roman" w:hAnsi="Times New Roman"/>
          <w:sz w:val="22"/>
        </w:rPr>
        <w:t xml:space="preserve"> temptation and miracles, these episodes reflect wilderness themes.</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Mediators</w:t>
      </w:r>
      <w:r w:rsidR="00366B5F" w:rsidRPr="00325E1D">
        <w:rPr>
          <w:rFonts w:ascii="Times New Roman" w:hAnsi="Times New Roman"/>
          <w:i/>
          <w:iCs/>
          <w:sz w:val="22"/>
        </w:rPr>
        <w:t>’</w:t>
      </w:r>
      <w:r w:rsidRPr="00325E1D">
        <w:rPr>
          <w:rFonts w:ascii="Times New Roman" w:hAnsi="Times New Roman"/>
          <w:i/>
          <w:iCs/>
          <w:sz w:val="22"/>
        </w:rPr>
        <w:t xml:space="preserve"> Roles</w:t>
      </w:r>
      <w:r w:rsidRPr="00325E1D">
        <w:rPr>
          <w:rFonts w:ascii="Times New Roman" w:hAnsi="Times New Roman"/>
          <w:sz w:val="22"/>
        </w:rPr>
        <w:t>: Both Moses and Jesus are depicted as covenant mediators, with literary parallelism observed in birth narratives, public ministry, and leadership roles.</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Miracles and Ministry</w:t>
      </w:r>
      <w:r w:rsidRPr="00325E1D">
        <w:rPr>
          <w:rFonts w:ascii="Times New Roman" w:hAnsi="Times New Roman"/>
          <w:sz w:val="22"/>
        </w:rPr>
        <w:t>: Jesus</w:t>
      </w:r>
      <w:r w:rsidR="00366B5F" w:rsidRPr="00325E1D">
        <w:rPr>
          <w:rFonts w:ascii="Times New Roman" w:hAnsi="Times New Roman"/>
          <w:sz w:val="22"/>
        </w:rPr>
        <w:t>’</w:t>
      </w:r>
      <w:r w:rsidRPr="00325E1D">
        <w:rPr>
          <w:rFonts w:ascii="Times New Roman" w:hAnsi="Times New Roman"/>
          <w:sz w:val="22"/>
        </w:rPr>
        <w:t xml:space="preserve"> miracles and ministry parallel significant events from Moses</w:t>
      </w:r>
      <w:r w:rsidR="00366B5F" w:rsidRPr="00325E1D">
        <w:rPr>
          <w:rFonts w:ascii="Times New Roman" w:hAnsi="Times New Roman"/>
          <w:sz w:val="22"/>
        </w:rPr>
        <w:t>’</w:t>
      </w:r>
      <w:r w:rsidRPr="00325E1D">
        <w:rPr>
          <w:rFonts w:ascii="Times New Roman" w:hAnsi="Times New Roman"/>
          <w:sz w:val="22"/>
        </w:rPr>
        <w:t xml:space="preserve"> life, highlighting roles in guidance, kingship, and prophetic duties.</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lastRenderedPageBreak/>
        <w:t>Treaty Form in Jesus</w:t>
      </w:r>
      <w:r w:rsidR="00366B5F" w:rsidRPr="00325E1D">
        <w:rPr>
          <w:rFonts w:ascii="Times New Roman" w:hAnsi="Times New Roman"/>
          <w:i/>
          <w:iCs/>
          <w:sz w:val="22"/>
        </w:rPr>
        <w:t>’</w:t>
      </w:r>
      <w:r w:rsidRPr="00325E1D">
        <w:rPr>
          <w:rFonts w:ascii="Times New Roman" w:hAnsi="Times New Roman"/>
          <w:i/>
          <w:iCs/>
          <w:sz w:val="22"/>
        </w:rPr>
        <w:t xml:space="preserve"> Words</w:t>
      </w:r>
      <w:r w:rsidRPr="00325E1D">
        <w:rPr>
          <w:rFonts w:ascii="Times New Roman" w:hAnsi="Times New Roman"/>
          <w:sz w:val="22"/>
        </w:rPr>
        <w:t>: Jesus</w:t>
      </w:r>
      <w:r w:rsidR="00366B5F" w:rsidRPr="00325E1D">
        <w:rPr>
          <w:rFonts w:ascii="Times New Roman" w:hAnsi="Times New Roman"/>
          <w:sz w:val="22"/>
        </w:rPr>
        <w:t>’</w:t>
      </w:r>
      <w:r w:rsidRPr="00325E1D">
        <w:rPr>
          <w:rFonts w:ascii="Times New Roman" w:hAnsi="Times New Roman"/>
          <w:sz w:val="22"/>
        </w:rPr>
        <w:t xml:space="preserve"> utterances often follow treaty form elements, including I-am statements, historical overviews, stipulations, eschatological messaging, and end-time prophecies.</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Farewell Discourses</w:t>
      </w:r>
      <w:r w:rsidRPr="00325E1D">
        <w:rPr>
          <w:rFonts w:ascii="Times New Roman" w:hAnsi="Times New Roman"/>
          <w:sz w:val="22"/>
        </w:rPr>
        <w:t>: Testamentary blessings, promises, and intercessions are mirrored in the farewell messages from both Moses and Jesus.</w:t>
      </w:r>
    </w:p>
    <w:p w:rsidR="00523612" w:rsidRPr="00325E1D" w:rsidRDefault="00523612" w:rsidP="00523612">
      <w:pPr>
        <w:jc w:val="both"/>
        <w:rPr>
          <w:sz w:val="24"/>
        </w:rPr>
      </w:pPr>
      <w:r w:rsidRPr="00325E1D">
        <w:rPr>
          <w:rFonts w:ascii="Times New Roman" w:hAnsi="Times New Roman"/>
          <w:sz w:val="22"/>
        </w:rPr>
        <w:t>While the presence of Exodus typology in the gospels underscores significant similarities, it does not necessarily classify them as a single literary genre.</w:t>
      </w:r>
    </w:p>
    <w:p w:rsidR="00523612" w:rsidRPr="00325E1D" w:rsidRDefault="00523612" w:rsidP="00523612">
      <w:pPr>
        <w:jc w:val="both"/>
        <w:rPr>
          <w:sz w:val="24"/>
        </w:rPr>
      </w:pPr>
      <w:r w:rsidRPr="00325E1D">
        <w:rPr>
          <w:rFonts w:ascii="Times New Roman" w:hAnsi="Times New Roman"/>
          <w:b/>
          <w:bCs/>
          <w:sz w:val="22"/>
        </w:rPr>
        <w:t xml:space="preserve">Canonical Function of the Gospel Genre. </w:t>
      </w:r>
      <w:r w:rsidRPr="00325E1D">
        <w:rPr>
          <w:rFonts w:ascii="Times New Roman" w:hAnsi="Times New Roman"/>
          <w:sz w:val="22"/>
        </w:rPr>
        <w:t>Understanding the gospels</w:t>
      </w:r>
      <w:r w:rsidR="00366B5F" w:rsidRPr="00325E1D">
        <w:rPr>
          <w:rFonts w:ascii="Times New Roman" w:hAnsi="Times New Roman"/>
          <w:sz w:val="22"/>
        </w:rPr>
        <w:t>’</w:t>
      </w:r>
      <w:r w:rsidRPr="00325E1D">
        <w:rPr>
          <w:rFonts w:ascii="Times New Roman" w:hAnsi="Times New Roman"/>
          <w:sz w:val="22"/>
        </w:rPr>
        <w:t xml:space="preserve"> canonical function, aligned with Exodus, suggests profound consequences for canonical interpretation.</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New Covenant Witness</w:t>
      </w:r>
      <w:r w:rsidRPr="00325E1D">
        <w:rPr>
          <w:rFonts w:ascii="Times New Roman" w:hAnsi="Times New Roman"/>
          <w:sz w:val="22"/>
        </w:rPr>
        <w:t>: Just as Exodus serves as a canonical treaty document for Israel, the gospels function similarly for the Christian church, serving dual purposes of bearing witness to Jesus</w:t>
      </w:r>
      <w:r w:rsidR="00366B5F" w:rsidRPr="00325E1D">
        <w:rPr>
          <w:rFonts w:ascii="Times New Roman" w:hAnsi="Times New Roman"/>
          <w:sz w:val="22"/>
        </w:rPr>
        <w:t>’</w:t>
      </w:r>
      <w:r w:rsidRPr="00325E1D">
        <w:rPr>
          <w:rFonts w:ascii="Times New Roman" w:hAnsi="Times New Roman"/>
          <w:sz w:val="22"/>
        </w:rPr>
        <w:t xml:space="preserve"> mission and providing a covenant ratification document.</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Four Witnesses</w:t>
      </w:r>
      <w:r w:rsidRPr="00325E1D">
        <w:rPr>
          <w:rFonts w:ascii="Times New Roman" w:hAnsi="Times New Roman"/>
          <w:sz w:val="22"/>
        </w:rPr>
        <w:t>: The four gospels function as witnesses—both divine and human—to the church, echoing the dual authorship tradition.</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Christological Focus</w:t>
      </w:r>
      <w:r w:rsidRPr="00325E1D">
        <w:rPr>
          <w:rFonts w:ascii="Times New Roman" w:hAnsi="Times New Roman"/>
          <w:sz w:val="22"/>
        </w:rPr>
        <w:t>: While affirming a Christ-centered focus, the gospels frame Jesus within a broader covenantal perspective, revealing God</w:t>
      </w:r>
      <w:r w:rsidR="00366B5F" w:rsidRPr="00325E1D">
        <w:rPr>
          <w:rFonts w:ascii="Times New Roman" w:hAnsi="Times New Roman"/>
          <w:sz w:val="22"/>
        </w:rPr>
        <w:t>’</w:t>
      </w:r>
      <w:r w:rsidRPr="00325E1D">
        <w:rPr>
          <w:rFonts w:ascii="Times New Roman" w:hAnsi="Times New Roman"/>
          <w:sz w:val="22"/>
        </w:rPr>
        <w:t>s name (Yahweh) and fulfilling the ultimate objective of covenantal relationship.</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Proclamation of the Kingdom</w:t>
      </w:r>
      <w:r w:rsidRPr="00325E1D">
        <w:rPr>
          <w:rFonts w:ascii="Times New Roman" w:hAnsi="Times New Roman"/>
          <w:sz w:val="22"/>
        </w:rPr>
        <w:t>: The gospels herald the Messianic age in the OT and announce the inauguration of God</w:t>
      </w:r>
      <w:r w:rsidR="00366B5F" w:rsidRPr="00325E1D">
        <w:rPr>
          <w:rFonts w:ascii="Times New Roman" w:hAnsi="Times New Roman"/>
          <w:sz w:val="22"/>
        </w:rPr>
        <w:t>’</w:t>
      </w:r>
      <w:r w:rsidRPr="00325E1D">
        <w:rPr>
          <w:rFonts w:ascii="Times New Roman" w:hAnsi="Times New Roman"/>
          <w:sz w:val="22"/>
        </w:rPr>
        <w:t>s new covenant in the NT.</w:t>
      </w:r>
    </w:p>
    <w:p w:rsidR="00523612" w:rsidRPr="00325E1D" w:rsidRDefault="00523612" w:rsidP="00523612">
      <w:pPr>
        <w:pStyle w:val="ListParagraph"/>
        <w:numPr>
          <w:ilvl w:val="0"/>
          <w:numId w:val="1"/>
        </w:numPr>
        <w:jc w:val="both"/>
        <w:rPr>
          <w:sz w:val="24"/>
        </w:rPr>
      </w:pPr>
      <w:r w:rsidRPr="00325E1D">
        <w:rPr>
          <w:rFonts w:ascii="Times New Roman" w:hAnsi="Times New Roman"/>
          <w:i/>
          <w:iCs/>
          <w:sz w:val="22"/>
        </w:rPr>
        <w:t>Divine Fulfillment</w:t>
      </w:r>
      <w:r w:rsidRPr="00325E1D">
        <w:rPr>
          <w:rFonts w:ascii="Times New Roman" w:hAnsi="Times New Roman"/>
          <w:sz w:val="22"/>
        </w:rPr>
        <w:t>: The Gospels testify that God has fulfilled His ancient covenant oath, particularly highlighted in Genesis 15, by establishing a new covenant through Jesus Christ.</w:t>
      </w:r>
    </w:p>
    <w:p w:rsidR="00523612" w:rsidRPr="00325E1D" w:rsidRDefault="00523612" w:rsidP="00523612">
      <w:pPr>
        <w:jc w:val="both"/>
        <w:rPr>
          <w:sz w:val="24"/>
        </w:rPr>
      </w:pPr>
      <w:r w:rsidRPr="00325E1D">
        <w:rPr>
          <w:rFonts w:ascii="Times New Roman" w:hAnsi="Times New Roman"/>
          <w:sz w:val="22"/>
        </w:rPr>
        <w:t>The Holy Spirit serves as both divine witness and inspirer, paralleling the divine authorship of the gospels with theophanic manifestations. The Spirit</w:t>
      </w:r>
      <w:r w:rsidR="00366B5F" w:rsidRPr="00325E1D">
        <w:rPr>
          <w:rFonts w:ascii="Times New Roman" w:hAnsi="Times New Roman"/>
          <w:sz w:val="22"/>
        </w:rPr>
        <w:t>’</w:t>
      </w:r>
      <w:r w:rsidRPr="00325E1D">
        <w:rPr>
          <w:rFonts w:ascii="Times New Roman" w:hAnsi="Times New Roman"/>
          <w:sz w:val="22"/>
        </w:rPr>
        <w:t>s role is also evidenced in the Decalogue, illustrating the continuous divine presence and guidance.</w:t>
      </w:r>
      <w:r w:rsidR="00387AD6" w:rsidRPr="00325E1D">
        <w:rPr>
          <w:rFonts w:ascii="Times New Roman" w:hAnsi="Times New Roman"/>
          <w:sz w:val="22"/>
        </w:rPr>
        <w:t xml:space="preserve"> </w:t>
      </w:r>
      <w:r w:rsidRPr="00325E1D">
        <w:rPr>
          <w:rFonts w:ascii="Times New Roman" w:hAnsi="Times New Roman"/>
          <w:sz w:val="22"/>
        </w:rPr>
        <w:t>Authored by the Spirit, the gospels constitute a divine witness to the historical inauguration of the new covenant, stipulating organizational norms, ethical guidelines, and eschatological truths for the church.</w:t>
      </w:r>
    </w:p>
    <w:sectPr w:rsidR="00523612" w:rsidRPr="00325E1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KliM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Structure of Biblical Authority</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F0EB0"/>
    <w:multiLevelType w:val="hybridMultilevel"/>
    <w:tmpl w:val="30F82362"/>
    <w:lvl w:ilvl="0" w:tplc="FD6847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E80CD6"/>
    <w:multiLevelType w:val="hybridMultilevel"/>
    <w:tmpl w:val="DBC84034"/>
    <w:lvl w:ilvl="0" w:tplc="FD68479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45158"/>
    <w:multiLevelType w:val="hybridMultilevel"/>
    <w:tmpl w:val="E7A8BB02"/>
    <w:lvl w:ilvl="0" w:tplc="FD6847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A552D"/>
    <w:multiLevelType w:val="hybridMultilevel"/>
    <w:tmpl w:val="CB1EFD2A"/>
    <w:lvl w:ilvl="0" w:tplc="FD6847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C62161"/>
    <w:multiLevelType w:val="hybridMultilevel"/>
    <w:tmpl w:val="723A8BA0"/>
    <w:lvl w:ilvl="0" w:tplc="FD6847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16453">
    <w:abstractNumId w:val="1"/>
  </w:num>
  <w:num w:numId="2" w16cid:durableId="702829828">
    <w:abstractNumId w:val="2"/>
  </w:num>
  <w:num w:numId="3" w16cid:durableId="1804620525">
    <w:abstractNumId w:val="0"/>
  </w:num>
  <w:num w:numId="4" w16cid:durableId="636183099">
    <w:abstractNumId w:val="3"/>
  </w:num>
  <w:num w:numId="5" w16cid:durableId="1913541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AB"/>
    <w:rsid w:val="00184AC6"/>
    <w:rsid w:val="00193557"/>
    <w:rsid w:val="00325E1D"/>
    <w:rsid w:val="00366B5F"/>
    <w:rsid w:val="00387AD6"/>
    <w:rsid w:val="00523612"/>
    <w:rsid w:val="00775149"/>
    <w:rsid w:val="008F55AB"/>
    <w:rsid w:val="009A5223"/>
    <w:rsid w:val="00A57F40"/>
    <w:rsid w:val="00AA008D"/>
    <w:rsid w:val="00FC2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45A3410-CDB3-8C43-9A12-BE9F9CE1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3636</Words>
  <Characters>20728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5</cp:revision>
  <dcterms:created xsi:type="dcterms:W3CDTF">2024-05-25T17:24:00Z</dcterms:created>
  <dcterms:modified xsi:type="dcterms:W3CDTF">2024-10-07T21:02:00Z</dcterms:modified>
</cp:coreProperties>
</file>