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A008D" w:rsidRDefault="00D72493" w:rsidP="00493DE9">
      <w:pPr>
        <w:jc w:val="both"/>
        <w:rPr>
          <w:b/>
          <w:bCs/>
        </w:rPr>
      </w:pPr>
      <w:r w:rsidRPr="00493DE9">
        <w:rPr>
          <w:rFonts w:ascii="Times New Roman" w:hAnsi="Times New Roman"/>
          <w:b/>
          <w:bCs/>
          <w:sz w:val="22"/>
        </w:rPr>
        <w:t>The Self-Disclosure of Jesus – Geerhardus Vos</w:t>
      </w:r>
    </w:p>
    <w:p w:rsidR="00493DE9" w:rsidRPr="00493DE9" w:rsidRDefault="00493DE9" w:rsidP="00493DE9">
      <w:pPr>
        <w:jc w:val="both"/>
        <w:rPr>
          <w:b/>
          <w:bCs/>
        </w:rPr>
      </w:pPr>
      <w:r w:rsidRPr="00493DE9">
        <w:rPr>
          <w:rFonts w:ascii="Times New Roman" w:hAnsi="Times New Roman"/>
          <w:b/>
          <w:bCs/>
          <w:sz w:val="22"/>
        </w:rPr>
        <w:t>Chapter I: The Strategic Importance of the Messianic Consciousness</w:t>
      </w:r>
      <w:r>
        <w:rPr>
          <w:rFonts w:ascii="Times New Roman" w:hAnsi="Times New Roman"/>
          <w:b/>
          <w:bCs/>
          <w:sz w:val="22"/>
        </w:rPr>
        <w:t>.</w:t>
      </w:r>
    </w:p>
    <w:p w:rsidR="00493DE9" w:rsidRDefault="00493DE9" w:rsidP="00493DE9">
      <w:pPr>
        <w:jc w:val="both"/>
      </w:pPr>
      <w:r w:rsidRPr="00493DE9">
        <w:rPr>
          <w:rFonts w:ascii="Times New Roman" w:hAnsi="Times New Roman"/>
          <w:b/>
          <w:bCs/>
          <w:sz w:val="22"/>
        </w:rPr>
        <w:t>Belief and Claims of Messiahship</w:t>
      </w:r>
      <w:r>
        <w:rPr>
          <w:rFonts w:ascii="Times New Roman" w:hAnsi="Times New Roman"/>
          <w:b/>
          <w:bCs/>
          <w:sz w:val="22"/>
        </w:rPr>
        <w:t>. T</w:t>
      </w:r>
      <w:r>
        <w:rPr>
          <w:rFonts w:ascii="Times New Roman" w:hAnsi="Times New Roman"/>
          <w:sz w:val="22"/>
        </w:rPr>
        <w:t>he question of whether Jesus believed or claimed to be the Messiah holds significant implications for liberal theology and Gospel criticism. Jesus' vocational consciousness as the Messiah should not be reduced to psychological interpretations. Understanding and accepting Jesus as the Savior require recognizing His self-awareness of this role.</w:t>
      </w:r>
      <w:r>
        <w:rPr>
          <w:rFonts w:ascii="Times New Roman" w:hAnsi="Times New Roman"/>
          <w:sz w:val="22"/>
        </w:rPr>
        <w:t xml:space="preserve"> </w:t>
      </w:r>
      <w:r w:rsidRPr="00493DE9">
        <w:rPr>
          <w:rFonts w:ascii="Times New Roman" w:hAnsi="Times New Roman"/>
          <w:b/>
          <w:bCs/>
          <w:sz w:val="22"/>
        </w:rPr>
        <w:t>Messianic Prophecies and Jewish Legalism</w:t>
      </w:r>
      <w:r>
        <w:rPr>
          <w:rFonts w:ascii="Times New Roman" w:hAnsi="Times New Roman"/>
          <w:b/>
          <w:bCs/>
          <w:sz w:val="22"/>
        </w:rPr>
        <w:t xml:space="preserve">. </w:t>
      </w:r>
      <w:r>
        <w:rPr>
          <w:rFonts w:ascii="Times New Roman" w:hAnsi="Times New Roman"/>
          <w:sz w:val="22"/>
        </w:rPr>
        <w:t>Messianic prophecies are intricately linked to Jewish legalism and the eschatological themes present in Jewish apocalypses. These prophecies involve subjection to Christ's law and rule and the restoration of primordial harmony. Jesus' understanding of His Messiahship should not be stripped of its supernatural elements.</w:t>
      </w:r>
      <w:r>
        <w:rPr>
          <w:rFonts w:ascii="Times New Roman" w:hAnsi="Times New Roman"/>
          <w:sz w:val="22"/>
        </w:rPr>
        <w:t xml:space="preserve"> </w:t>
      </w:r>
      <w:r w:rsidRPr="00493DE9">
        <w:rPr>
          <w:rFonts w:ascii="Times New Roman" w:hAnsi="Times New Roman"/>
          <w:b/>
          <w:bCs/>
          <w:sz w:val="22"/>
        </w:rPr>
        <w:t>Soteric Element of Messiahship</w:t>
      </w:r>
      <w:r>
        <w:rPr>
          <w:rFonts w:ascii="Times New Roman" w:hAnsi="Times New Roman"/>
          <w:b/>
          <w:bCs/>
          <w:sz w:val="22"/>
        </w:rPr>
        <w:t xml:space="preserve">. </w:t>
      </w:r>
      <w:r>
        <w:rPr>
          <w:rFonts w:ascii="Times New Roman" w:hAnsi="Times New Roman"/>
          <w:sz w:val="22"/>
        </w:rPr>
        <w:t>The Messiahship of Jesus inherently includes a soteric component, inseparable from the concept of salvation. This is supported by scriptural references such as Isaiah 9 and 11, Micah 5, Zechariah 9, Genesis 49, and Numbers 24. Jesus' role involves a profound soteric interpretation beyond merely offering moral guidance.</w:t>
      </w:r>
      <w:r>
        <w:rPr>
          <w:rFonts w:ascii="Times New Roman" w:hAnsi="Times New Roman"/>
          <w:sz w:val="22"/>
        </w:rPr>
        <w:t xml:space="preserve"> </w:t>
      </w:r>
      <w:r w:rsidRPr="00493DE9">
        <w:rPr>
          <w:rFonts w:ascii="Times New Roman" w:hAnsi="Times New Roman"/>
          <w:b/>
          <w:bCs/>
          <w:sz w:val="22"/>
        </w:rPr>
        <w:t>Messianic Consciousness and Religious Position</w:t>
      </w:r>
      <w:r>
        <w:rPr>
          <w:rFonts w:ascii="Times New Roman" w:hAnsi="Times New Roman"/>
          <w:b/>
          <w:bCs/>
          <w:sz w:val="22"/>
        </w:rPr>
        <w:t xml:space="preserve">. </w:t>
      </w:r>
      <w:r>
        <w:rPr>
          <w:rFonts w:ascii="Times New Roman" w:hAnsi="Times New Roman"/>
          <w:sz w:val="22"/>
        </w:rPr>
        <w:t>Jesus' Messianic Consciousness is deeply intertwined with His role as mediator between God and humanity, recognized as both Son of God and Son of Man. This understanding significantly impacts thoughts on His consciousness and state of mind. Some, like Albert Schweitzer and Johannes Weiss, argue that Jesus' messianic self-awareness was projected into the future, aligning it with the historical Jesus. As Schweitzer noted, "But He does not stay; He passes by our time and returns to his own."</w:t>
      </w:r>
      <w:r w:rsidR="00E77E18">
        <w:rPr>
          <w:rFonts w:ascii="Times New Roman" w:hAnsi="Times New Roman"/>
          <w:sz w:val="22"/>
        </w:rPr>
        <w:t xml:space="preserve"> </w:t>
      </w:r>
    </w:p>
    <w:p w:rsidR="00E77E18" w:rsidRDefault="00E77E18" w:rsidP="00493DE9">
      <w:pPr>
        <w:jc w:val="both"/>
      </w:pPr>
    </w:p>
    <w:p w:rsidR="00E77E18" w:rsidRPr="001C6AB8" w:rsidRDefault="00E77E18" w:rsidP="00E77E18">
      <w:pPr>
        <w:jc w:val="both"/>
        <w:rPr>
          <w:b/>
          <w:bCs/>
        </w:rPr>
      </w:pPr>
      <w:r w:rsidRPr="001C6AB8">
        <w:rPr>
          <w:rFonts w:ascii="Times New Roman" w:hAnsi="Times New Roman"/>
          <w:b/>
          <w:bCs/>
          <w:sz w:val="22"/>
        </w:rPr>
        <w:t>Chapter II: The Denial of Messianic Consciousness</w:t>
      </w:r>
      <w:r w:rsidR="001C6AB8">
        <w:rPr>
          <w:rFonts w:ascii="Times New Roman" w:hAnsi="Times New Roman"/>
          <w:b/>
          <w:bCs/>
          <w:sz w:val="22"/>
        </w:rPr>
        <w:t>.</w:t>
      </w:r>
    </w:p>
    <w:p w:rsidR="00E77E18" w:rsidRDefault="001C6AB8" w:rsidP="00E77E18">
      <w:pPr>
        <w:jc w:val="both"/>
      </w:pPr>
      <w:r>
        <w:rPr>
          <w:rFonts w:ascii="Times New Roman" w:hAnsi="Times New Roman"/>
          <w:b/>
          <w:bCs/>
          <w:sz w:val="22"/>
        </w:rPr>
        <w:t xml:space="preserve">Various Positions. </w:t>
      </w:r>
      <w:r w:rsidR="00E77E18">
        <w:rPr>
          <w:rFonts w:ascii="Times New Roman" w:hAnsi="Times New Roman"/>
          <w:sz w:val="22"/>
        </w:rPr>
        <w:t xml:space="preserve">The concept of Messianic Consciousness poses significant challenges for modern liberal Christianity. </w:t>
      </w:r>
      <w:r w:rsidR="00E77E18">
        <w:rPr>
          <w:rFonts w:ascii="Times New Roman" w:hAnsi="Times New Roman"/>
          <w:sz w:val="22"/>
        </w:rPr>
        <w:t>V</w:t>
      </w:r>
      <w:r w:rsidR="00E77E18">
        <w:rPr>
          <w:rFonts w:ascii="Times New Roman" w:hAnsi="Times New Roman"/>
          <w:sz w:val="22"/>
        </w:rPr>
        <w:t>arious positions on this issue exist:</w:t>
      </w:r>
    </w:p>
    <w:p w:rsidR="00E77E18" w:rsidRDefault="00E77E18" w:rsidP="00E77E18">
      <w:pPr>
        <w:pStyle w:val="ListParagraph"/>
        <w:numPr>
          <w:ilvl w:val="0"/>
          <w:numId w:val="1"/>
        </w:numPr>
        <w:jc w:val="both"/>
      </w:pPr>
      <w:r>
        <w:rPr>
          <w:rFonts w:ascii="Times New Roman" w:hAnsi="Times New Roman"/>
          <w:sz w:val="22"/>
        </w:rPr>
        <w:t>The Denial of Messianic Consciousness (Chapters II and III)</w:t>
      </w:r>
    </w:p>
    <w:p w:rsidR="00E77E18" w:rsidRDefault="00E77E18" w:rsidP="00E77E18">
      <w:pPr>
        <w:pStyle w:val="ListParagraph"/>
        <w:numPr>
          <w:ilvl w:val="0"/>
          <w:numId w:val="1"/>
        </w:numPr>
        <w:jc w:val="both"/>
      </w:pPr>
      <w:r>
        <w:rPr>
          <w:rFonts w:ascii="Times New Roman" w:hAnsi="Times New Roman"/>
          <w:sz w:val="22"/>
        </w:rPr>
        <w:t>The Agnostic Position (Chapter IV)</w:t>
      </w:r>
    </w:p>
    <w:p w:rsidR="00E77E18" w:rsidRDefault="00E77E18" w:rsidP="00E77E18">
      <w:pPr>
        <w:pStyle w:val="ListParagraph"/>
        <w:numPr>
          <w:ilvl w:val="0"/>
          <w:numId w:val="1"/>
        </w:numPr>
        <w:jc w:val="both"/>
      </w:pPr>
      <w:r>
        <w:rPr>
          <w:rFonts w:ascii="Times New Roman" w:hAnsi="Times New Roman"/>
          <w:sz w:val="22"/>
        </w:rPr>
        <w:t>The Theory of Prospective Messiahship (Chapter V)</w:t>
      </w:r>
    </w:p>
    <w:p w:rsidR="00E77E18" w:rsidRDefault="00E77E18" w:rsidP="00E77E18">
      <w:pPr>
        <w:pStyle w:val="ListParagraph"/>
        <w:numPr>
          <w:ilvl w:val="0"/>
          <w:numId w:val="1"/>
        </w:numPr>
        <w:jc w:val="both"/>
      </w:pPr>
      <w:r>
        <w:rPr>
          <w:rFonts w:ascii="Times New Roman" w:hAnsi="Times New Roman"/>
          <w:sz w:val="22"/>
        </w:rPr>
        <w:t>The Theory of Development of Jesus into the Messianic Consciousness (Chapter VI)</w:t>
      </w:r>
    </w:p>
    <w:p w:rsidR="00E77E18" w:rsidRDefault="00E77E18" w:rsidP="00E77E18">
      <w:pPr>
        <w:pStyle w:val="ListParagraph"/>
        <w:numPr>
          <w:ilvl w:val="0"/>
          <w:numId w:val="1"/>
        </w:numPr>
        <w:jc w:val="both"/>
      </w:pPr>
      <w:r>
        <w:rPr>
          <w:rFonts w:ascii="Times New Roman" w:hAnsi="Times New Roman"/>
          <w:sz w:val="22"/>
        </w:rPr>
        <w:t>The Theory of Purely Formal Significance of the Messianic Consciousness (Chapter VII)</w:t>
      </w:r>
    </w:p>
    <w:p w:rsidR="00E77E18" w:rsidRDefault="00E77E18" w:rsidP="00E77E18">
      <w:pPr>
        <w:jc w:val="both"/>
      </w:pPr>
      <w:r w:rsidRPr="00E77E18">
        <w:rPr>
          <w:rFonts w:ascii="Times New Roman" w:hAnsi="Times New Roman"/>
          <w:b/>
          <w:bCs/>
          <w:sz w:val="22"/>
        </w:rPr>
        <w:t>Complete Denial and Claims to Disprove Messianic Consciousness in Jesus</w:t>
      </w:r>
      <w:r>
        <w:rPr>
          <w:rFonts w:ascii="Times New Roman" w:hAnsi="Times New Roman"/>
          <w:b/>
          <w:bCs/>
          <w:sz w:val="22"/>
        </w:rPr>
        <w:t xml:space="preserve">. </w:t>
      </w:r>
      <w:r>
        <w:rPr>
          <w:rFonts w:ascii="Times New Roman" w:hAnsi="Times New Roman"/>
          <w:sz w:val="22"/>
        </w:rPr>
        <w:t>Some argue that the Messianic Consciousness in Jesus can be entirely denied and disproven. This stance is rooted in historical</w:t>
      </w:r>
      <w:r>
        <w:rPr>
          <w:rFonts w:ascii="Times New Roman" w:hAnsi="Times New Roman"/>
          <w:sz w:val="22"/>
        </w:rPr>
        <w:t>-</w:t>
      </w:r>
      <w:r>
        <w:rPr>
          <w:rFonts w:ascii="Times New Roman" w:hAnsi="Times New Roman"/>
          <w:sz w:val="22"/>
        </w:rPr>
        <w:t>critical scholarship that attempts to separate the messianic and non-messianic elements in the Gospels, asserting that only the non-messianic elements are authentic</w:t>
      </w:r>
      <w:r>
        <w:rPr>
          <w:rFonts w:ascii="Times New Roman" w:hAnsi="Times New Roman"/>
          <w:sz w:val="22"/>
        </w:rPr>
        <w:t xml:space="preserve"> (cf. the historical Jesus theory)</w:t>
      </w:r>
      <w:r>
        <w:rPr>
          <w:rFonts w:ascii="Times New Roman" w:hAnsi="Times New Roman"/>
          <w:sz w:val="22"/>
        </w:rPr>
        <w:t>. Geerhardus Vos critiques this dualistic approach to the Gospels. Additionally, they argue that the term "Son of Man" in Aramaic was a common address</w:t>
      </w:r>
      <w:r>
        <w:rPr>
          <w:rFonts w:ascii="Times New Roman" w:hAnsi="Times New Roman"/>
          <w:sz w:val="22"/>
        </w:rPr>
        <w:t>. Yet,</w:t>
      </w:r>
      <w:r>
        <w:rPr>
          <w:rFonts w:ascii="Times New Roman" w:hAnsi="Times New Roman"/>
          <w:sz w:val="22"/>
        </w:rPr>
        <w:t xml:space="preserve"> Vos notes that a transition in meaning is plausible, as seen in the LXX and intertestamental scriptures. Another reason for this denial is that the Jewish conception of the Messiah was as a patriotic figure, a role Jesus did not fulfill. The deepest reason for this denial is the perceived incompatibility of Messianic Consciousness with the ethico-religious character of Jesus, particularly focusing on psychological arguments about self-</w:t>
      </w:r>
      <w:r>
        <w:rPr>
          <w:rFonts w:ascii="Times New Roman" w:hAnsi="Times New Roman"/>
          <w:sz w:val="22"/>
        </w:rPr>
        <w:t>denying</w:t>
      </w:r>
      <w:r>
        <w:rPr>
          <w:rFonts w:ascii="Times New Roman" w:hAnsi="Times New Roman"/>
          <w:sz w:val="22"/>
        </w:rPr>
        <w:t xml:space="preserve"> altruism and humility. Ethical idealism (present focus) is seen as incompatible with eschatological preoccupation (future focus).</w:t>
      </w:r>
    </w:p>
    <w:p w:rsidR="00493DE9" w:rsidRDefault="00493DE9" w:rsidP="00493DE9">
      <w:pPr>
        <w:jc w:val="both"/>
      </w:pPr>
    </w:p>
    <w:p w:rsidR="00E77E18" w:rsidRDefault="00E77E18" w:rsidP="00E77E18">
      <w:pPr>
        <w:jc w:val="both"/>
      </w:pPr>
      <w:r w:rsidRPr="00E77E18">
        <w:rPr>
          <w:rFonts w:ascii="Times New Roman" w:hAnsi="Times New Roman"/>
          <w:b/>
          <w:bCs/>
          <w:sz w:val="22"/>
        </w:rPr>
        <w:t>Chapter III: The Denial of the Messianic Consciousness (Continued)</w:t>
      </w:r>
      <w:r>
        <w:rPr>
          <w:rFonts w:ascii="Times New Roman" w:hAnsi="Times New Roman"/>
          <w:b/>
          <w:bCs/>
          <w:sz w:val="22"/>
        </w:rPr>
        <w:t>.</w:t>
      </w:r>
    </w:p>
    <w:p w:rsidR="00E77E18" w:rsidRDefault="00E77E18" w:rsidP="00E77E18">
      <w:pPr>
        <w:jc w:val="both"/>
      </w:pPr>
      <w:r w:rsidRPr="00E77E18">
        <w:rPr>
          <w:rFonts w:ascii="Times New Roman" w:hAnsi="Times New Roman"/>
          <w:b/>
          <w:bCs/>
          <w:sz w:val="22"/>
        </w:rPr>
        <w:t>Transformation of Messianic Consciousness</w:t>
      </w:r>
      <w:r>
        <w:rPr>
          <w:rFonts w:ascii="Times New Roman" w:hAnsi="Times New Roman"/>
          <w:b/>
          <w:bCs/>
          <w:sz w:val="22"/>
        </w:rPr>
        <w:t xml:space="preserve">. </w:t>
      </w:r>
      <w:r>
        <w:rPr>
          <w:rFonts w:ascii="Times New Roman" w:hAnsi="Times New Roman"/>
          <w:sz w:val="22"/>
        </w:rPr>
        <w:t xml:space="preserve">Position </w:t>
      </w:r>
      <w:r>
        <w:rPr>
          <w:rFonts w:ascii="Times New Roman" w:hAnsi="Times New Roman"/>
          <w:sz w:val="22"/>
        </w:rPr>
        <w:t>4</w:t>
      </w:r>
      <w:r>
        <w:rPr>
          <w:rFonts w:ascii="Times New Roman" w:hAnsi="Times New Roman"/>
          <w:sz w:val="22"/>
        </w:rPr>
        <w:t xml:space="preserve"> suggests that the concept of Messianic Consciousness underwent a radical transformation in the Gospels, shifting from associations with Israel, power, and victory to themes of suffering, the cross, and a break from Israel. The idea is that suffering and the cross are incompatible with traditional Messianic Consciousness. However, Geerhardus Vos argues that without this consciousness, the disciples would not have believed in the resurrection. If Jesus anticipated and accepted the paradox of the Messiah on the cross, it confirms His Messianic Consciousness.</w:t>
      </w:r>
      <w:r w:rsidR="00F54460">
        <w:rPr>
          <w:rFonts w:ascii="Times New Roman" w:hAnsi="Times New Roman"/>
          <w:sz w:val="22"/>
        </w:rPr>
        <w:t xml:space="preserve"> </w:t>
      </w:r>
      <w:r w:rsidRPr="00F54460">
        <w:rPr>
          <w:rFonts w:ascii="Times New Roman" w:hAnsi="Times New Roman"/>
          <w:b/>
          <w:bCs/>
          <w:sz w:val="22"/>
        </w:rPr>
        <w:t>God-Centered Messianic Consciousnes</w:t>
      </w:r>
      <w:r w:rsidR="00F54460">
        <w:rPr>
          <w:rFonts w:ascii="Times New Roman" w:hAnsi="Times New Roman"/>
          <w:b/>
          <w:bCs/>
          <w:sz w:val="22"/>
        </w:rPr>
        <w:t xml:space="preserve">s. </w:t>
      </w:r>
      <w:r>
        <w:rPr>
          <w:rFonts w:ascii="Times New Roman" w:hAnsi="Times New Roman"/>
          <w:sz w:val="22"/>
        </w:rPr>
        <w:t xml:space="preserve">According to Vos, the dominating characteristic of Jesus' Messianic Consciousness is its absolute God-centeredness, contrasting with the man-centered hedonism associated with Jewish Messianic expectations. Jesus' conflict with Israel stemmed from issues of sin, not His Messianic Consciousness, underscoring that Christ created Israel, not the reverse. Vos challenges the alleged incongruity between the historicity of Jesus' Messianic Consciousness and His ethical idealism, </w:t>
      </w:r>
      <w:r>
        <w:rPr>
          <w:rFonts w:ascii="Times New Roman" w:hAnsi="Times New Roman"/>
          <w:sz w:val="22"/>
        </w:rPr>
        <w:lastRenderedPageBreak/>
        <w:t>arguing that ethical idealism is a partisan view held by Liberal Theologians. Jesus' ethical teachings derive their unique character from His Messianic Consciousness. The charge of unethicalness, particularly concerning the principle of justice and retributive punishment, merely indicates the rejection of Jesus as "primus inter pares</w:t>
      </w:r>
      <w:r w:rsidR="00F54460">
        <w:rPr>
          <w:rFonts w:ascii="Times New Roman" w:hAnsi="Times New Roman"/>
          <w:sz w:val="22"/>
        </w:rPr>
        <w:t>.</w:t>
      </w:r>
      <w:r>
        <w:rPr>
          <w:rFonts w:ascii="Times New Roman" w:hAnsi="Times New Roman"/>
          <w:sz w:val="22"/>
        </w:rPr>
        <w:t>"</w:t>
      </w:r>
    </w:p>
    <w:p w:rsidR="00F54460" w:rsidRDefault="00F54460" w:rsidP="00E77E18">
      <w:pPr>
        <w:jc w:val="both"/>
      </w:pPr>
    </w:p>
    <w:p w:rsidR="00F54460" w:rsidRDefault="00F54460" w:rsidP="00E77E18">
      <w:pPr>
        <w:jc w:val="both"/>
      </w:pPr>
    </w:p>
    <w:p w:rsidR="00F54460" w:rsidRPr="00F54460" w:rsidRDefault="00F54460" w:rsidP="00F54460">
      <w:pPr>
        <w:jc w:val="both"/>
        <w:rPr>
          <w:b/>
          <w:bCs/>
        </w:rPr>
      </w:pPr>
      <w:r w:rsidRPr="00F54460">
        <w:rPr>
          <w:rFonts w:ascii="Times New Roman" w:hAnsi="Times New Roman"/>
          <w:b/>
          <w:bCs/>
          <w:sz w:val="22"/>
        </w:rPr>
        <w:t>Chapter IV: The Agnostic Position: Wrede</w:t>
      </w:r>
      <w:r>
        <w:rPr>
          <w:rFonts w:ascii="Times New Roman" w:hAnsi="Times New Roman"/>
          <w:b/>
          <w:bCs/>
          <w:sz w:val="22"/>
        </w:rPr>
        <w:t>.</w:t>
      </w:r>
    </w:p>
    <w:p w:rsidR="00F54460" w:rsidRDefault="00F54460" w:rsidP="00F54460">
      <w:pPr>
        <w:jc w:val="both"/>
      </w:pPr>
      <w:r w:rsidRPr="00F54460">
        <w:rPr>
          <w:rFonts w:ascii="Times New Roman" w:hAnsi="Times New Roman"/>
          <w:b/>
          <w:bCs/>
          <w:sz w:val="22"/>
        </w:rPr>
        <w:t>Wrede</w:t>
      </w:r>
      <w:r>
        <w:rPr>
          <w:rFonts w:ascii="Times New Roman" w:hAnsi="Times New Roman"/>
          <w:b/>
          <w:bCs/>
          <w:sz w:val="22"/>
        </w:rPr>
        <w:t>’s “</w:t>
      </w:r>
      <w:r w:rsidRPr="00F54460">
        <w:rPr>
          <w:rFonts w:ascii="Times New Roman" w:hAnsi="Times New Roman"/>
          <w:b/>
          <w:bCs/>
          <w:i/>
          <w:iCs/>
          <w:sz w:val="22"/>
        </w:rPr>
        <w:t>Das Messiasgeheimnis in den Evangelien</w:t>
      </w:r>
      <w:r>
        <w:rPr>
          <w:rFonts w:ascii="Times New Roman" w:hAnsi="Times New Roman"/>
          <w:b/>
          <w:bCs/>
          <w:sz w:val="22"/>
        </w:rPr>
        <w:t xml:space="preserve">.” </w:t>
      </w:r>
      <w:r>
        <w:rPr>
          <w:rFonts w:ascii="Times New Roman" w:hAnsi="Times New Roman"/>
          <w:sz w:val="22"/>
        </w:rPr>
        <w:t>Wrede's critique of the Gospel of Mark centers on the concept of "The Messianic Secret." He challenges the notion that Mark is superior to Luke and Matthew in modern Gospel criticism and explores the implications for the Messianic view. Wrede argues that Jesus' Messianic character appears self-contradictory, confused, and unintelligible. He highlights the paradox of performing miracles while instructing others to remain silent about them. According to Wrede, Mark, like Luke and Matthew, is ambiguous about Jesus' Messiahship, featuring secrecy phenomena throughout.</w:t>
      </w:r>
      <w:r>
        <w:rPr>
          <w:rFonts w:ascii="Times New Roman" w:hAnsi="Times New Roman"/>
          <w:sz w:val="22"/>
        </w:rPr>
        <w:t xml:space="preserve"> </w:t>
      </w:r>
      <w:r w:rsidRPr="00F54460">
        <w:rPr>
          <w:rFonts w:ascii="Times New Roman" w:hAnsi="Times New Roman"/>
          <w:b/>
          <w:bCs/>
          <w:sz w:val="22"/>
        </w:rPr>
        <w:t>Secrecy and Messianic Identity</w:t>
      </w:r>
      <w:r>
        <w:rPr>
          <w:rFonts w:ascii="Times New Roman" w:hAnsi="Times New Roman"/>
          <w:b/>
          <w:bCs/>
          <w:sz w:val="22"/>
        </w:rPr>
        <w:t xml:space="preserve">. </w:t>
      </w:r>
      <w:r>
        <w:rPr>
          <w:rFonts w:ascii="Times New Roman" w:hAnsi="Times New Roman"/>
          <w:sz w:val="22"/>
        </w:rPr>
        <w:t>Wrede posits that the oldest view in the Church suggests Jesus was not the Messiah during His life but became one through the resurrection. He notes a rival belief that claims Messianic Consciousness existed before the resurrection, suggesting Mark is hesitant to dismiss either opinion. Geerhardus Vos argues that this explanation oversimplifies the secrecy phenomenon by attributing it to a singular cause. He proposes different reasons for the secrecy in the first half of Mark. While humility and the desire not to stimulate merely miracle-based belief motivated secrecy, performing miracles was part of Jesus' Messianic mission. Vos notes a tension between Jesus' desire to heal and His wish to remain discreet. The aspect of secrecy also carries a predestinarian element, meaning not everyone is intended to witness or believe in the Messianic kingdom. The progression of the Kingdom and Messiah reveals that, like the future outward manifestation of the Kingdom's visible glory, the Messiah will also eventually be openly revealed to the world.</w:t>
      </w:r>
      <w:r>
        <w:rPr>
          <w:rFonts w:ascii="Times New Roman" w:hAnsi="Times New Roman"/>
          <w:sz w:val="22"/>
        </w:rPr>
        <w:t xml:space="preserve"> </w:t>
      </w:r>
      <w:r w:rsidRPr="00F54460">
        <w:rPr>
          <w:rFonts w:ascii="Times New Roman" w:hAnsi="Times New Roman"/>
          <w:b/>
          <w:bCs/>
          <w:sz w:val="22"/>
        </w:rPr>
        <w:t>Alternative Views on Messianic Secrecy</w:t>
      </w:r>
      <w:r>
        <w:rPr>
          <w:rFonts w:ascii="Times New Roman" w:hAnsi="Times New Roman"/>
          <w:b/>
          <w:bCs/>
          <w:sz w:val="22"/>
        </w:rPr>
        <w:t xml:space="preserve">. </w:t>
      </w:r>
      <w:r>
        <w:rPr>
          <w:rFonts w:ascii="Times New Roman" w:hAnsi="Times New Roman"/>
          <w:sz w:val="22"/>
        </w:rPr>
        <w:t>Another perspective on the secrecy suggests it stems from the disciples' reception of Jesus' revelations about His Messiahship, not from Jesus' intentions. Wrede argues that Jesus' self-revelation is a</w:t>
      </w:r>
      <w:r>
        <w:rPr>
          <w:rFonts w:ascii="Times New Roman" w:hAnsi="Times New Roman"/>
          <w:sz w:val="22"/>
        </w:rPr>
        <w:t xml:space="preserve"> fiction of the</w:t>
      </w:r>
      <w:r>
        <w:rPr>
          <w:rFonts w:ascii="Times New Roman" w:hAnsi="Times New Roman"/>
          <w:sz w:val="22"/>
        </w:rPr>
        <w:t xml:space="preserve"> </w:t>
      </w:r>
      <w:r>
        <w:rPr>
          <w:rFonts w:ascii="Times New Roman" w:hAnsi="Times New Roman"/>
          <w:sz w:val="22"/>
        </w:rPr>
        <w:t>e</w:t>
      </w:r>
      <w:r>
        <w:rPr>
          <w:rFonts w:ascii="Times New Roman" w:hAnsi="Times New Roman"/>
          <w:sz w:val="22"/>
        </w:rPr>
        <w:t>vangelist and</w:t>
      </w:r>
      <w:r>
        <w:rPr>
          <w:rFonts w:ascii="Times New Roman" w:hAnsi="Times New Roman"/>
          <w:sz w:val="22"/>
        </w:rPr>
        <w:t>,</w:t>
      </w:r>
      <w:r>
        <w:rPr>
          <w:rFonts w:ascii="Times New Roman" w:hAnsi="Times New Roman"/>
          <w:sz w:val="22"/>
        </w:rPr>
        <w:t xml:space="preserve"> therefore</w:t>
      </w:r>
      <w:r>
        <w:rPr>
          <w:rFonts w:ascii="Times New Roman" w:hAnsi="Times New Roman"/>
          <w:sz w:val="22"/>
        </w:rPr>
        <w:t>,</w:t>
      </w:r>
      <w:r>
        <w:rPr>
          <w:rFonts w:ascii="Times New Roman" w:hAnsi="Times New Roman"/>
          <w:sz w:val="22"/>
        </w:rPr>
        <w:t xml:space="preserve"> unhistorical. Vos contends that the remarkable lack of understanding attributed to the disciples is challenging but distinct from Messianic Consciousness. He presents three counterpoints:</w:t>
      </w:r>
      <w:r>
        <w:rPr>
          <w:rFonts w:ascii="Times New Roman" w:hAnsi="Times New Roman"/>
          <w:sz w:val="22"/>
        </w:rPr>
        <w:t>1)</w:t>
      </w:r>
      <w:r>
        <w:rPr>
          <w:rFonts w:ascii="Times New Roman" w:hAnsi="Times New Roman"/>
          <w:sz w:val="22"/>
        </w:rPr>
        <w:t xml:space="preserve"> the disciples did sometimes comprehend Jesus' Messiahship, as illustrated by Peter's confession; </w:t>
      </w:r>
      <w:r>
        <w:rPr>
          <w:rFonts w:ascii="Times New Roman" w:hAnsi="Times New Roman"/>
          <w:sz w:val="22"/>
        </w:rPr>
        <w:t>2)</w:t>
      </w:r>
      <w:r>
        <w:rPr>
          <w:rFonts w:ascii="Times New Roman" w:hAnsi="Times New Roman"/>
          <w:sz w:val="22"/>
        </w:rPr>
        <w:t xml:space="preserve"> Mark does not imply that secrecy was lifted after the resurrection; and </w:t>
      </w:r>
      <w:r>
        <w:rPr>
          <w:rFonts w:ascii="Times New Roman" w:hAnsi="Times New Roman"/>
          <w:sz w:val="22"/>
        </w:rPr>
        <w:t>3)</w:t>
      </w:r>
      <w:r>
        <w:rPr>
          <w:rFonts w:ascii="Times New Roman" w:hAnsi="Times New Roman"/>
          <w:sz w:val="22"/>
        </w:rPr>
        <w:t xml:space="preserve"> persistent misunderstanding by the disciples would be difficult to retrospectively fabricate and accept as a fictional device serving a dogmatic agenda.</w:t>
      </w:r>
    </w:p>
    <w:p w:rsidR="00F54460" w:rsidRDefault="00F54460" w:rsidP="00F54460">
      <w:pPr>
        <w:jc w:val="both"/>
      </w:pPr>
    </w:p>
    <w:p w:rsidR="00F54460" w:rsidRPr="00F54460" w:rsidRDefault="00F54460" w:rsidP="00F54460">
      <w:pPr>
        <w:jc w:val="both"/>
        <w:rPr>
          <w:b/>
          <w:bCs/>
        </w:rPr>
      </w:pPr>
      <w:r w:rsidRPr="00F54460">
        <w:rPr>
          <w:rFonts w:ascii="Times New Roman" w:hAnsi="Times New Roman"/>
          <w:b/>
          <w:bCs/>
          <w:sz w:val="22"/>
        </w:rPr>
        <w:t>Chapter V: The Theory of Prospective Messiahship</w:t>
      </w:r>
      <w:r>
        <w:rPr>
          <w:rFonts w:ascii="Times New Roman" w:hAnsi="Times New Roman"/>
          <w:b/>
          <w:bCs/>
          <w:sz w:val="22"/>
        </w:rPr>
        <w:t>.</w:t>
      </w:r>
    </w:p>
    <w:p w:rsidR="00F54460" w:rsidRDefault="00F54460" w:rsidP="00F54460">
      <w:pPr>
        <w:jc w:val="both"/>
      </w:pPr>
      <w:r w:rsidRPr="00F54460">
        <w:rPr>
          <w:rFonts w:ascii="Times New Roman" w:hAnsi="Times New Roman"/>
          <w:b/>
          <w:bCs/>
          <w:sz w:val="22"/>
        </w:rPr>
        <w:t>Messiahship</w:t>
      </w:r>
      <w:r>
        <w:rPr>
          <w:rFonts w:ascii="Times New Roman" w:hAnsi="Times New Roman"/>
          <w:b/>
          <w:bCs/>
          <w:sz w:val="22"/>
        </w:rPr>
        <w:t xml:space="preserve"> </w:t>
      </w:r>
      <w:r w:rsidRPr="00F54460">
        <w:rPr>
          <w:rFonts w:ascii="Times New Roman" w:hAnsi="Times New Roman"/>
          <w:b/>
          <w:bCs/>
          <w:sz w:val="22"/>
        </w:rPr>
        <w:t>Not on Earth</w:t>
      </w:r>
      <w:r>
        <w:rPr>
          <w:rFonts w:ascii="Times New Roman" w:hAnsi="Times New Roman"/>
          <w:b/>
          <w:bCs/>
          <w:sz w:val="22"/>
        </w:rPr>
        <w:t xml:space="preserve">. </w:t>
      </w:r>
      <w:r>
        <w:rPr>
          <w:rFonts w:ascii="Times New Roman" w:hAnsi="Times New Roman"/>
          <w:sz w:val="22"/>
        </w:rPr>
        <w:t>This theory is supported by extreme and thoroughgoing eschatologists who argue that Jesus' Messiahship is not associated with His earthly life. According to this view, Jesus placed no significance on the present world; instead, the apocalyptic climax of the age is considered the true apocalypse of the Messiah. This perspective denies the "already and not yet" nature of the Kingdom and proposes a mutual parallelism between the Kingdom and Messiahship.</w:t>
      </w:r>
      <w:r>
        <w:rPr>
          <w:rFonts w:ascii="Times New Roman" w:hAnsi="Times New Roman"/>
          <w:sz w:val="22"/>
        </w:rPr>
        <w:t xml:space="preserve"> </w:t>
      </w:r>
      <w:r w:rsidRPr="00F54460">
        <w:rPr>
          <w:rFonts w:ascii="Times New Roman" w:hAnsi="Times New Roman"/>
          <w:b/>
          <w:bCs/>
          <w:sz w:val="22"/>
        </w:rPr>
        <w:t>V</w:t>
      </w:r>
      <w:r w:rsidRPr="00F54460">
        <w:rPr>
          <w:rFonts w:ascii="Times New Roman" w:hAnsi="Times New Roman"/>
          <w:b/>
          <w:bCs/>
          <w:sz w:val="22"/>
        </w:rPr>
        <w:t>os on the Present and Future Nature of Messiahship</w:t>
      </w:r>
      <w:r>
        <w:rPr>
          <w:rFonts w:ascii="Times New Roman" w:hAnsi="Times New Roman"/>
          <w:b/>
          <w:bCs/>
          <w:sz w:val="22"/>
        </w:rPr>
        <w:t xml:space="preserve">. </w:t>
      </w:r>
      <w:r>
        <w:rPr>
          <w:rFonts w:ascii="Times New Roman" w:hAnsi="Times New Roman"/>
          <w:sz w:val="22"/>
        </w:rPr>
        <w:t>Vos challenges this perspective by affirming the "already and not yet" nature found in Scripture. While the eschatological aspect is present, so too is the presence of the Kingdom in Jesus' teachings. Jesus discusses both His role as the Son of Man and the reality of the Kingdom, affirming a dual focus on the present and future manifestations of the Messianic Kingdom.</w:t>
      </w:r>
      <w:r>
        <w:rPr>
          <w:rFonts w:ascii="Times New Roman" w:hAnsi="Times New Roman"/>
          <w:sz w:val="22"/>
        </w:rPr>
        <w:t xml:space="preserve"> </w:t>
      </w:r>
      <w:r w:rsidRPr="00F54460">
        <w:rPr>
          <w:rFonts w:ascii="Times New Roman" w:hAnsi="Times New Roman"/>
          <w:b/>
          <w:bCs/>
          <w:sz w:val="22"/>
        </w:rPr>
        <w:t>Conflict with Gospel Accounts</w:t>
      </w:r>
      <w:r>
        <w:rPr>
          <w:rFonts w:ascii="Times New Roman" w:hAnsi="Times New Roman"/>
          <w:b/>
          <w:bCs/>
          <w:sz w:val="22"/>
        </w:rPr>
        <w:t xml:space="preserve">. </w:t>
      </w:r>
      <w:r w:rsidRPr="00F54460">
        <w:rPr>
          <w:rFonts w:ascii="Times New Roman" w:hAnsi="Times New Roman"/>
          <w:sz w:val="22"/>
        </w:rPr>
        <w:t>T</w:t>
      </w:r>
      <w:r>
        <w:rPr>
          <w:rFonts w:ascii="Times New Roman" w:hAnsi="Times New Roman"/>
          <w:sz w:val="22"/>
        </w:rPr>
        <w:t>he assumption that Jesus regarded His earthly activity as non-Messianic and merely preparatory for a future Messianic role contradicts clear statements in the Gospels. For instance, during His baptism, Jesus receives a Messianic appointment and commission to public ministry. Furthermore, at the resurrection, Jesus declares, "All power is given unto Me in heaven and on earth," underscoring His Messianic authority both during His earthly life and beyond.</w:t>
      </w:r>
    </w:p>
    <w:p w:rsidR="00F54460" w:rsidRDefault="00F54460" w:rsidP="00F54460">
      <w:pPr>
        <w:jc w:val="both"/>
      </w:pPr>
    </w:p>
    <w:p w:rsidR="00F54460" w:rsidRPr="00F54460" w:rsidRDefault="00F54460" w:rsidP="00F54460">
      <w:pPr>
        <w:jc w:val="both"/>
        <w:rPr>
          <w:b/>
          <w:bCs/>
        </w:rPr>
      </w:pPr>
      <w:r w:rsidRPr="00F54460">
        <w:rPr>
          <w:rFonts w:ascii="Times New Roman" w:hAnsi="Times New Roman"/>
          <w:b/>
          <w:bCs/>
          <w:sz w:val="22"/>
        </w:rPr>
        <w:t>Chapter VI: The Theory of Development of Jesus into the Messianic Consciousness</w:t>
      </w:r>
      <w:r>
        <w:rPr>
          <w:rFonts w:ascii="Times New Roman" w:hAnsi="Times New Roman"/>
          <w:b/>
          <w:bCs/>
          <w:sz w:val="22"/>
        </w:rPr>
        <w:t>.</w:t>
      </w:r>
    </w:p>
    <w:p w:rsidR="00F54460" w:rsidRDefault="00F54460" w:rsidP="00F54460">
      <w:pPr>
        <w:jc w:val="both"/>
      </w:pPr>
      <w:r w:rsidRPr="00F54460">
        <w:rPr>
          <w:rFonts w:ascii="Times New Roman" w:hAnsi="Times New Roman"/>
          <w:b/>
          <w:bCs/>
          <w:sz w:val="22"/>
        </w:rPr>
        <w:t>Development During Active Ministry</w:t>
      </w:r>
      <w:r>
        <w:rPr>
          <w:rFonts w:ascii="Times New Roman" w:hAnsi="Times New Roman"/>
          <w:b/>
          <w:bCs/>
          <w:sz w:val="22"/>
        </w:rPr>
        <w:t xml:space="preserve">. </w:t>
      </w:r>
      <w:r>
        <w:rPr>
          <w:rFonts w:ascii="Times New Roman" w:hAnsi="Times New Roman"/>
          <w:sz w:val="22"/>
        </w:rPr>
        <w:t xml:space="preserve">The theory suggests that Jesus experienced a development into Messianic Consciousness during His active ministry, undergoing two potential states of mind: </w:t>
      </w:r>
      <w:r>
        <w:rPr>
          <w:rFonts w:ascii="Times New Roman" w:hAnsi="Times New Roman"/>
          <w:sz w:val="22"/>
        </w:rPr>
        <w:t>1)</w:t>
      </w:r>
      <w:r>
        <w:rPr>
          <w:rFonts w:ascii="Times New Roman" w:hAnsi="Times New Roman"/>
          <w:sz w:val="22"/>
        </w:rPr>
        <w:t xml:space="preserve"> that at the </w:t>
      </w:r>
      <w:r>
        <w:rPr>
          <w:rFonts w:ascii="Times New Roman" w:hAnsi="Times New Roman"/>
          <w:sz w:val="22"/>
        </w:rPr>
        <w:lastRenderedPageBreak/>
        <w:t xml:space="preserve">start of His ministry, His state might have been entirely void of any engagement with the Messianic question; </w:t>
      </w:r>
      <w:r>
        <w:rPr>
          <w:rFonts w:ascii="Times New Roman" w:hAnsi="Times New Roman"/>
          <w:sz w:val="22"/>
        </w:rPr>
        <w:t>2)</w:t>
      </w:r>
      <w:r>
        <w:rPr>
          <w:rFonts w:ascii="Times New Roman" w:hAnsi="Times New Roman"/>
          <w:sz w:val="22"/>
        </w:rPr>
        <w:t xml:space="preserve"> that initially, He might have been convinced He was not the Messiah.</w:t>
      </w:r>
      <w:r>
        <w:rPr>
          <w:rFonts w:ascii="Times New Roman" w:hAnsi="Times New Roman"/>
          <w:sz w:val="22"/>
        </w:rPr>
        <w:t xml:space="preserve"> </w:t>
      </w:r>
      <w:r w:rsidRPr="00F54460">
        <w:rPr>
          <w:rFonts w:ascii="Times New Roman" w:hAnsi="Times New Roman"/>
          <w:b/>
          <w:bCs/>
          <w:sz w:val="22"/>
        </w:rPr>
        <w:t>Vos's Perspective</w:t>
      </w:r>
      <w:r>
        <w:rPr>
          <w:rFonts w:ascii="Times New Roman" w:hAnsi="Times New Roman"/>
          <w:b/>
          <w:bCs/>
          <w:sz w:val="22"/>
        </w:rPr>
        <w:t xml:space="preserve">. </w:t>
      </w:r>
      <w:r>
        <w:rPr>
          <w:rFonts w:ascii="Times New Roman" w:hAnsi="Times New Roman"/>
          <w:sz w:val="22"/>
        </w:rPr>
        <w:t>Vos argues that the first possibility is impossible due to the eschatological atmosphere of the time, notably embodied by figures like John the Baptist, which would have compelled Jesus to affirm or deny His role. Regarding the second possibility, there is no evidence of Jesus' self-correction from believing He was not the Messiah to realizing He was. Rather, the Gospels depict Jesus as having a clear awareness of His mission, evidenced by His self-comparison to the bridegroom and His solicitation of Peter's confession.</w:t>
      </w:r>
      <w:r w:rsidR="00A13E71">
        <w:rPr>
          <w:rFonts w:ascii="Times New Roman" w:hAnsi="Times New Roman"/>
          <w:sz w:val="22"/>
        </w:rPr>
        <w:t xml:space="preserve"> </w:t>
      </w:r>
      <w:r w:rsidRPr="00A13E71">
        <w:rPr>
          <w:rFonts w:ascii="Times New Roman" w:hAnsi="Times New Roman"/>
          <w:b/>
          <w:bCs/>
          <w:sz w:val="22"/>
        </w:rPr>
        <w:t>Lack of Motivating Factors for Development</w:t>
      </w:r>
      <w:r w:rsidR="00A13E71">
        <w:rPr>
          <w:rFonts w:ascii="Times New Roman" w:hAnsi="Times New Roman"/>
          <w:b/>
          <w:bCs/>
          <w:sz w:val="22"/>
        </w:rPr>
        <w:t xml:space="preserve">. </w:t>
      </w:r>
      <w:r>
        <w:rPr>
          <w:rFonts w:ascii="Times New Roman" w:hAnsi="Times New Roman"/>
          <w:sz w:val="22"/>
        </w:rPr>
        <w:t>Vos contends that no historical or psychological factors satisfactorily explain a development in Jesus' Messianic Consciousness. Although there is a marked distinction between the period before Caesarea Philippi and afterward—where before, Jesus did not hesitate to speak or act as the Messiah, and after, He explicitly instructed the disciples about His Messianic role—this variation was about preparing the disciples for His suffering and death, not an inward development.</w:t>
      </w:r>
      <w:r w:rsidR="00A13E71">
        <w:rPr>
          <w:rFonts w:ascii="Times New Roman" w:hAnsi="Times New Roman"/>
          <w:sz w:val="22"/>
        </w:rPr>
        <w:t xml:space="preserve"> </w:t>
      </w:r>
    </w:p>
    <w:p w:rsidR="00A13E71" w:rsidRDefault="00A13E71" w:rsidP="00F54460">
      <w:pPr>
        <w:jc w:val="both"/>
      </w:pPr>
    </w:p>
    <w:p w:rsidR="00A13E71" w:rsidRPr="00A13E71" w:rsidRDefault="00A13E71" w:rsidP="00A13E71">
      <w:pPr>
        <w:jc w:val="both"/>
        <w:rPr>
          <w:b/>
          <w:bCs/>
        </w:rPr>
      </w:pPr>
      <w:r w:rsidRPr="00A13E71">
        <w:rPr>
          <w:rFonts w:ascii="Times New Roman" w:hAnsi="Times New Roman"/>
          <w:b/>
          <w:bCs/>
          <w:sz w:val="22"/>
        </w:rPr>
        <w:t>Chapter VII: The Theory of Purely Formal Significance of the Messianic Consciousness</w:t>
      </w:r>
      <w:r>
        <w:rPr>
          <w:rFonts w:ascii="Times New Roman" w:hAnsi="Times New Roman"/>
          <w:b/>
          <w:bCs/>
          <w:sz w:val="22"/>
        </w:rPr>
        <w:t>.</w:t>
      </w:r>
    </w:p>
    <w:p w:rsidR="00A13E71" w:rsidRDefault="00A13E71" w:rsidP="00A13E71">
      <w:pPr>
        <w:jc w:val="both"/>
      </w:pPr>
      <w:r>
        <w:rPr>
          <w:rFonts w:ascii="Times New Roman" w:hAnsi="Times New Roman"/>
          <w:sz w:val="22"/>
        </w:rPr>
        <w:t xml:space="preserve">This theory suggests that Messianic Consciousness was an incidental vehicle for Jesus' self-expression, separate from His deepest self-understanding, which He merely adopted for His mission. </w:t>
      </w:r>
      <w:r w:rsidRPr="00A13E71">
        <w:rPr>
          <w:rFonts w:ascii="Times New Roman" w:hAnsi="Times New Roman"/>
          <w:i/>
          <w:iCs/>
          <w:sz w:val="22"/>
        </w:rPr>
        <w:t>First</w:t>
      </w:r>
      <w:r>
        <w:rPr>
          <w:rFonts w:ascii="Times New Roman" w:hAnsi="Times New Roman"/>
          <w:sz w:val="22"/>
        </w:rPr>
        <w:t xml:space="preserve">, it argues that Jesus emphasized the Kingdom rather than His Messianic role, using </w:t>
      </w:r>
      <w:r>
        <w:rPr>
          <w:rFonts w:ascii="Times New Roman" w:hAnsi="Times New Roman"/>
          <w:sz w:val="22"/>
        </w:rPr>
        <w:t xml:space="preserve">an argument from </w:t>
      </w:r>
      <w:r>
        <w:rPr>
          <w:rFonts w:ascii="Times New Roman" w:hAnsi="Times New Roman"/>
          <w:sz w:val="22"/>
        </w:rPr>
        <w:t>silence.</w:t>
      </w:r>
      <w:r w:rsidRPr="00A13E71">
        <w:rPr>
          <w:rFonts w:ascii="Times New Roman" w:hAnsi="Times New Roman"/>
          <w:i/>
          <w:iCs/>
          <w:sz w:val="22"/>
        </w:rPr>
        <w:t xml:space="preserve"> Second</w:t>
      </w:r>
      <w:r>
        <w:rPr>
          <w:rFonts w:ascii="Times New Roman" w:hAnsi="Times New Roman"/>
          <w:sz w:val="22"/>
        </w:rPr>
        <w:t xml:space="preserve">, the theory proposes that Jesus felt His role as Messiah to be burdensome. </w:t>
      </w:r>
      <w:r w:rsidRPr="00A13E71">
        <w:rPr>
          <w:rFonts w:ascii="Times New Roman" w:hAnsi="Times New Roman"/>
          <w:i/>
          <w:iCs/>
          <w:sz w:val="22"/>
        </w:rPr>
        <w:t>Third</w:t>
      </w:r>
      <w:r>
        <w:rPr>
          <w:rFonts w:ascii="Times New Roman" w:hAnsi="Times New Roman"/>
          <w:sz w:val="22"/>
        </w:rPr>
        <w:t>, it suggests that Jesus' Messianic Consciousness arose from a more profound and fundamental consciousness of sonship.</w:t>
      </w:r>
      <w:r>
        <w:rPr>
          <w:rFonts w:ascii="Times New Roman" w:hAnsi="Times New Roman"/>
          <w:sz w:val="22"/>
        </w:rPr>
        <w:t xml:space="preserve"> </w:t>
      </w:r>
      <w:r>
        <w:rPr>
          <w:rFonts w:ascii="Times New Roman" w:hAnsi="Times New Roman"/>
          <w:b/>
          <w:bCs/>
          <w:sz w:val="22"/>
        </w:rPr>
        <w:t xml:space="preserve">Vos’s Response. </w:t>
      </w:r>
      <w:r>
        <w:rPr>
          <w:rFonts w:ascii="Times New Roman" w:hAnsi="Times New Roman"/>
          <w:sz w:val="22"/>
        </w:rPr>
        <w:t xml:space="preserve">Vos addresses the comparative importance of Jesus' roles and identities. </w:t>
      </w:r>
      <w:r w:rsidRPr="00A13E71">
        <w:rPr>
          <w:rFonts w:ascii="Times New Roman" w:hAnsi="Times New Roman"/>
          <w:i/>
          <w:iCs/>
          <w:sz w:val="22"/>
        </w:rPr>
        <w:t>First</w:t>
      </w:r>
      <w:r>
        <w:rPr>
          <w:rFonts w:ascii="Times New Roman" w:hAnsi="Times New Roman"/>
          <w:sz w:val="22"/>
        </w:rPr>
        <w:t xml:space="preserve">, compared with His divine and eternal sonship, Messiahship is seen as secondary and relative. </w:t>
      </w:r>
      <w:r w:rsidRPr="00A13E71">
        <w:rPr>
          <w:rFonts w:ascii="Times New Roman" w:hAnsi="Times New Roman"/>
          <w:i/>
          <w:iCs/>
          <w:sz w:val="22"/>
        </w:rPr>
        <w:t>Second</w:t>
      </w:r>
      <w:r>
        <w:rPr>
          <w:rFonts w:ascii="Times New Roman" w:hAnsi="Times New Roman"/>
          <w:sz w:val="22"/>
        </w:rPr>
        <w:t xml:space="preserve">, within the context of redemption, Messiahship is primary and essential. </w:t>
      </w:r>
      <w:r w:rsidRPr="00A13E71">
        <w:rPr>
          <w:rFonts w:ascii="Times New Roman" w:hAnsi="Times New Roman"/>
          <w:i/>
          <w:iCs/>
          <w:sz w:val="22"/>
        </w:rPr>
        <w:t>Third</w:t>
      </w:r>
      <w:r>
        <w:rPr>
          <w:rFonts w:ascii="Times New Roman" w:hAnsi="Times New Roman"/>
          <w:sz w:val="22"/>
        </w:rPr>
        <w:t xml:space="preserve">, contrary to the view placing Jesus' ethical and religious sonship as more significant, Vos contends that Messiahship occupies a higher rank. Jesus' entire human nature and spiritual experiences were not ends in themselves but served the purpose of His Messianic calling; thus, Messiahship was far more than a mere form </w:t>
      </w:r>
      <w:r>
        <w:rPr>
          <w:rFonts w:ascii="Times New Roman" w:hAnsi="Times New Roman"/>
          <w:sz w:val="22"/>
        </w:rPr>
        <w:t>of</w:t>
      </w:r>
      <w:r>
        <w:rPr>
          <w:rFonts w:ascii="Times New Roman" w:hAnsi="Times New Roman"/>
          <w:sz w:val="22"/>
        </w:rPr>
        <w:t xml:space="preserve"> self-expression. For Christians who value Jesus' human nature alongside His Deity, Messiahship is elevated above ethical and religious sonship in its significance for salvation.</w:t>
      </w:r>
    </w:p>
    <w:p w:rsidR="00A13E71" w:rsidRDefault="00A13E71" w:rsidP="00A13E71">
      <w:pPr>
        <w:jc w:val="both"/>
      </w:pPr>
    </w:p>
    <w:p w:rsidR="00A13E71" w:rsidRPr="00A13E71" w:rsidRDefault="00A13E71" w:rsidP="00A13E71">
      <w:pPr>
        <w:jc w:val="both"/>
        <w:rPr>
          <w:b/>
          <w:bCs/>
        </w:rPr>
      </w:pPr>
      <w:r w:rsidRPr="00A13E71">
        <w:rPr>
          <w:rFonts w:ascii="Times New Roman" w:hAnsi="Times New Roman"/>
          <w:b/>
          <w:bCs/>
          <w:sz w:val="22"/>
        </w:rPr>
        <w:t>Chapter VIII: "The Christ</w:t>
      </w:r>
      <w:r>
        <w:rPr>
          <w:rFonts w:ascii="Times New Roman" w:hAnsi="Times New Roman"/>
          <w:b/>
          <w:bCs/>
          <w:sz w:val="22"/>
        </w:rPr>
        <w:t>.</w:t>
      </w:r>
      <w:r w:rsidRPr="00A13E71">
        <w:rPr>
          <w:rFonts w:ascii="Times New Roman" w:hAnsi="Times New Roman"/>
          <w:b/>
          <w:bCs/>
          <w:sz w:val="22"/>
        </w:rPr>
        <w:t>"</w:t>
      </w:r>
    </w:p>
    <w:p w:rsidR="00A13E71" w:rsidRDefault="00A13E71" w:rsidP="00A13E71">
      <w:pPr>
        <w:jc w:val="both"/>
      </w:pPr>
      <w:r w:rsidRPr="00A13E71">
        <w:rPr>
          <w:rFonts w:ascii="Times New Roman" w:hAnsi="Times New Roman"/>
          <w:b/>
          <w:bCs/>
          <w:sz w:val="22"/>
        </w:rPr>
        <w:t>The use of the word "Messiah"</w:t>
      </w:r>
      <w:r>
        <w:rPr>
          <w:rFonts w:ascii="Times New Roman" w:hAnsi="Times New Roman"/>
          <w:sz w:val="22"/>
        </w:rPr>
        <w:t xml:space="preserve"> in the Old Testament is notable for never occurring as a standalone title; it is always accompanied by a genitive or suffix. It only becomes a standalone title after the Old Testament period. In the Gospels, however, "Messiah" appears consistently as a title, raising the question of whether the Old Testament actually refers to an eschatological King. Geerhardus Vos argues that the concept of the king of Israel and the eschatological king are not mutually exclusive, reflecting both national and individual dimensions.</w:t>
      </w:r>
      <w:r w:rsidR="005064DC">
        <w:rPr>
          <w:rFonts w:ascii="Times New Roman" w:hAnsi="Times New Roman"/>
          <w:sz w:val="22"/>
        </w:rPr>
        <w:t xml:space="preserve"> </w:t>
      </w:r>
      <w:r w:rsidR="005064DC">
        <w:rPr>
          <w:rFonts w:ascii="Times New Roman" w:hAnsi="Times New Roman"/>
          <w:b/>
          <w:bCs/>
          <w:sz w:val="22"/>
        </w:rPr>
        <w:t xml:space="preserve">Anointing and Associated Roles. </w:t>
      </w:r>
      <w:r>
        <w:rPr>
          <w:rFonts w:ascii="Times New Roman" w:hAnsi="Times New Roman"/>
          <w:sz w:val="22"/>
        </w:rPr>
        <w:t>In terms of the original meaning, the act of "anointing" places strong emphasis on the appointment aspect, where anointing serves as a declarative act, symbolizing holiness and the bestowal of the Holy Spirit. In the Old Testament, anointing duties are not limited to kings alone but extend to priests and some prophets, indicating that anointing rituals for priests and prophets are not derivative of royal anointing.</w:t>
      </w:r>
      <w:r w:rsidR="005064DC">
        <w:rPr>
          <w:rFonts w:ascii="Times New Roman" w:hAnsi="Times New Roman"/>
          <w:sz w:val="22"/>
        </w:rPr>
        <w:t xml:space="preserve"> </w:t>
      </w:r>
      <w:r>
        <w:rPr>
          <w:rFonts w:ascii="Times New Roman" w:hAnsi="Times New Roman"/>
          <w:sz w:val="22"/>
        </w:rPr>
        <w:t xml:space="preserve">Ultimately, in Jesus, the roles of king and priest converge. </w:t>
      </w:r>
    </w:p>
    <w:p w:rsidR="005064DC" w:rsidRDefault="005064DC" w:rsidP="00A13E71">
      <w:pPr>
        <w:jc w:val="both"/>
      </w:pPr>
    </w:p>
    <w:p w:rsidR="005064DC" w:rsidRPr="005064DC" w:rsidRDefault="005064DC" w:rsidP="005064DC">
      <w:pPr>
        <w:jc w:val="both"/>
        <w:rPr>
          <w:b/>
          <w:bCs/>
        </w:rPr>
      </w:pPr>
      <w:r w:rsidRPr="005064DC">
        <w:rPr>
          <w:rFonts w:ascii="Times New Roman" w:hAnsi="Times New Roman"/>
          <w:b/>
          <w:bCs/>
          <w:sz w:val="22"/>
        </w:rPr>
        <w:t>Chapter IX: "The Lord</w:t>
      </w:r>
      <w:r>
        <w:rPr>
          <w:rFonts w:ascii="Times New Roman" w:hAnsi="Times New Roman"/>
          <w:b/>
          <w:bCs/>
          <w:sz w:val="22"/>
        </w:rPr>
        <w:t>.</w:t>
      </w:r>
      <w:r w:rsidRPr="005064DC">
        <w:rPr>
          <w:rFonts w:ascii="Times New Roman" w:hAnsi="Times New Roman"/>
          <w:b/>
          <w:bCs/>
          <w:sz w:val="22"/>
        </w:rPr>
        <w:t>"</w:t>
      </w:r>
    </w:p>
    <w:p w:rsidR="005064DC" w:rsidRDefault="005064DC" w:rsidP="005064DC">
      <w:pPr>
        <w:jc w:val="both"/>
      </w:pPr>
      <w:r w:rsidRPr="005064DC">
        <w:rPr>
          <w:rFonts w:ascii="Times New Roman" w:hAnsi="Times New Roman"/>
          <w:b/>
          <w:bCs/>
          <w:sz w:val="22"/>
        </w:rPr>
        <w:t>References to Jesus as Lord</w:t>
      </w:r>
      <w:r>
        <w:rPr>
          <w:rFonts w:ascii="Times New Roman" w:hAnsi="Times New Roman"/>
          <w:b/>
          <w:bCs/>
          <w:sz w:val="22"/>
        </w:rPr>
        <w:t xml:space="preserve">. </w:t>
      </w:r>
      <w:r>
        <w:rPr>
          <w:rFonts w:ascii="Times New Roman" w:hAnsi="Times New Roman"/>
          <w:sz w:val="22"/>
        </w:rPr>
        <w:t xml:space="preserve">The term "Lord" is used selectively when speaking about Jesus. </w:t>
      </w:r>
      <w:r>
        <w:rPr>
          <w:rFonts w:ascii="Times New Roman" w:hAnsi="Times New Roman"/>
          <w:sz w:val="22"/>
        </w:rPr>
        <w:t>The e</w:t>
      </w:r>
      <w:r>
        <w:rPr>
          <w:rFonts w:ascii="Times New Roman" w:hAnsi="Times New Roman"/>
          <w:sz w:val="22"/>
        </w:rPr>
        <w:t>vangelists must have followed the common language of their time, yet there is a notable scarcity of references to Jesus as "the Lord" by the Evangelists themselves. Various Gospel characters refer to Jesus as Lord, including Elizabeth, the shepherds who witnessed His birth, His disciples, and Mary.</w:t>
      </w:r>
      <w:r w:rsidR="00E3105D">
        <w:rPr>
          <w:rFonts w:ascii="Times New Roman" w:hAnsi="Times New Roman"/>
          <w:sz w:val="22"/>
        </w:rPr>
        <w:t xml:space="preserve"> </w:t>
      </w:r>
      <w:r w:rsidRPr="00E3105D">
        <w:rPr>
          <w:rFonts w:ascii="Times New Roman" w:hAnsi="Times New Roman"/>
          <w:b/>
          <w:bCs/>
          <w:sz w:val="22"/>
        </w:rPr>
        <w:t>Title Usage in the Third Person</w:t>
      </w:r>
      <w:r w:rsidR="00E3105D">
        <w:rPr>
          <w:rFonts w:ascii="Times New Roman" w:hAnsi="Times New Roman"/>
          <w:sz w:val="22"/>
        </w:rPr>
        <w:t xml:space="preserve">. </w:t>
      </w:r>
      <w:r>
        <w:rPr>
          <w:rFonts w:ascii="Times New Roman" w:hAnsi="Times New Roman"/>
          <w:sz w:val="22"/>
        </w:rPr>
        <w:t>Sometimes "Lord" is used as a title in the third person, signifying Messianic authority and sovereignty, as in "Christ the Lord." After the resurrection, this title reflects reverence for a new and unique dignity in Jesus. In other instances, "Lord" functions as an adjectival attribute with a qualifying genitive.</w:t>
      </w:r>
      <w:r w:rsidR="00E3105D">
        <w:rPr>
          <w:rFonts w:ascii="Times New Roman" w:hAnsi="Times New Roman"/>
          <w:sz w:val="22"/>
        </w:rPr>
        <w:t xml:space="preserve"> </w:t>
      </w:r>
      <w:r w:rsidRPr="00E3105D">
        <w:rPr>
          <w:rFonts w:ascii="Times New Roman" w:hAnsi="Times New Roman"/>
          <w:b/>
          <w:bCs/>
          <w:sz w:val="22"/>
        </w:rPr>
        <w:t>Kyrios as Vocative: Kyrie</w:t>
      </w:r>
      <w:r w:rsidR="00E3105D">
        <w:rPr>
          <w:rFonts w:ascii="Times New Roman" w:hAnsi="Times New Roman"/>
          <w:b/>
          <w:bCs/>
          <w:sz w:val="22"/>
        </w:rPr>
        <w:t xml:space="preserve">. </w:t>
      </w:r>
      <w:r>
        <w:rPr>
          <w:rFonts w:ascii="Times New Roman" w:hAnsi="Times New Roman"/>
          <w:sz w:val="22"/>
        </w:rPr>
        <w:t xml:space="preserve">The vocative "Kyrie" is used in several ways. </w:t>
      </w:r>
      <w:r w:rsidRPr="00E3105D">
        <w:rPr>
          <w:rFonts w:ascii="Times New Roman" w:hAnsi="Times New Roman"/>
          <w:i/>
          <w:iCs/>
          <w:sz w:val="22"/>
        </w:rPr>
        <w:t>First</w:t>
      </w:r>
      <w:r>
        <w:rPr>
          <w:rFonts w:ascii="Times New Roman" w:hAnsi="Times New Roman"/>
          <w:sz w:val="22"/>
        </w:rPr>
        <w:t xml:space="preserve">, it may be a common form of address, expressing politeness </w:t>
      </w:r>
      <w:r w:rsidR="00E3105D">
        <w:rPr>
          <w:rFonts w:ascii="Times New Roman" w:hAnsi="Times New Roman"/>
          <w:sz w:val="22"/>
        </w:rPr>
        <w:t>when</w:t>
      </w:r>
      <w:r>
        <w:rPr>
          <w:rFonts w:ascii="Times New Roman" w:hAnsi="Times New Roman"/>
          <w:sz w:val="22"/>
        </w:rPr>
        <w:t xml:space="preserve"> addressing Jesus. </w:t>
      </w:r>
      <w:r w:rsidRPr="00E3105D">
        <w:rPr>
          <w:rFonts w:ascii="Times New Roman" w:hAnsi="Times New Roman"/>
          <w:i/>
          <w:iCs/>
          <w:sz w:val="22"/>
        </w:rPr>
        <w:t>Second</w:t>
      </w:r>
      <w:r>
        <w:rPr>
          <w:rFonts w:ascii="Times New Roman" w:hAnsi="Times New Roman"/>
          <w:sz w:val="22"/>
        </w:rPr>
        <w:t xml:space="preserve">, some suggest that the Evangelists anachronistically applied this term to Jesus' lifetime. Geerhardus Vos challenges the latter, </w:t>
      </w:r>
      <w:r>
        <w:rPr>
          <w:rFonts w:ascii="Times New Roman" w:hAnsi="Times New Roman"/>
          <w:sz w:val="22"/>
        </w:rPr>
        <w:lastRenderedPageBreak/>
        <w:t xml:space="preserve">arguing that it contradicts what is known about </w:t>
      </w:r>
      <w:r w:rsidR="00E3105D">
        <w:rPr>
          <w:rFonts w:ascii="Times New Roman" w:hAnsi="Times New Roman"/>
          <w:sz w:val="22"/>
        </w:rPr>
        <w:t>the writing</w:t>
      </w:r>
      <w:r>
        <w:rPr>
          <w:rFonts w:ascii="Times New Roman" w:hAnsi="Times New Roman"/>
          <w:sz w:val="22"/>
        </w:rPr>
        <w:t xml:space="preserve"> habits</w:t>
      </w:r>
      <w:r w:rsidR="00E3105D">
        <w:rPr>
          <w:rFonts w:ascii="Times New Roman" w:hAnsi="Times New Roman"/>
          <w:sz w:val="22"/>
        </w:rPr>
        <w:t xml:space="preserve"> of the evangelists</w:t>
      </w:r>
      <w:r>
        <w:rPr>
          <w:rFonts w:ascii="Times New Roman" w:hAnsi="Times New Roman"/>
          <w:sz w:val="22"/>
        </w:rPr>
        <w:t>. The polite use of "Kyrie" is likely only employed by those who already view Jesus as the Messiah, such as the disciples and those seeking supernatural help. Vos finds a middle ground between equating early and later uses of "Kyrie" and distinguishing between politeness and religious usage: "We conclude, then, that the Kyrie address of the time of Jesus' walk on earth is a real precursor of the standard designation of the Saviour from the Apostolic age onwards until the present time."</w:t>
      </w:r>
      <w:r w:rsidR="00E3105D">
        <w:rPr>
          <w:rFonts w:ascii="Times New Roman" w:hAnsi="Times New Roman"/>
          <w:sz w:val="22"/>
        </w:rPr>
        <w:t xml:space="preserve"> </w:t>
      </w:r>
      <w:r w:rsidRPr="00E3105D">
        <w:rPr>
          <w:rFonts w:ascii="Times New Roman" w:hAnsi="Times New Roman"/>
          <w:b/>
          <w:bCs/>
          <w:sz w:val="22"/>
        </w:rPr>
        <w:t>Bousset's Theory</w:t>
      </w:r>
      <w:r w:rsidR="00E3105D">
        <w:rPr>
          <w:rFonts w:ascii="Times New Roman" w:hAnsi="Times New Roman"/>
          <w:b/>
          <w:bCs/>
          <w:sz w:val="22"/>
        </w:rPr>
        <w:t xml:space="preserve">. </w:t>
      </w:r>
      <w:r w:rsidR="00E3105D" w:rsidRPr="00E3105D">
        <w:rPr>
          <w:rFonts w:ascii="Times New Roman" w:hAnsi="Times New Roman"/>
          <w:sz w:val="22"/>
        </w:rPr>
        <w:t>Wilhelm</w:t>
      </w:r>
      <w:r w:rsidR="00E3105D">
        <w:rPr>
          <w:rFonts w:ascii="Times New Roman" w:hAnsi="Times New Roman"/>
          <w:b/>
          <w:bCs/>
          <w:sz w:val="22"/>
        </w:rPr>
        <w:t xml:space="preserve"> </w:t>
      </w:r>
      <w:r>
        <w:rPr>
          <w:rFonts w:ascii="Times New Roman" w:hAnsi="Times New Roman"/>
          <w:sz w:val="22"/>
        </w:rPr>
        <w:t>Bousset claims that Jesus never bore the title Kyrios during His lifetime or in the early Jerusalem mother church and that He received the title in a pre-Pauline Hellenistic Christian cult. He suggests that Paul integrated this name into his Christology under the influence of his Pneuma concept.</w:t>
      </w:r>
      <w:r w:rsidR="00E3105D">
        <w:rPr>
          <w:rFonts w:ascii="Times New Roman" w:hAnsi="Times New Roman"/>
          <w:sz w:val="22"/>
        </w:rPr>
        <w:t xml:space="preserve"> </w:t>
      </w:r>
      <w:r w:rsidRPr="00E3105D">
        <w:rPr>
          <w:rFonts w:ascii="Times New Roman" w:hAnsi="Times New Roman"/>
          <w:b/>
          <w:bCs/>
          <w:sz w:val="22"/>
        </w:rPr>
        <w:t>Vos's Critique of Bousset</w:t>
      </w:r>
      <w:r w:rsidR="00E3105D">
        <w:rPr>
          <w:rFonts w:ascii="Times New Roman" w:hAnsi="Times New Roman"/>
          <w:b/>
          <w:bCs/>
          <w:sz w:val="22"/>
        </w:rPr>
        <w:t xml:space="preserve">. </w:t>
      </w:r>
      <w:r>
        <w:rPr>
          <w:rFonts w:ascii="Times New Roman" w:hAnsi="Times New Roman"/>
          <w:sz w:val="22"/>
        </w:rPr>
        <w:t xml:space="preserve">Vos raises several objections to Bousset’s theory: </w:t>
      </w:r>
      <w:r w:rsidR="00E3105D">
        <w:rPr>
          <w:rFonts w:ascii="Times New Roman" w:hAnsi="Times New Roman"/>
          <w:sz w:val="22"/>
        </w:rPr>
        <w:t>1)</w:t>
      </w:r>
      <w:r>
        <w:rPr>
          <w:rFonts w:ascii="Times New Roman" w:hAnsi="Times New Roman"/>
          <w:sz w:val="22"/>
        </w:rPr>
        <w:t xml:space="preserve"> there is no evidence of a connection to a cult;</w:t>
      </w:r>
      <w:r w:rsidR="00E3105D">
        <w:rPr>
          <w:rFonts w:ascii="Times New Roman" w:hAnsi="Times New Roman"/>
          <w:sz w:val="22"/>
        </w:rPr>
        <w:t xml:space="preserve"> 2)</w:t>
      </w:r>
      <w:r>
        <w:rPr>
          <w:rFonts w:ascii="Times New Roman" w:hAnsi="Times New Roman"/>
          <w:sz w:val="22"/>
        </w:rPr>
        <w:t xml:space="preserve"> the concept of a middle stage between the mother church and Pauline Christianity is speculative and vague; </w:t>
      </w:r>
      <w:r w:rsidR="00E3105D">
        <w:rPr>
          <w:rFonts w:ascii="Times New Roman" w:hAnsi="Times New Roman"/>
          <w:sz w:val="22"/>
        </w:rPr>
        <w:t xml:space="preserve">3) </w:t>
      </w:r>
      <w:r>
        <w:rPr>
          <w:rFonts w:ascii="Times New Roman" w:hAnsi="Times New Roman"/>
          <w:sz w:val="22"/>
        </w:rPr>
        <w:t xml:space="preserve">Bousset underestimates the accounts in Acts and the Gospels; </w:t>
      </w:r>
      <w:r w:rsidR="00E3105D" w:rsidRPr="00E3105D">
        <w:rPr>
          <w:rFonts w:ascii="Times New Roman" w:hAnsi="Times New Roman"/>
          <w:sz w:val="22"/>
        </w:rPr>
        <w:t>4)</w:t>
      </w:r>
      <w:r>
        <w:rPr>
          <w:rFonts w:ascii="Times New Roman" w:hAnsi="Times New Roman"/>
          <w:sz w:val="22"/>
        </w:rPr>
        <w:t xml:space="preserve"> he overlooks what the Gospels reveal about Jesus' self-awareness; </w:t>
      </w:r>
      <w:r w:rsidR="00E3105D">
        <w:rPr>
          <w:rFonts w:ascii="Times New Roman" w:hAnsi="Times New Roman"/>
          <w:sz w:val="22"/>
        </w:rPr>
        <w:t xml:space="preserve">5) </w:t>
      </w:r>
      <w:r>
        <w:rPr>
          <w:rFonts w:ascii="Times New Roman" w:hAnsi="Times New Roman"/>
          <w:sz w:val="22"/>
        </w:rPr>
        <w:t>Bousset relies too heavily on the Gospels for insight into the terminology used within the early Jerusalem Church;</w:t>
      </w:r>
      <w:r w:rsidR="00E3105D">
        <w:rPr>
          <w:rFonts w:ascii="Times New Roman" w:hAnsi="Times New Roman"/>
          <w:sz w:val="22"/>
        </w:rPr>
        <w:t xml:space="preserve"> 6)</w:t>
      </w:r>
      <w:r>
        <w:rPr>
          <w:rFonts w:ascii="Times New Roman" w:hAnsi="Times New Roman"/>
          <w:sz w:val="22"/>
        </w:rPr>
        <w:t xml:space="preserve"> he makes too much of an association between Kyrios and Pneuma in Paul’s writings. Lastly, Vos criticizes Bousset's inadequate treatment of the issue, which stems from his treatment of Messianic Consciousness as only a formal concept, despite not denying its historicity.</w:t>
      </w:r>
    </w:p>
    <w:p w:rsidR="00F4672E" w:rsidRDefault="00F4672E" w:rsidP="005064DC">
      <w:pPr>
        <w:jc w:val="both"/>
      </w:pPr>
    </w:p>
    <w:p w:rsidR="00F4672E" w:rsidRPr="00F4672E" w:rsidRDefault="00F4672E" w:rsidP="00F4672E">
      <w:pPr>
        <w:jc w:val="both"/>
        <w:rPr>
          <w:b/>
          <w:bCs/>
        </w:rPr>
      </w:pPr>
      <w:r w:rsidRPr="00F4672E">
        <w:rPr>
          <w:rFonts w:ascii="Times New Roman" w:hAnsi="Times New Roman"/>
          <w:b/>
          <w:bCs/>
          <w:sz w:val="22"/>
        </w:rPr>
        <w:t>Chapter X: The Son of God</w:t>
      </w:r>
      <w:r>
        <w:rPr>
          <w:rFonts w:ascii="Times New Roman" w:hAnsi="Times New Roman"/>
          <w:b/>
          <w:bCs/>
          <w:sz w:val="22"/>
        </w:rPr>
        <w:t>.</w:t>
      </w:r>
    </w:p>
    <w:p w:rsidR="00F4672E" w:rsidRDefault="00F4672E" w:rsidP="00F4672E">
      <w:pPr>
        <w:jc w:val="both"/>
      </w:pPr>
      <w:r w:rsidRPr="00F4672E">
        <w:rPr>
          <w:rFonts w:ascii="Times New Roman" w:hAnsi="Times New Roman"/>
          <w:b/>
          <w:bCs/>
          <w:sz w:val="22"/>
        </w:rPr>
        <w:t>Four Senses of the Title</w:t>
      </w:r>
      <w:r>
        <w:rPr>
          <w:rFonts w:ascii="Times New Roman" w:hAnsi="Times New Roman"/>
          <w:b/>
          <w:bCs/>
          <w:sz w:val="22"/>
        </w:rPr>
        <w:t xml:space="preserve">. </w:t>
      </w:r>
      <w:r>
        <w:rPr>
          <w:rFonts w:ascii="Times New Roman" w:hAnsi="Times New Roman"/>
          <w:sz w:val="22"/>
        </w:rPr>
        <w:t>The title "Son of God" characterizes the Godward relation of the Messiah and appears in four distinct senses within the New Testament. These senses include: 1) a purely moral and religious interpretation, akin to "Child of God," 2) an official or Messianic understanding related to His role rather than His essential nature, 3) a nativistic aspect concerning God's supernatural paternity, and 4) a Trinitarian sense indicating eternal sonship. While some old liberal traditions recognize only the first two senses, all four are applied to Jesus in the New Testament.</w:t>
      </w:r>
      <w:r>
        <w:rPr>
          <w:rFonts w:ascii="Times New Roman" w:hAnsi="Times New Roman"/>
          <w:sz w:val="22"/>
        </w:rPr>
        <w:t xml:space="preserve"> </w:t>
      </w:r>
      <w:r w:rsidRPr="00F4672E">
        <w:rPr>
          <w:rFonts w:ascii="Times New Roman" w:hAnsi="Times New Roman"/>
          <w:b/>
          <w:bCs/>
          <w:sz w:val="22"/>
        </w:rPr>
        <w:t>Distinctions and Evidence</w:t>
      </w:r>
      <w:r>
        <w:rPr>
          <w:rFonts w:ascii="Times New Roman" w:hAnsi="Times New Roman"/>
          <w:b/>
          <w:bCs/>
          <w:sz w:val="22"/>
        </w:rPr>
        <w:t xml:space="preserve">. </w:t>
      </w:r>
      <w:r>
        <w:rPr>
          <w:rFonts w:ascii="Times New Roman" w:hAnsi="Times New Roman"/>
          <w:sz w:val="22"/>
        </w:rPr>
        <w:t>A careful distinction between what Jesus proclaimed about Himself and what others said about Him emerges from the analysis of both Synoptical and Johannine evidence. Particularly within the Synoptic Gospels, Matthew 11:27 and Luke 10:22 underscore the divine handing over of all things to Jesus, the Father's exclusive knowledge of the Son, and the Son's revealing capability, showing mutual divine recognition. Possible echoes from Isaiah and Jeremiah or Jesus Sirach support the notion that this passage emphasizes the essential nature of the Father-Son relationship and uses chiastic parallelism to highlight their mutual revelation. The phrase, "come to me all..." in verse 28 resonates with Old Testament references typically reserved for YHWH, affirming a unique relationship between God and Jesus. Geerhardus Vos supports a present-tense interpretation of the verbs, aligning with Irenaeus and thereby challenging both liberal and Gnostic past-tense readings.</w:t>
      </w:r>
      <w:r>
        <w:rPr>
          <w:rFonts w:ascii="Times New Roman" w:hAnsi="Times New Roman"/>
          <w:sz w:val="22"/>
        </w:rPr>
        <w:t xml:space="preserve"> </w:t>
      </w:r>
      <w:r w:rsidRPr="00F4672E">
        <w:rPr>
          <w:rFonts w:ascii="Times New Roman" w:hAnsi="Times New Roman"/>
          <w:b/>
          <w:bCs/>
          <w:sz w:val="22"/>
        </w:rPr>
        <w:t>Affirmations and Parables</w:t>
      </w:r>
      <w:r>
        <w:rPr>
          <w:rFonts w:ascii="Times New Roman" w:hAnsi="Times New Roman"/>
          <w:b/>
          <w:bCs/>
          <w:sz w:val="22"/>
        </w:rPr>
        <w:t xml:space="preserve">. </w:t>
      </w:r>
      <w:r>
        <w:rPr>
          <w:rFonts w:ascii="Times New Roman" w:hAnsi="Times New Roman"/>
          <w:sz w:val="22"/>
        </w:rPr>
        <w:t>Further affirmation of Jesus' sonship is evident in the episode concerning the payment of the half-shekel (Matthew 17:24-27), where the debate about whether freedom applies only to Jesus or also to Peter suggests shared sonship. This shared aspect likely extends to both, affirming their filial bond.</w:t>
      </w:r>
      <w:r>
        <w:rPr>
          <w:rFonts w:ascii="Times New Roman" w:hAnsi="Times New Roman"/>
          <w:sz w:val="22"/>
        </w:rPr>
        <w:t xml:space="preserve"> </w:t>
      </w:r>
      <w:r w:rsidRPr="00F4672E">
        <w:rPr>
          <w:rFonts w:ascii="Times New Roman" w:hAnsi="Times New Roman"/>
          <w:b/>
          <w:bCs/>
          <w:sz w:val="22"/>
        </w:rPr>
        <w:t>Understanding of Messiahship</w:t>
      </w:r>
      <w:r>
        <w:rPr>
          <w:rFonts w:ascii="Times New Roman" w:hAnsi="Times New Roman"/>
          <w:b/>
          <w:bCs/>
          <w:sz w:val="22"/>
        </w:rPr>
        <w:t xml:space="preserve">. </w:t>
      </w:r>
      <w:r>
        <w:rPr>
          <w:rFonts w:ascii="Times New Roman" w:hAnsi="Times New Roman"/>
          <w:sz w:val="22"/>
        </w:rPr>
        <w:t>The Parable of the Wicked Husbandmen (Matthew 21:33-46/Mark 12:1-12/Luke 20:9-18) focuses on the notion of rejecting and killing the son but does not necessarily function as a Messianic title here. However, Psalm 110 ("If David calls him Lord, how is he his son?") elevates the understanding of Messiahship to a higher, supra-political plane. Vos asserts that the Messiah must be God's Son to embody the characteristics ascribed in the Psalm, with Sonship suggesting Messiahship while pointing back to a deeper divine relationship.</w:t>
      </w:r>
      <w:r>
        <w:rPr>
          <w:rFonts w:ascii="Times New Roman" w:hAnsi="Times New Roman"/>
          <w:sz w:val="22"/>
        </w:rPr>
        <w:t xml:space="preserve"> </w:t>
      </w:r>
      <w:r w:rsidRPr="00F4672E">
        <w:rPr>
          <w:rFonts w:ascii="Times New Roman" w:hAnsi="Times New Roman"/>
          <w:b/>
          <w:bCs/>
          <w:sz w:val="22"/>
        </w:rPr>
        <w:t>Hierarchy of Revelation</w:t>
      </w:r>
      <w:r>
        <w:rPr>
          <w:rFonts w:ascii="Times New Roman" w:hAnsi="Times New Roman"/>
          <w:b/>
          <w:bCs/>
          <w:sz w:val="22"/>
        </w:rPr>
        <w:t xml:space="preserve">. </w:t>
      </w:r>
      <w:r>
        <w:rPr>
          <w:rFonts w:ascii="Times New Roman" w:hAnsi="Times New Roman"/>
          <w:sz w:val="22"/>
        </w:rPr>
        <w:t>Addressing the saying, "Concerning that day or the hour no one knoweth, not even the angels in heaven, neither the Son, except the Father," Vos identifies a hierarchy of revelation. Humans receive certain information, angels more so, and the Son, in His Messianic office, the most comprehensive view. Yet, the specific knowledge of "that day" remains with the Father, highlighting a unique dynamic in divine revelation.</w:t>
      </w:r>
    </w:p>
    <w:p w:rsidR="00F4672E" w:rsidRDefault="00F4672E" w:rsidP="00F4672E">
      <w:pPr>
        <w:jc w:val="both"/>
      </w:pPr>
    </w:p>
    <w:p w:rsidR="00F4672E" w:rsidRPr="00F4672E" w:rsidRDefault="00F4672E" w:rsidP="00F4672E">
      <w:pPr>
        <w:jc w:val="both"/>
        <w:rPr>
          <w:b/>
          <w:bCs/>
        </w:rPr>
      </w:pPr>
      <w:r w:rsidRPr="00F4672E">
        <w:rPr>
          <w:rFonts w:ascii="Times New Roman" w:hAnsi="Times New Roman"/>
          <w:b/>
          <w:bCs/>
          <w:sz w:val="22"/>
        </w:rPr>
        <w:t>Chapter XI: The Son of God (Continued): Ascription of the Title to Jesus by Others</w:t>
      </w:r>
      <w:r>
        <w:rPr>
          <w:rFonts w:ascii="Times New Roman" w:hAnsi="Times New Roman"/>
          <w:b/>
          <w:bCs/>
          <w:sz w:val="22"/>
        </w:rPr>
        <w:t>.</w:t>
      </w:r>
    </w:p>
    <w:p w:rsidR="00F4672E" w:rsidRDefault="00F4672E" w:rsidP="00F4672E">
      <w:pPr>
        <w:jc w:val="both"/>
      </w:pPr>
      <w:r w:rsidRPr="00F4672E">
        <w:rPr>
          <w:rFonts w:ascii="Times New Roman" w:hAnsi="Times New Roman"/>
          <w:b/>
          <w:bCs/>
          <w:sz w:val="22"/>
        </w:rPr>
        <w:t>Acknowledgment by Supernatural Forces</w:t>
      </w:r>
      <w:r>
        <w:rPr>
          <w:rFonts w:ascii="Times New Roman" w:hAnsi="Times New Roman"/>
          <w:b/>
          <w:bCs/>
          <w:sz w:val="22"/>
        </w:rPr>
        <w:t xml:space="preserve">. </w:t>
      </w:r>
      <w:r w:rsidRPr="00F4672E">
        <w:rPr>
          <w:rFonts w:ascii="Times New Roman" w:hAnsi="Times New Roman"/>
          <w:sz w:val="22"/>
        </w:rPr>
        <w:t>D</w:t>
      </w:r>
      <w:r>
        <w:rPr>
          <w:rFonts w:ascii="Times New Roman" w:hAnsi="Times New Roman"/>
          <w:sz w:val="22"/>
        </w:rPr>
        <w:t xml:space="preserve">emons recognize Jesus' Messiahship and refer to Him as "the Holy One of God," indicating a supernatural and intuitive knowledge rather than an inferential understanding. Their prostration signifies submission to a higher supernatural power. Satan also addresses </w:t>
      </w:r>
      <w:r>
        <w:rPr>
          <w:rFonts w:ascii="Times New Roman" w:hAnsi="Times New Roman"/>
          <w:sz w:val="22"/>
        </w:rPr>
        <w:lastRenderedPageBreak/>
        <w:t>Jesus as "the Son of God," with acknowledgments such as "we know thee who thou art," highlighting Jesus' supernatural personhood more than His supernatural endowment by the Spirit.</w:t>
      </w:r>
      <w:r>
        <w:rPr>
          <w:rFonts w:ascii="Times New Roman" w:hAnsi="Times New Roman"/>
          <w:sz w:val="22"/>
        </w:rPr>
        <w:t xml:space="preserve"> </w:t>
      </w:r>
      <w:r w:rsidRPr="00F4672E">
        <w:rPr>
          <w:rFonts w:ascii="Times New Roman" w:hAnsi="Times New Roman"/>
          <w:b/>
          <w:bCs/>
          <w:sz w:val="22"/>
        </w:rPr>
        <w:t>Reaction of the Sanhedrin</w:t>
      </w:r>
      <w:r>
        <w:rPr>
          <w:rFonts w:ascii="Times New Roman" w:hAnsi="Times New Roman"/>
          <w:b/>
          <w:bCs/>
          <w:sz w:val="22"/>
        </w:rPr>
        <w:t xml:space="preserve">. </w:t>
      </w:r>
      <w:r>
        <w:rPr>
          <w:rFonts w:ascii="Times New Roman" w:hAnsi="Times New Roman"/>
          <w:sz w:val="22"/>
        </w:rPr>
        <w:t>The Sanhedrin accuses Jesus of blasphemy. According to the Talmud, claiming Messiahship was not typically considered blasphemous, though it could be punishable by death in certain contexts. Vos suggests that the charge of blasphemy must relate to Jesus' claim to be the Son of God. The Sadducees, who did not emphasize the Messiah in their theology, specifically reacted to Jesus affirming His identity as both Christ and the Son of God.</w:t>
      </w:r>
      <w:r>
        <w:rPr>
          <w:rFonts w:ascii="Times New Roman" w:hAnsi="Times New Roman"/>
          <w:sz w:val="22"/>
        </w:rPr>
        <w:t xml:space="preserve"> </w:t>
      </w:r>
      <w:r>
        <w:rPr>
          <w:rFonts w:ascii="Times New Roman" w:hAnsi="Times New Roman"/>
          <w:b/>
          <w:bCs/>
          <w:sz w:val="22"/>
        </w:rPr>
        <w:t>Peter’s</w:t>
      </w:r>
      <w:r w:rsidRPr="00F4672E">
        <w:rPr>
          <w:rFonts w:ascii="Times New Roman" w:hAnsi="Times New Roman"/>
          <w:b/>
          <w:bCs/>
          <w:sz w:val="22"/>
        </w:rPr>
        <w:t xml:space="preserve"> Testimony</w:t>
      </w:r>
      <w:r>
        <w:rPr>
          <w:rFonts w:ascii="Times New Roman" w:hAnsi="Times New Roman"/>
          <w:b/>
          <w:bCs/>
          <w:sz w:val="22"/>
        </w:rPr>
        <w:t xml:space="preserve">. </w:t>
      </w:r>
      <w:r>
        <w:rPr>
          <w:rFonts w:ascii="Times New Roman" w:hAnsi="Times New Roman"/>
          <w:sz w:val="22"/>
        </w:rPr>
        <w:t>In the Gospels, the disciples, particularly Peter, refer to Jesus with phrases like "Thou art the Christ, the Son of the Living God" or "Thou art the Christ of God." The absence of the article in "the Son of God" indicates that the phrase wasn't intended merely as a Messianic title, but as a descriptor of Jesus' unique nature, linking to both Messianic and filial dimensions.</w:t>
      </w:r>
      <w:r>
        <w:rPr>
          <w:rFonts w:ascii="Times New Roman" w:hAnsi="Times New Roman"/>
          <w:sz w:val="22"/>
        </w:rPr>
        <w:t xml:space="preserve"> </w:t>
      </w:r>
      <w:r w:rsidRPr="00F4672E">
        <w:rPr>
          <w:rFonts w:ascii="Times New Roman" w:hAnsi="Times New Roman"/>
          <w:b/>
          <w:bCs/>
          <w:sz w:val="22"/>
        </w:rPr>
        <w:t>Significance of Peter's Confession</w:t>
      </w:r>
      <w:r>
        <w:rPr>
          <w:rFonts w:ascii="Times New Roman" w:hAnsi="Times New Roman"/>
          <w:b/>
          <w:bCs/>
          <w:sz w:val="22"/>
        </w:rPr>
        <w:t xml:space="preserve">. </w:t>
      </w:r>
      <w:r>
        <w:rPr>
          <w:rFonts w:ascii="Times New Roman" w:hAnsi="Times New Roman"/>
          <w:sz w:val="22"/>
        </w:rPr>
        <w:t>Peter's acknowledgment is regarded as the result of supernatural revelation. The contrast between the "Son of Man" and the "Son of the Living God" elevates Jesus' sonship beyond the human realm. The phrase "living God" emphasizes sonship that transcends Messiahship. Furthermore, Jesus assigns Peter a higher, supernatural status by bestowing upon him the new name Kephas.</w:t>
      </w:r>
      <w:r>
        <w:rPr>
          <w:rFonts w:ascii="Times New Roman" w:hAnsi="Times New Roman"/>
          <w:sz w:val="22"/>
        </w:rPr>
        <w:t xml:space="preserve"> </w:t>
      </w:r>
      <w:r w:rsidRPr="00F4672E">
        <w:rPr>
          <w:rFonts w:ascii="Times New Roman" w:hAnsi="Times New Roman"/>
          <w:b/>
          <w:bCs/>
          <w:sz w:val="22"/>
        </w:rPr>
        <w:t>Annunciation and Divine Sonship</w:t>
      </w:r>
      <w:r>
        <w:rPr>
          <w:rFonts w:ascii="Times New Roman" w:hAnsi="Times New Roman"/>
          <w:b/>
          <w:bCs/>
          <w:sz w:val="22"/>
        </w:rPr>
        <w:t xml:space="preserve">. </w:t>
      </w:r>
      <w:r>
        <w:rPr>
          <w:rFonts w:ascii="Times New Roman" w:hAnsi="Times New Roman"/>
          <w:sz w:val="22"/>
        </w:rPr>
        <w:t>In Luke, the annunciation states that "the child shall be called the Son of the Most High," signifying divine paternity through the Holy Spirit. The terms "called" and "this one shall be great" differentiate between Messianic Sonship and nativistic sonship.</w:t>
      </w:r>
      <w:r>
        <w:rPr>
          <w:rFonts w:ascii="Times New Roman" w:hAnsi="Times New Roman"/>
          <w:sz w:val="22"/>
        </w:rPr>
        <w:t xml:space="preserve"> </w:t>
      </w:r>
      <w:r w:rsidRPr="00F4672E">
        <w:rPr>
          <w:rFonts w:ascii="Times New Roman" w:hAnsi="Times New Roman"/>
          <w:b/>
          <w:bCs/>
          <w:sz w:val="22"/>
        </w:rPr>
        <w:t>Witness of Baptism and Transfiguration</w:t>
      </w:r>
      <w:r>
        <w:rPr>
          <w:rFonts w:ascii="Times New Roman" w:hAnsi="Times New Roman"/>
          <w:b/>
          <w:bCs/>
          <w:sz w:val="22"/>
        </w:rPr>
        <w:t xml:space="preserve">. </w:t>
      </w:r>
      <w:r w:rsidRPr="00F4672E">
        <w:rPr>
          <w:rFonts w:ascii="Times New Roman" w:hAnsi="Times New Roman"/>
          <w:sz w:val="22"/>
        </w:rPr>
        <w:t>T</w:t>
      </w:r>
      <w:r>
        <w:rPr>
          <w:rFonts w:ascii="Times New Roman" w:hAnsi="Times New Roman"/>
          <w:sz w:val="22"/>
        </w:rPr>
        <w:t>he baptism and transfiguration provide the highest affirmations of divine sonship, as expressed in "This is my beloved Son."</w:t>
      </w:r>
      <w:r>
        <w:rPr>
          <w:rFonts w:ascii="Times New Roman" w:hAnsi="Times New Roman"/>
          <w:sz w:val="22"/>
        </w:rPr>
        <w:t xml:space="preserve"> </w:t>
      </w:r>
      <w:r w:rsidRPr="00F4672E">
        <w:rPr>
          <w:rFonts w:ascii="Times New Roman" w:hAnsi="Times New Roman"/>
          <w:b/>
          <w:bCs/>
          <w:sz w:val="22"/>
        </w:rPr>
        <w:t>Narrative and Theological Implications</w:t>
      </w:r>
      <w:r>
        <w:rPr>
          <w:rFonts w:ascii="Times New Roman" w:hAnsi="Times New Roman"/>
          <w:b/>
          <w:bCs/>
          <w:sz w:val="22"/>
        </w:rPr>
        <w:t xml:space="preserve">. </w:t>
      </w:r>
      <w:r>
        <w:rPr>
          <w:rFonts w:ascii="Times New Roman" w:hAnsi="Times New Roman"/>
          <w:sz w:val="22"/>
        </w:rPr>
        <w:t>Mark begins with "The beginning of the gospel of Jesus Christ, the Son of God." In the Synoptic Gospels, there's little reference to an isolated intra-divine sonship, with focus instead on other aspects of sonship. Vos asserts that these four aspects—Trinitarian, Messianic, Nativity, and Ethico-Religious Sonship—are not successive stages in early Church Christology but are coherent expressions of Jesus' singular divine sonship.</w:t>
      </w:r>
      <w:r>
        <w:rPr>
          <w:rFonts w:ascii="Times New Roman" w:hAnsi="Times New Roman"/>
          <w:sz w:val="22"/>
        </w:rPr>
        <w:t xml:space="preserve"> </w:t>
      </w:r>
      <w:r w:rsidRPr="00F4672E">
        <w:rPr>
          <w:rFonts w:ascii="Times New Roman" w:hAnsi="Times New Roman"/>
          <w:b/>
          <w:bCs/>
          <w:sz w:val="22"/>
        </w:rPr>
        <w:t>Sequences of Being and Revelation</w:t>
      </w:r>
      <w:r>
        <w:rPr>
          <w:rFonts w:ascii="Times New Roman" w:hAnsi="Times New Roman"/>
          <w:b/>
          <w:bCs/>
          <w:sz w:val="22"/>
        </w:rPr>
        <w:t xml:space="preserve">. </w:t>
      </w:r>
      <w:r>
        <w:rPr>
          <w:rFonts w:ascii="Times New Roman" w:hAnsi="Times New Roman"/>
          <w:sz w:val="22"/>
        </w:rPr>
        <w:t>In terms of being, the sequence is Trinitarian Sonship, then Messianic, Nativity, and Ethico-Religious Sonship. Revelation follows a different sequence: Messianic Sonship (as in the Psalms), then Nativity Sonship (illustrated in the Gospels), followed potentially by Trinitarian and Ethico-Religious Sonship. Together, these sequences depict a comprehensive understanding of Jesus' divine sonship.</w:t>
      </w:r>
    </w:p>
    <w:p w:rsidR="00F4672E" w:rsidRDefault="00F4672E" w:rsidP="00F4672E">
      <w:pPr>
        <w:jc w:val="both"/>
      </w:pPr>
    </w:p>
    <w:p w:rsidR="00F4672E" w:rsidRPr="00F4672E" w:rsidRDefault="00F4672E" w:rsidP="00F4672E">
      <w:pPr>
        <w:jc w:val="both"/>
        <w:rPr>
          <w:b/>
          <w:bCs/>
        </w:rPr>
      </w:pPr>
      <w:r w:rsidRPr="00F4672E">
        <w:rPr>
          <w:rFonts w:ascii="Times New Roman" w:hAnsi="Times New Roman"/>
          <w:b/>
          <w:bCs/>
          <w:sz w:val="22"/>
        </w:rPr>
        <w:t>Chapter XII: The Son of God (Continued): The Sonship of Jesus in the Fourth Gospel</w:t>
      </w:r>
      <w:r>
        <w:rPr>
          <w:rFonts w:ascii="Times New Roman" w:hAnsi="Times New Roman"/>
          <w:b/>
          <w:bCs/>
          <w:sz w:val="22"/>
        </w:rPr>
        <w:t>.</w:t>
      </w:r>
    </w:p>
    <w:p w:rsidR="00F4672E" w:rsidRDefault="00F4672E" w:rsidP="00F4672E">
      <w:pPr>
        <w:jc w:val="both"/>
      </w:pPr>
      <w:r w:rsidRPr="00F4672E">
        <w:rPr>
          <w:rFonts w:ascii="Times New Roman" w:hAnsi="Times New Roman"/>
          <w:b/>
          <w:bCs/>
          <w:sz w:val="22"/>
        </w:rPr>
        <w:t>Key Terminology in the Prologue</w:t>
      </w:r>
      <w:r>
        <w:rPr>
          <w:rFonts w:ascii="Times New Roman" w:hAnsi="Times New Roman"/>
          <w:b/>
          <w:bCs/>
          <w:sz w:val="22"/>
        </w:rPr>
        <w:t xml:space="preserve">. </w:t>
      </w:r>
      <w:r>
        <w:rPr>
          <w:rFonts w:ascii="Times New Roman" w:hAnsi="Times New Roman"/>
          <w:sz w:val="22"/>
        </w:rPr>
        <w:t xml:space="preserve">The terms Logos, Son, and Monogenes appear prominently in the prologue of the Gospel of John. Some scholars, like Ritschl and </w:t>
      </w:r>
      <w:r>
        <w:rPr>
          <w:rFonts w:ascii="Times New Roman" w:hAnsi="Times New Roman"/>
          <w:sz w:val="22"/>
        </w:rPr>
        <w:t xml:space="preserve">Von </w:t>
      </w:r>
      <w:r>
        <w:rPr>
          <w:rFonts w:ascii="Times New Roman" w:hAnsi="Times New Roman"/>
          <w:sz w:val="22"/>
        </w:rPr>
        <w:t xml:space="preserve">Harnack, argue these names are merely temporal, distinguishing between what they see as a metaphysical prologue and an ethically colored Gospel. </w:t>
      </w:r>
      <w:r w:rsidRPr="00F4672E">
        <w:rPr>
          <w:rFonts w:ascii="Times New Roman" w:hAnsi="Times New Roman"/>
          <w:b/>
          <w:bCs/>
          <w:sz w:val="22"/>
        </w:rPr>
        <w:t>Messianic and Ontological Sonship</w:t>
      </w:r>
      <w:r>
        <w:rPr>
          <w:rFonts w:ascii="Times New Roman" w:hAnsi="Times New Roman"/>
          <w:b/>
          <w:bCs/>
          <w:sz w:val="22"/>
        </w:rPr>
        <w:t xml:space="preserve">. </w:t>
      </w:r>
      <w:r>
        <w:rPr>
          <w:rFonts w:ascii="Times New Roman" w:hAnsi="Times New Roman"/>
          <w:sz w:val="22"/>
        </w:rPr>
        <w:t>Various references throughout the Gospel underscore the Messianic sonship of Jesus, such as in John 13:3, where the Father gives all things into the hands of the Son, and John 5:19, 20, which describe the Son acting in alignment with the Father's actions, emphasizing their mutual knowledge. Vos argues that ontological and Messianic sonship are closely intertwined, as indicated by passages like John 10:30, "I and my Father are one." This opposes Lütgert's assertion that Jesus became the Son through receiving the Spirit, given the frequent references to Jesus' pre-existence.</w:t>
      </w:r>
      <w:r>
        <w:rPr>
          <w:rFonts w:ascii="Times New Roman" w:hAnsi="Times New Roman"/>
          <w:sz w:val="22"/>
        </w:rPr>
        <w:t xml:space="preserve"> </w:t>
      </w:r>
      <w:r w:rsidRPr="00F4672E">
        <w:rPr>
          <w:rFonts w:ascii="Times New Roman" w:hAnsi="Times New Roman"/>
          <w:b/>
          <w:bCs/>
          <w:sz w:val="22"/>
        </w:rPr>
        <w:t>Significance of Monogenes</w:t>
      </w:r>
      <w:r>
        <w:rPr>
          <w:rFonts w:ascii="Times New Roman" w:hAnsi="Times New Roman"/>
          <w:b/>
          <w:bCs/>
          <w:sz w:val="22"/>
        </w:rPr>
        <w:t xml:space="preserve">. </w:t>
      </w:r>
      <w:r>
        <w:rPr>
          <w:rFonts w:ascii="Times New Roman" w:hAnsi="Times New Roman"/>
          <w:sz w:val="22"/>
        </w:rPr>
        <w:t xml:space="preserve">Understanding the name Monogenes and the pre-existence of Jesus is crucial to fully appreciate His Trinitarian sonship. </w:t>
      </w:r>
      <w:r>
        <w:rPr>
          <w:rFonts w:ascii="Times New Roman" w:hAnsi="Times New Roman"/>
          <w:sz w:val="22"/>
        </w:rPr>
        <w:t xml:space="preserve">Von </w:t>
      </w:r>
      <w:r>
        <w:rPr>
          <w:rFonts w:ascii="Times New Roman" w:hAnsi="Times New Roman"/>
          <w:sz w:val="22"/>
        </w:rPr>
        <w:t>Harnack distinguishes between the metaphysical Christology of the Prologue and the ethico-religious focus of the Gospel, while Vos contends that Christ's obedience is essential to His ontological sonship. Believers are called "tekna," not "huioi," setting Jesus apart from others and challenging Harnack’s view that Jesus' sonship is solely ethical-religious.</w:t>
      </w:r>
      <w:r w:rsidR="001C6AB8">
        <w:rPr>
          <w:rFonts w:ascii="Times New Roman" w:hAnsi="Times New Roman"/>
          <w:sz w:val="22"/>
        </w:rPr>
        <w:t xml:space="preserve"> </w:t>
      </w:r>
      <w:r w:rsidRPr="001C6AB8">
        <w:rPr>
          <w:rFonts w:ascii="Times New Roman" w:hAnsi="Times New Roman"/>
          <w:b/>
          <w:bCs/>
          <w:sz w:val="22"/>
        </w:rPr>
        <w:t>Complexity of Nativistic Sonship</w:t>
      </w:r>
      <w:r w:rsidR="001C6AB8">
        <w:rPr>
          <w:rFonts w:ascii="Times New Roman" w:hAnsi="Times New Roman"/>
          <w:b/>
          <w:bCs/>
          <w:sz w:val="22"/>
        </w:rPr>
        <w:t xml:space="preserve">. </w:t>
      </w:r>
      <w:r>
        <w:rPr>
          <w:rFonts w:ascii="Times New Roman" w:hAnsi="Times New Roman"/>
          <w:sz w:val="22"/>
        </w:rPr>
        <w:t>The question of nativistic sonship in John presents exegetical and theological challenges. Understanding Monogenes pertains to whether it signifies coming in the flesh or pre-existent nativity. The passage, "But as many as received him, to them gave he the right to become children of God," implies a direct description of the virgin birth.</w:t>
      </w:r>
      <w:r w:rsidR="001C6AB8">
        <w:rPr>
          <w:rFonts w:ascii="Times New Roman" w:hAnsi="Times New Roman"/>
          <w:sz w:val="22"/>
        </w:rPr>
        <w:t xml:space="preserve"> </w:t>
      </w:r>
      <w:r w:rsidRPr="001C6AB8">
        <w:rPr>
          <w:rFonts w:ascii="Times New Roman" w:hAnsi="Times New Roman"/>
          <w:b/>
          <w:bCs/>
          <w:sz w:val="22"/>
        </w:rPr>
        <w:t>Interpretation of Monogenes</w:t>
      </w:r>
      <w:r w:rsidR="001C6AB8">
        <w:rPr>
          <w:rFonts w:ascii="Times New Roman" w:hAnsi="Times New Roman"/>
          <w:b/>
          <w:bCs/>
          <w:sz w:val="22"/>
        </w:rPr>
        <w:t xml:space="preserve">. </w:t>
      </w:r>
      <w:r>
        <w:rPr>
          <w:rFonts w:ascii="Times New Roman" w:hAnsi="Times New Roman"/>
          <w:sz w:val="22"/>
        </w:rPr>
        <w:t xml:space="preserve">The term Monogenes might mean "only" or implied as "monos" in the LXX, which could diminish the significance of "-genes." However, "mono" need not be strictly numerical and could indicate "highly beloved," similar to "agapeton" in the LXX. Vos suggests that John may emphasize the "-genes" portion, implying "begetting" (gennasthai) or "being born" (gignesthai), arguing for a translation as "Only Begotten Son," tying it to the incarnation and </w:t>
      </w:r>
      <w:r>
        <w:rPr>
          <w:rFonts w:ascii="Times New Roman" w:hAnsi="Times New Roman"/>
          <w:sz w:val="22"/>
        </w:rPr>
        <w:lastRenderedPageBreak/>
        <w:t>potentially to Trinitarian pre-existence, though this isn't definitively settled.</w:t>
      </w:r>
      <w:r w:rsidR="001C6AB8">
        <w:rPr>
          <w:rFonts w:ascii="Times New Roman" w:hAnsi="Times New Roman"/>
          <w:sz w:val="22"/>
        </w:rPr>
        <w:t xml:space="preserve"> </w:t>
      </w:r>
      <w:r w:rsidRPr="001C6AB8">
        <w:rPr>
          <w:rFonts w:ascii="Times New Roman" w:hAnsi="Times New Roman"/>
          <w:b/>
          <w:bCs/>
          <w:sz w:val="22"/>
        </w:rPr>
        <w:t>Eternal Pre-Existence and Divine Sonship</w:t>
      </w:r>
      <w:r w:rsidR="001C6AB8">
        <w:rPr>
          <w:rFonts w:ascii="Times New Roman" w:hAnsi="Times New Roman"/>
          <w:b/>
          <w:bCs/>
          <w:sz w:val="22"/>
        </w:rPr>
        <w:t xml:space="preserve">. </w:t>
      </w:r>
      <w:r>
        <w:rPr>
          <w:rFonts w:ascii="Times New Roman" w:hAnsi="Times New Roman"/>
          <w:sz w:val="22"/>
        </w:rPr>
        <w:t>Jesus is depicted as the Bread from heaven, implying pre-existence there. Instances of Monogenes as eternal generation appear in John 1:18, the transfer of life from Father to Son in John 5:26, and other passages like John 3:16, 18, and 1 John 4:9. Monogenes is unique to Jesus and not ascribed to believers, reinforcing His divine and eternal origin, as highlighted in John 3:12 regarding being born from heaven.</w:t>
      </w:r>
    </w:p>
    <w:p w:rsidR="001C6AB8" w:rsidRDefault="001C6AB8" w:rsidP="00F4672E">
      <w:pPr>
        <w:jc w:val="both"/>
      </w:pPr>
    </w:p>
    <w:p w:rsidR="001C6AB8" w:rsidRPr="001C6AB8" w:rsidRDefault="001C6AB8" w:rsidP="00F4672E">
      <w:pPr>
        <w:jc w:val="both"/>
        <w:rPr>
          <w:b/>
          <w:bCs/>
        </w:rPr>
      </w:pPr>
      <w:r>
        <w:rPr>
          <w:rFonts w:ascii="Times New Roman" w:hAnsi="Times New Roman"/>
          <w:b/>
          <w:bCs/>
          <w:sz w:val="22"/>
        </w:rPr>
        <w:t>Chapter XIII: The Son of Man.</w:t>
      </w:r>
    </w:p>
    <w:p w:rsidR="001C6AB8" w:rsidRDefault="001C6AB8" w:rsidP="001C6AB8">
      <w:pPr>
        <w:jc w:val="both"/>
      </w:pPr>
      <w:r w:rsidRPr="001C6AB8">
        <w:rPr>
          <w:rFonts w:ascii="Times New Roman" w:hAnsi="Times New Roman"/>
          <w:b/>
          <w:bCs/>
          <w:sz w:val="22"/>
        </w:rPr>
        <w:t>Critical Approaches to "Son of Man."</w:t>
      </w:r>
      <w:r>
        <w:rPr>
          <w:rFonts w:ascii="Times New Roman" w:hAnsi="Times New Roman"/>
          <w:sz w:val="22"/>
        </w:rPr>
        <w:t xml:space="preserve"> The religionsgeschichtliche school often links biblical material with Oriental mythology or Hellenistic syncretism, suggesting an ancient pagan "Son of Man" figure, or Urmensch. This concept is tied to figures like Babylonian Marduk and Assyrian Sennacherib, emphasizing aspects like incarnation and ascent into heaven. Hellenistic literature, through Philo and Gnostic speculation, uses the term to refer to mankind as a whole. However, Geerhardus Vos argues there's no evidence of a real connection between these pagan conceptions and the biblical figure in Daniel or the Gospels, as their meanings and functions differ significantly.</w:t>
      </w:r>
      <w:r>
        <w:rPr>
          <w:rFonts w:ascii="Times New Roman" w:hAnsi="Times New Roman"/>
          <w:sz w:val="22"/>
        </w:rPr>
        <w:t xml:space="preserve"> </w:t>
      </w:r>
      <w:r w:rsidRPr="001C6AB8">
        <w:rPr>
          <w:rFonts w:ascii="Times New Roman" w:hAnsi="Times New Roman"/>
          <w:b/>
          <w:bCs/>
          <w:sz w:val="22"/>
        </w:rPr>
        <w:t>Occurrences in the Gospels.</w:t>
      </w:r>
      <w:r>
        <w:rPr>
          <w:rFonts w:ascii="Times New Roman" w:hAnsi="Times New Roman"/>
          <w:sz w:val="22"/>
        </w:rPr>
        <w:t xml:space="preserve"> Most of the 80 instances of "Son of Man" in the Gospels appear after Caesarea Philippi, during the closing period of Jesus' life, suggesting attempts to restrict its use to apocalyptic contexts. Scholars try to eliminate early instances through three methods: discovering a generic use of the phrase, assuming editorial insertions, or rearranging chronology. Pre-Caesarea occurrences need not imply eschatology, though they sometimes relate to judgment. Vos sees these early mentions as foreshadowing the glory and parousia anticipated in later ministry stages.</w:t>
      </w:r>
      <w:r>
        <w:rPr>
          <w:rFonts w:ascii="Times New Roman" w:hAnsi="Times New Roman"/>
          <w:sz w:val="22"/>
        </w:rPr>
        <w:t xml:space="preserve"> </w:t>
      </w:r>
      <w:r w:rsidRPr="001C6AB8">
        <w:rPr>
          <w:rFonts w:ascii="Times New Roman" w:hAnsi="Times New Roman"/>
          <w:b/>
          <w:bCs/>
          <w:sz w:val="22"/>
        </w:rPr>
        <w:t>The Parousia and Suffering.</w:t>
      </w:r>
      <w:r>
        <w:rPr>
          <w:rFonts w:ascii="Times New Roman" w:hAnsi="Times New Roman"/>
          <w:sz w:val="22"/>
        </w:rPr>
        <w:t xml:space="preserve"> The phrase "Son of Man" spans both Jesus' humanity and His divine role in parousia. This is emphasized in contexts close to Jesus' suffering, death, and resurrection, such as in Mark's ransom passage. Although Jesus is the Son of Man, He foretells suffering and death. Manuscripts sometimes interchange "Son of Man" and "Son of God," particularly in Jesus' self-designation, underscoring His transcendence and preexistence as seen in John’s Gospel.</w:t>
      </w:r>
      <w:r>
        <w:rPr>
          <w:rFonts w:ascii="Times New Roman" w:hAnsi="Times New Roman"/>
          <w:sz w:val="22"/>
        </w:rPr>
        <w:t xml:space="preserve"> </w:t>
      </w:r>
      <w:r w:rsidRPr="001C6AB8">
        <w:rPr>
          <w:rFonts w:ascii="Times New Roman" w:hAnsi="Times New Roman"/>
          <w:b/>
          <w:bCs/>
          <w:sz w:val="22"/>
        </w:rPr>
        <w:t>The Evangelists' Focus on Human Nature.</w:t>
      </w:r>
      <w:r>
        <w:rPr>
          <w:rFonts w:ascii="Times New Roman" w:hAnsi="Times New Roman"/>
          <w:sz w:val="22"/>
        </w:rPr>
        <w:t xml:space="preserve"> The evangelists emphasize Jesus' human nature, evident in Mark 2:27-28, where the Son of Man is Lord of the Sabbath, and in John 6:27, 51, 62, indicating preexistence and future parousia. The term "Son of Man" emphasizes Jesus' identification with humanity.</w:t>
      </w:r>
      <w:r>
        <w:rPr>
          <w:rFonts w:ascii="Times New Roman" w:hAnsi="Times New Roman"/>
          <w:sz w:val="22"/>
        </w:rPr>
        <w:t xml:space="preserve"> </w:t>
      </w:r>
      <w:r w:rsidRPr="001C6AB8">
        <w:rPr>
          <w:rFonts w:ascii="Times New Roman" w:hAnsi="Times New Roman"/>
          <w:b/>
          <w:bCs/>
          <w:sz w:val="22"/>
        </w:rPr>
        <w:t>Context in Paul and Hebrews.</w:t>
      </w:r>
      <w:r>
        <w:rPr>
          <w:rFonts w:ascii="Times New Roman" w:hAnsi="Times New Roman"/>
          <w:sz w:val="22"/>
        </w:rPr>
        <w:t xml:space="preserve"> Paul and the book of Hebrews refer to Psalm 8, not Daniel or Ezekiel, diverging from the traditional Jewish context. Jesus uses "Son of Man" sometimes to veil His Messiahship, though Vos asserts this secrecy wasn't specifically tied to this title alone.</w:t>
      </w:r>
      <w:r>
        <w:rPr>
          <w:rFonts w:ascii="Times New Roman" w:hAnsi="Times New Roman"/>
          <w:sz w:val="22"/>
        </w:rPr>
        <w:t xml:space="preserve"> </w:t>
      </w:r>
      <w:r w:rsidRPr="001C6AB8">
        <w:rPr>
          <w:rFonts w:ascii="Times New Roman" w:hAnsi="Times New Roman"/>
          <w:b/>
          <w:bCs/>
          <w:sz w:val="22"/>
        </w:rPr>
        <w:t>Use and Exclusivity of the Term.</w:t>
      </w:r>
      <w:r>
        <w:rPr>
          <w:rFonts w:ascii="Times New Roman" w:hAnsi="Times New Roman"/>
          <w:sz w:val="22"/>
        </w:rPr>
        <w:t xml:space="preserve"> Early Christians, as seen in non-Gospel New Testament texts, largely avoided using "Son of Man." Vos attributes this to the term being exclusively Jesus' self-designation, reflecting His preference to use a name distanced from potential Jewish misinterpretations of the Messianic role.</w:t>
      </w:r>
    </w:p>
    <w:p w:rsidR="001C6AB8" w:rsidRDefault="001C6AB8" w:rsidP="001C6AB8">
      <w:pPr>
        <w:jc w:val="both"/>
      </w:pPr>
    </w:p>
    <w:p w:rsidR="00F04690" w:rsidRPr="00F04690" w:rsidRDefault="00F04690" w:rsidP="00F04690">
      <w:pPr>
        <w:jc w:val="both"/>
        <w:rPr>
          <w:b/>
          <w:bCs/>
        </w:rPr>
      </w:pPr>
      <w:r w:rsidRPr="00F04690">
        <w:rPr>
          <w:rFonts w:ascii="Times New Roman" w:hAnsi="Times New Roman"/>
          <w:b/>
          <w:bCs/>
          <w:sz w:val="22"/>
        </w:rPr>
        <w:t>Chapter XIV: The Saviour</w:t>
      </w:r>
      <w:r>
        <w:rPr>
          <w:rFonts w:ascii="Times New Roman" w:hAnsi="Times New Roman"/>
          <w:b/>
          <w:bCs/>
          <w:sz w:val="22"/>
        </w:rPr>
        <w:t>.</w:t>
      </w:r>
    </w:p>
    <w:p w:rsidR="00F04690" w:rsidRPr="00F04690" w:rsidRDefault="00F04690" w:rsidP="00F04690">
      <w:pPr>
        <w:jc w:val="both"/>
      </w:pPr>
      <w:r w:rsidRPr="00F04690">
        <w:rPr>
          <w:rFonts w:ascii="Times New Roman" w:hAnsi="Times New Roman"/>
          <w:b/>
          <w:bCs/>
          <w:sz w:val="22"/>
        </w:rPr>
        <w:t>Understanding “Saviour” in the Gospels</w:t>
      </w:r>
      <w:r>
        <w:rPr>
          <w:rFonts w:ascii="Times New Roman" w:hAnsi="Times New Roman"/>
          <w:b/>
          <w:bCs/>
          <w:sz w:val="22"/>
        </w:rPr>
        <w:t xml:space="preserve"> and the Dual Meaning in Greek</w:t>
      </w:r>
      <w:r w:rsidRPr="00F04690">
        <w:rPr>
          <w:rFonts w:ascii="Times New Roman" w:hAnsi="Times New Roman"/>
          <w:b/>
          <w:bCs/>
          <w:sz w:val="22"/>
        </w:rPr>
        <w:t xml:space="preserve">. </w:t>
      </w:r>
      <w:r w:rsidRPr="00F04690">
        <w:rPr>
          <w:rFonts w:ascii="Times New Roman" w:hAnsi="Times New Roman"/>
          <w:sz w:val="22"/>
        </w:rPr>
        <w:t xml:space="preserve">Several aspects of Jesus's mission are described in the Gospels, with "Savior" being the most characteristic and comprehensive term. This term is expressed in Greek as "soter," "soteria," and "sozein." The Greek "sozein" has two meanings: to deliver and to heal, the latter often used in the context of Jesus's healing miracles. In ancient church thought, influenced by Stoicism, Jesus was seen as a physician of souls. Vos clarifies that "sozein" in the Gospels, while connoting healing, never describes it from a purely medical viewpoint. Instead, the healing acts serve a higher purpose—a transference from death to life—making "sozein" a religious term distinct from its Hellenic usage. For example, Mark 5:23 speaks of saving and thus living. Additionally, no perceptible difference exists between disease removal and demon expulsion, as both belong to the Kingdom's redemptive movement. </w:t>
      </w:r>
    </w:p>
    <w:p w:rsidR="00F04690" w:rsidRPr="00F04690" w:rsidRDefault="00F04690" w:rsidP="00F04690">
      <w:pPr>
        <w:jc w:val="both"/>
      </w:pPr>
      <w:r>
        <w:rPr>
          <w:rFonts w:ascii="Times New Roman" w:hAnsi="Times New Roman"/>
          <w:b/>
          <w:bCs/>
          <w:sz w:val="22"/>
        </w:rPr>
        <w:t xml:space="preserve">Healing and Deliverance in Jesus’s Ministry. </w:t>
      </w:r>
      <w:r w:rsidRPr="00F04690">
        <w:rPr>
          <w:rFonts w:ascii="Times New Roman" w:hAnsi="Times New Roman"/>
          <w:sz w:val="22"/>
        </w:rPr>
        <w:t>In some cases, "sozein" applies where no disease is involved, indicating that the two uses—healing the diseased and deliverance from death—are interconnected in Jesus's mind. This conclusion is supported by translations such as the Septuagint and the Syriac Peshitta, which use "sozein" in the sense of giving life, shown by the Peshitta’s rendering with "achjah" ("to cause to live").</w:t>
      </w:r>
      <w:r>
        <w:rPr>
          <w:rFonts w:ascii="Times New Roman" w:hAnsi="Times New Roman"/>
          <w:b/>
          <w:bCs/>
          <w:sz w:val="22"/>
        </w:rPr>
        <w:t xml:space="preserve"> Spiritual Sense of Salvation. </w:t>
      </w:r>
      <w:r w:rsidRPr="00F04690">
        <w:rPr>
          <w:rFonts w:ascii="Times New Roman" w:hAnsi="Times New Roman"/>
          <w:sz w:val="22"/>
        </w:rPr>
        <w:t xml:space="preserve">In the spiritual sense, "sozein" is illustrated in </w:t>
      </w:r>
      <w:r w:rsidRPr="00F04690">
        <w:rPr>
          <w:rFonts w:ascii="Times New Roman" w:hAnsi="Times New Roman"/>
          <w:sz w:val="22"/>
        </w:rPr>
        <w:lastRenderedPageBreak/>
        <w:t>passages like Matthew 16:25-27/Mark 8:35-38/Luke 9:24-26, where saving one's life is associated with losing or finding it for Jesus's sake. Here, salvation aligns with life. Other passages (e.g., Matthew 10:22; 24:13/Mark 13:13) suggest endurance leads to salvation, escaping judgment to gain eternal life. In John's Gospel, salvation equates to having eternal life, and "sozesthai" (to be saved) is opposed to "apollusthai" (to be lost), with salvation meaning receiving life over falling prey to death.</w:t>
      </w:r>
      <w:r>
        <w:rPr>
          <w:rFonts w:ascii="Times New Roman" w:hAnsi="Times New Roman"/>
          <w:sz w:val="22"/>
        </w:rPr>
        <w:t xml:space="preserve">  </w:t>
      </w:r>
      <w:r>
        <w:rPr>
          <w:rFonts w:ascii="Times New Roman" w:hAnsi="Times New Roman"/>
          <w:b/>
          <w:bCs/>
          <w:sz w:val="22"/>
        </w:rPr>
        <w:t xml:space="preserve">Objective and Subjective Aspects of Life. </w:t>
      </w:r>
      <w:r w:rsidRPr="00F04690">
        <w:rPr>
          <w:rFonts w:ascii="Times New Roman" w:hAnsi="Times New Roman"/>
          <w:sz w:val="22"/>
        </w:rPr>
        <w:t>The Bible presents two aspects of life: the older objective aspect represents the sphere of blessedness under God's favor, while the subjective aspect—the spiritual possession—arises from this objective dimension's spiritualizing. This transition is dominant in John's Gospel. Consequently, being saved involves a negative element (escaping judgment) and a positive one (entering blessedness in the kingdom).</w:t>
      </w:r>
      <w:r w:rsidRPr="00F04690">
        <w:rPr>
          <w:rFonts w:ascii="Times New Roman" w:hAnsi="Times New Roman"/>
          <w:b/>
          <w:bCs/>
          <w:sz w:val="22"/>
        </w:rPr>
        <w:t>Verb and Noun Forms of Salvation.</w:t>
      </w:r>
      <w:r>
        <w:rPr>
          <w:rFonts w:ascii="Times New Roman" w:hAnsi="Times New Roman"/>
          <w:b/>
          <w:bCs/>
          <w:sz w:val="22"/>
        </w:rPr>
        <w:t xml:space="preserve"> </w:t>
      </w:r>
      <w:r w:rsidRPr="00F04690">
        <w:rPr>
          <w:rFonts w:ascii="Times New Roman" w:hAnsi="Times New Roman"/>
          <w:sz w:val="22"/>
        </w:rPr>
        <w:t>The distinction between verb and noun forms of salvation is noteworthy. "Soteria" often expresses a resultant state more concretely than "diasozesthai," which connects with joy from deliverance. In Paul's writings, "soteria" is seen in the past, present, and future for believers, as seen in Romans 5:9 ("we shall be saved").</w:t>
      </w:r>
      <w:r>
        <w:rPr>
          <w:rFonts w:ascii="Times New Roman" w:hAnsi="Times New Roman"/>
          <w:sz w:val="22"/>
        </w:rPr>
        <w:t xml:space="preserve"> </w:t>
      </w:r>
      <w:r>
        <w:rPr>
          <w:rFonts w:ascii="Times New Roman" w:hAnsi="Times New Roman"/>
          <w:b/>
          <w:bCs/>
          <w:sz w:val="22"/>
        </w:rPr>
        <w:t xml:space="preserve">Theory of Pagan Influence and Response. </w:t>
      </w:r>
      <w:r w:rsidRPr="00F04690">
        <w:rPr>
          <w:rFonts w:ascii="Times New Roman" w:hAnsi="Times New Roman"/>
          <w:sz w:val="22"/>
        </w:rPr>
        <w:t>The terms "Soter" and "soteria" were prevalent in pagan circles, especially mystery religions. Vos finds a pagan derivation implausible and unnecessary due to its religious roots in the Old Testament. Harnack suggests a derivation from the cult of the emperor, drawing on verses like Philippians 3:20. Vos acknowledges the term's sudden emergence in pastoral epistles but attributes it to continuity with Old Testament and New Testament usage. Although the Gnostics favored "Soter" over "Kyrios," Vos contends "Soter" marks Jesus as the ultimate Uplifter, incompatible with modernized historical interpretations that diverge from the Gospel depiction.</w:t>
      </w:r>
    </w:p>
    <w:p w:rsidR="001C6AB8" w:rsidRDefault="001C6AB8" w:rsidP="001C6AB8">
      <w:pPr>
        <w:jc w:val="both"/>
        <w:rPr>
          <w:b/>
          <w:bCs/>
        </w:rPr>
      </w:pPr>
    </w:p>
    <w:p w:rsidR="00F04690" w:rsidRPr="00F04690" w:rsidRDefault="001C6AB8" w:rsidP="00F04690">
      <w:pPr>
        <w:ind w:left="720" w:hanging="720"/>
        <w:jc w:val="both"/>
        <w:rPr>
          <w:b/>
          <w:bCs/>
        </w:rPr>
      </w:pPr>
      <w:r w:rsidRPr="001C6AB8">
        <w:rPr>
          <w:rFonts w:ascii="Times New Roman" w:hAnsi="Times New Roman"/>
          <w:b/>
          <w:bCs/>
          <w:sz w:val="22"/>
        </w:rPr>
        <w:t>Chapter XV: The Messianic Death</w:t>
      </w:r>
      <w:r>
        <w:rPr>
          <w:rFonts w:ascii="Times New Roman" w:hAnsi="Times New Roman"/>
          <w:b/>
          <w:bCs/>
          <w:sz w:val="22"/>
        </w:rPr>
        <w:t>.</w:t>
      </w:r>
    </w:p>
    <w:p w:rsidR="00F04690" w:rsidRPr="00F04690" w:rsidRDefault="00F04690" w:rsidP="00F04690">
      <w:pPr>
        <w:jc w:val="both"/>
      </w:pPr>
      <w:r w:rsidRPr="00F04690">
        <w:rPr>
          <w:rFonts w:ascii="Times New Roman" w:hAnsi="Times New Roman"/>
          <w:b/>
          <w:bCs/>
          <w:sz w:val="22"/>
        </w:rPr>
        <w:t>Gospel Presentation of Jesus's Death.</w:t>
      </w:r>
      <w:r>
        <w:rPr>
          <w:rFonts w:ascii="Times New Roman" w:hAnsi="Times New Roman"/>
          <w:sz w:val="22"/>
        </w:rPr>
        <w:t xml:space="preserve"> The Gospels present the death of our Lord as the core and climax of </w:t>
      </w:r>
      <w:r>
        <w:rPr>
          <w:rFonts w:ascii="Times New Roman" w:hAnsi="Times New Roman"/>
          <w:sz w:val="22"/>
        </w:rPr>
        <w:t xml:space="preserve"> H</w:t>
      </w:r>
      <w:r>
        <w:rPr>
          <w:rFonts w:ascii="Times New Roman" w:hAnsi="Times New Roman"/>
          <w:sz w:val="22"/>
        </w:rPr>
        <w:t xml:space="preserve">is earthly life, supported by the chronology documented within them, where His passion serves as a finale, with no further actions or teachings post-mortem. This notion is contested by modernists who question the Gospel writers' reliability. </w:t>
      </w:r>
      <w:r w:rsidRPr="00F04690">
        <w:rPr>
          <w:rFonts w:ascii="Times New Roman" w:hAnsi="Times New Roman"/>
          <w:b/>
          <w:bCs/>
          <w:sz w:val="22"/>
        </w:rPr>
        <w:t xml:space="preserve">Modern Theories and </w:t>
      </w:r>
      <w:r>
        <w:rPr>
          <w:rFonts w:ascii="Times New Roman" w:hAnsi="Times New Roman"/>
          <w:b/>
          <w:bCs/>
          <w:sz w:val="22"/>
        </w:rPr>
        <w:t>the Death of the Messiah</w:t>
      </w:r>
      <w:r w:rsidRPr="00F04690">
        <w:rPr>
          <w:rFonts w:ascii="Times New Roman" w:hAnsi="Times New Roman"/>
          <w:b/>
          <w:bCs/>
          <w:sz w:val="22"/>
        </w:rPr>
        <w:t>.</w:t>
      </w:r>
      <w:r>
        <w:rPr>
          <w:rFonts w:ascii="Times New Roman" w:hAnsi="Times New Roman"/>
          <w:sz w:val="22"/>
        </w:rPr>
        <w:t xml:space="preserve"> A modern theory suggests that Jesus's death was simply that of a martyr, lacking a specific theory of atonement. However, Jesus's consciousness of His Messiahship is inherently tied to His knowledge of His impending death. He viewed the prospect of death through a Messianic lens, making any conception of Messiahship without the aspect of death inconceivable except abstractly. Thus, His death was neither a surprise nor an unwelcome event in His mission.</w:t>
      </w:r>
      <w:r>
        <w:rPr>
          <w:rFonts w:ascii="Times New Roman" w:hAnsi="Times New Roman"/>
          <w:sz w:val="22"/>
        </w:rPr>
        <w:t xml:space="preserve"> </w:t>
      </w:r>
      <w:r w:rsidRPr="00F04690">
        <w:rPr>
          <w:rFonts w:ascii="Times New Roman" w:hAnsi="Times New Roman"/>
          <w:b/>
          <w:bCs/>
          <w:sz w:val="22"/>
        </w:rPr>
        <w:t>Biblical References to Jesus's Death.</w:t>
      </w:r>
      <w:r>
        <w:rPr>
          <w:rFonts w:ascii="Times New Roman" w:hAnsi="Times New Roman"/>
          <w:sz w:val="22"/>
        </w:rPr>
        <w:t xml:space="preserve"> Multiple references to Jesus's death can be found in the Gospels. For example, in passages like Matthew 9:15, Mark 2:20, and Luke 5:35, He refers to the time when the bridegroom is taken away, interpreted by Vos as foretelling His Messianic death. These references arise later in His ministry, specifically after the episode at Caesarea Philippi, because Jesus only began instructing His disciples on Messiahship at this point. Therefore, teachings on His death naturally followed His Messianic teachings to correct any interpretations of Messiahship that excluded His sacrificial death.</w:t>
      </w:r>
      <w:r>
        <w:rPr>
          <w:rFonts w:ascii="Times New Roman" w:hAnsi="Times New Roman"/>
          <w:sz w:val="22"/>
        </w:rPr>
        <w:t xml:space="preserve"> </w:t>
      </w:r>
      <w:r w:rsidRPr="00F04690">
        <w:rPr>
          <w:rFonts w:ascii="Times New Roman" w:hAnsi="Times New Roman"/>
          <w:b/>
          <w:bCs/>
          <w:sz w:val="22"/>
        </w:rPr>
        <w:t>Predictions of Passion and Death.</w:t>
      </w:r>
      <w:r>
        <w:rPr>
          <w:rFonts w:ascii="Times New Roman" w:hAnsi="Times New Roman"/>
          <w:sz w:val="22"/>
        </w:rPr>
        <w:t xml:space="preserve"> Vos asserts that Jesus's conviction of His Messianic calling and an awareness of His impending Messianic death were pre-existing within Him and were revealed only to His disciples. This is evidenced by three notable predictions about His passion and death, found in Matthew 16:21-28, Mark 8:31-9:1, Luke 9:22-27; Matthew 17:22, Mark 9:30-32, Luke 9:43-45; and Matthew 20:17-19, Mark 10:32-34, Luke 18:31-34. In these passages, Jesus emphasizes that His coming death is integral to His Messianic mission, using the term "dei" (it must), denoting the necessity of fulfilling Scripture and an intrinsic soteric purpose. This necessity is not driven by blind fate but by God's rational purpose.</w:t>
      </w:r>
      <w:r>
        <w:rPr>
          <w:rFonts w:ascii="Times New Roman" w:hAnsi="Times New Roman"/>
          <w:sz w:val="22"/>
        </w:rPr>
        <w:t xml:space="preserve"> </w:t>
      </w:r>
      <w:r w:rsidRPr="00F04690">
        <w:rPr>
          <w:rFonts w:ascii="Times New Roman" w:hAnsi="Times New Roman"/>
          <w:b/>
          <w:bCs/>
          <w:sz w:val="22"/>
        </w:rPr>
        <w:t>Jesus's Death as Vicarious Atonement.</w:t>
      </w:r>
      <w:r>
        <w:rPr>
          <w:rFonts w:ascii="Times New Roman" w:hAnsi="Times New Roman"/>
          <w:sz w:val="22"/>
        </w:rPr>
        <w:t xml:space="preserve"> Jesus did not face death as an inescapable consequence or a mere example for others. Instead, He proclaimed giving His life specifically as a ransom for many, indicating vicarious atonement. This was contrasted with the notion of what one might give in exchange for his life, reminiscent of Psalm 49:7-9 and Job 33:23-26, where the abstract idea of a vicarious ransom is noted but seen as impossible concretely—save for the death of Christ. Jesus's teachings allude to Isaiah 53, especially in Mark 10:45: "For even the Son of Man came not to be served but to serve, and to give his life as a ransom for many," aligning with the suffering servant motif of Isaiah.</w:t>
      </w:r>
      <w:r>
        <w:rPr>
          <w:rFonts w:ascii="Times New Roman" w:hAnsi="Times New Roman"/>
          <w:sz w:val="22"/>
        </w:rPr>
        <w:t xml:space="preserve"> </w:t>
      </w:r>
      <w:r w:rsidRPr="00F04690">
        <w:rPr>
          <w:rFonts w:ascii="Times New Roman" w:hAnsi="Times New Roman"/>
          <w:b/>
          <w:bCs/>
          <w:sz w:val="22"/>
        </w:rPr>
        <w:t>Lord's Supper and Sacrificial Context.</w:t>
      </w:r>
      <w:r>
        <w:rPr>
          <w:rFonts w:ascii="Times New Roman" w:hAnsi="Times New Roman"/>
          <w:sz w:val="22"/>
        </w:rPr>
        <w:t xml:space="preserve"> In the Synoptics and Pauline letters, the concept of Jesus's death is integral to the Lord's Supper narrative. This </w:t>
      </w:r>
      <w:r>
        <w:rPr>
          <w:rFonts w:ascii="Times New Roman" w:hAnsi="Times New Roman"/>
          <w:sz w:val="22"/>
        </w:rPr>
        <w:lastRenderedPageBreak/>
        <w:t>narrative presents Jesus giving His flesh and blood, broken and poured out, indicating a sacrificial act. The cup of blessing ties to the Passover tradition, symbolizing vicarious atonement and forming the basis for a new covenant (diatheke), akin to the Old Testament berith, involving feasting and sacrificial inauguration. The Lord's Supper embodies this, with its institution, proclamation, and remembrance of Jesus's death as a testament.</w:t>
      </w:r>
      <w:r>
        <w:rPr>
          <w:rFonts w:ascii="Times New Roman" w:hAnsi="Times New Roman"/>
          <w:sz w:val="22"/>
        </w:rPr>
        <w:t xml:space="preserve"> </w:t>
      </w:r>
      <w:r w:rsidRPr="00F04690">
        <w:rPr>
          <w:rFonts w:ascii="Times New Roman" w:hAnsi="Times New Roman"/>
          <w:b/>
          <w:bCs/>
          <w:sz w:val="22"/>
        </w:rPr>
        <w:t>John's Gospel and the Sacrificial Mission.</w:t>
      </w:r>
      <w:r>
        <w:rPr>
          <w:rFonts w:ascii="Times New Roman" w:hAnsi="Times New Roman"/>
          <w:sz w:val="22"/>
        </w:rPr>
        <w:t xml:space="preserve"> While the vicarious atonement is less explicit in John's Gospel, it is evident in passages where Jesus voluntarily lays down His life for friends (John 15:13; 10:18). Additionally, the Gospel features a priestly perspective, particularly in the High Priestly prayer of John 17, underscoring the theological depth of His sacrificial mission.</w:t>
      </w:r>
    </w:p>
    <w:sectPr w:rsidR="00F04690" w:rsidRPr="00F04690">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VosG</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The Self-Disclosure of Jesus</w:t>
      <w:tab/>
      <w:t>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5314FBD"/>
    <w:multiLevelType w:val="hybridMultilevel"/>
    <w:tmpl w:val="1592EACA"/>
    <w:lvl w:ilvl="0" w:tplc="F7A4D5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6235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493"/>
    <w:rsid w:val="001C6AB8"/>
    <w:rsid w:val="00493DE9"/>
    <w:rsid w:val="005064DC"/>
    <w:rsid w:val="006F381A"/>
    <w:rsid w:val="00A13E71"/>
    <w:rsid w:val="00A57F40"/>
    <w:rsid w:val="00AA008D"/>
    <w:rsid w:val="00D72493"/>
    <w:rsid w:val="00E3105D"/>
    <w:rsid w:val="00E77E18"/>
    <w:rsid w:val="00F04690"/>
    <w:rsid w:val="00F4672E"/>
    <w:rsid w:val="00F54460"/>
    <w:rsid w:val="00F90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E585CB"/>
  <w15:chartTrackingRefBased/>
  <w15:docId w15:val="{D3933E51-385B-4F4B-9EC8-DC8A49790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7E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8</Pages>
  <Words>5199</Words>
  <Characters>29639</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4</cp:revision>
  <dcterms:created xsi:type="dcterms:W3CDTF">2024-10-15T14:41:00Z</dcterms:created>
  <dcterms:modified xsi:type="dcterms:W3CDTF">2024-10-16T15:13:00Z</dcterms:modified>
</cp:coreProperties>
</file>