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16. Decision Log</w:t>
      </w:r>
    </w:p>
    <w:p>
      <w:r>
        <w:t>남포 GoGo 주요 의사결정 기록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Decision ID</w:t>
            </w:r>
          </w:p>
        </w:tc>
        <w:tc>
          <w:tcPr>
            <w:tcW w:type="dxa" w:w="2160"/>
          </w:tcPr>
          <w:p>
            <w:r>
              <w:t>결정 내용</w:t>
            </w:r>
          </w:p>
        </w:tc>
        <w:tc>
          <w:tcPr>
            <w:tcW w:type="dxa" w:w="2160"/>
          </w:tcPr>
          <w:p>
            <w:r>
              <w:t>결정 이유</w:t>
            </w:r>
          </w:p>
        </w:tc>
        <w:tc>
          <w:tcPr>
            <w:tcW w:type="dxa" w:w="2160"/>
          </w:tcPr>
          <w:p>
            <w:r>
              <w:t>재검토 조건</w:t>
            </w:r>
          </w:p>
        </w:tc>
      </w:tr>
      <w:tr>
        <w:tc>
          <w:tcPr>
            <w:tcW w:type="dxa" w:w="2160"/>
          </w:tcPr>
          <w:p>
            <w:r>
              <w:t>DEC-001</w:t>
            </w:r>
          </w:p>
        </w:tc>
        <w:tc>
          <w:tcPr>
            <w:tcW w:type="dxa" w:w="2160"/>
          </w:tcPr>
          <w:p>
            <w:r>
              <w:t>사장님은 직원 권한 포함</w:t>
            </w:r>
          </w:p>
        </w:tc>
        <w:tc>
          <w:tcPr>
            <w:tcW w:type="dxa" w:w="2160"/>
          </w:tcPr>
          <w:p>
            <w:r>
              <w:t>소규모 자영업 운영 특성</w:t>
            </w:r>
          </w:p>
        </w:tc>
        <w:tc>
          <w:tcPr>
            <w:tcW w:type="dxa" w:w="2160"/>
          </w:tcPr>
          <w:p>
            <w:r>
              <w:t>운영 구조 변경 시</w:t>
            </w:r>
          </w:p>
        </w:tc>
      </w:tr>
      <w:tr>
        <w:tc>
          <w:tcPr>
            <w:tcW w:type="dxa" w:w="2160"/>
          </w:tcPr>
          <w:p>
            <w:r>
              <w:t>DEC-002</w:t>
            </w:r>
          </w:p>
        </w:tc>
        <w:tc>
          <w:tcPr>
            <w:tcW w:type="dxa" w:w="2160"/>
          </w:tcPr>
          <w:p>
            <w:r>
              <w:t>직원 권한 최소화</w:t>
            </w:r>
          </w:p>
        </w:tc>
        <w:tc>
          <w:tcPr>
            <w:tcW w:type="dxa" w:w="2160"/>
          </w:tcPr>
          <w:p>
            <w:r>
              <w:t>현장 업무 집중</w:t>
            </w:r>
          </w:p>
        </w:tc>
        <w:tc>
          <w:tcPr>
            <w:tcW w:type="dxa" w:w="2160"/>
          </w:tcPr>
          <w:p>
            <w:r>
              <w:t>직원 역할 확대 시</w:t>
            </w:r>
          </w:p>
        </w:tc>
      </w:tr>
      <w:tr>
        <w:tc>
          <w:tcPr>
            <w:tcW w:type="dxa" w:w="2160"/>
          </w:tcPr>
          <w:p>
            <w:r>
              <w:t>DEC-003</w:t>
            </w:r>
          </w:p>
        </w:tc>
        <w:tc>
          <w:tcPr>
            <w:tcW w:type="dxa" w:w="2160"/>
          </w:tcPr>
          <w:p>
            <w:r>
              <w:t>미션 최대 2개 동시 진행</w:t>
            </w:r>
          </w:p>
        </w:tc>
        <w:tc>
          <w:tcPr>
            <w:tcW w:type="dxa" w:w="2160"/>
          </w:tcPr>
          <w:p>
            <w:r>
              <w:t>운영 복잡도 최소화</w:t>
            </w:r>
          </w:p>
        </w:tc>
        <w:tc>
          <w:tcPr>
            <w:tcW w:type="dxa" w:w="2160"/>
          </w:tcPr>
          <w:p>
            <w:r>
              <w:t>정책 변경 시</w:t>
            </w:r>
          </w:p>
        </w:tc>
      </w:tr>
      <w:tr>
        <w:tc>
          <w:tcPr>
            <w:tcW w:type="dxa" w:w="2160"/>
          </w:tcPr>
          <w:p>
            <w:r>
              <w:t>DEC-004</w:t>
            </w:r>
          </w:p>
        </w:tc>
        <w:tc>
          <w:tcPr>
            <w:tcW w:type="dxa" w:w="2160"/>
          </w:tcPr>
          <w:p>
            <w:r>
              <w:t>업종 변경 시 재승인</w:t>
            </w:r>
          </w:p>
        </w:tc>
        <w:tc>
          <w:tcPr>
            <w:tcW w:type="dxa" w:w="2160"/>
          </w:tcPr>
          <w:p>
            <w:r>
              <w:t>신뢰성 유지</w:t>
            </w:r>
          </w:p>
        </w:tc>
        <w:tc>
          <w:tcPr>
            <w:tcW w:type="dxa" w:w="2160"/>
          </w:tcPr>
          <w:p>
            <w:r>
              <w:t>관리 정책 변경 시</w:t>
            </w:r>
          </w:p>
        </w:tc>
      </w:tr>
      <w:tr>
        <w:tc>
          <w:tcPr>
            <w:tcW w:type="dxa" w:w="2160"/>
          </w:tcPr>
          <w:p>
            <w:r>
              <w:t>DEC-005</w:t>
            </w:r>
          </w:p>
        </w:tc>
        <w:tc>
          <w:tcPr>
            <w:tcW w:type="dxa" w:w="2160"/>
          </w:tcPr>
          <w:p>
            <w:r>
              <w:t>등급별 쿠폰 정책</w:t>
            </w:r>
          </w:p>
        </w:tc>
        <w:tc>
          <w:tcPr>
            <w:tcW w:type="dxa" w:w="2160"/>
          </w:tcPr>
          <w:p>
            <w:r>
              <w:t>운영 유연성 확보</w:t>
            </w:r>
          </w:p>
        </w:tc>
        <w:tc>
          <w:tcPr>
            <w:tcW w:type="dxa" w:w="2160"/>
          </w:tcPr>
          <w:p>
            <w:r>
              <w:t>정책 개편 시</w:t>
            </w:r>
          </w:p>
        </w:tc>
      </w:tr>
      <w:tr>
        <w:tc>
          <w:tcPr>
            <w:tcW w:type="dxa" w:w="2160"/>
          </w:tcPr>
          <w:p>
            <w:r>
              <w:t>DEC-006</w:t>
            </w:r>
          </w:p>
        </w:tc>
        <w:tc>
          <w:tcPr>
            <w:tcW w:type="dxa" w:w="2160"/>
          </w:tcPr>
          <w:p>
            <w:r>
              <w:t>MVP와 Expansion 분리</w:t>
            </w:r>
          </w:p>
        </w:tc>
        <w:tc>
          <w:tcPr>
            <w:tcW w:type="dxa" w:w="2160"/>
          </w:tcPr>
          <w:p>
            <w:r>
              <w:t>핵심 개발 안정화</w:t>
            </w:r>
          </w:p>
        </w:tc>
        <w:tc>
          <w:tcPr>
            <w:tcW w:type="dxa" w:w="2160"/>
          </w:tcPr>
          <w:p>
            <w:r>
              <w:t>정식 서비스 확장 시</w:t>
            </w:r>
          </w:p>
        </w:tc>
      </w:tr>
      <w:tr>
        <w:tc>
          <w:tcPr>
            <w:tcW w:type="dxa" w:w="2160"/>
          </w:tcPr>
          <w:p>
            <w:r>
              <w:t>DEC-007</w:t>
            </w:r>
          </w:p>
        </w:tc>
        <w:tc>
          <w:tcPr>
            <w:tcW w:type="dxa" w:w="2160"/>
          </w:tcPr>
          <w:p>
            <w:r>
              <w:t>기억보다 기록</w:t>
            </w:r>
          </w:p>
        </w:tc>
        <w:tc>
          <w:tcPr>
            <w:tcW w:type="dxa" w:w="2160"/>
          </w:tcPr>
          <w:p>
            <w:r>
              <w:t>프로젝트 지식 보존</w:t>
            </w:r>
          </w:p>
        </w:tc>
        <w:tc>
          <w:tcPr>
            <w:tcW w:type="dxa" w:w="2160"/>
          </w:tcPr>
          <w:p>
            <w:r>
              <w:t>상시 유지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