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36"/>
          <w:szCs w:val="36"/>
        </w:rPr>
        <w:t xml:space="preserve">GRC Micro-Assessment</w:t>
      </w:r>
    </w:p>
    <w:p>
      <w:pPr>
        <w:spacing w:before="0" w:after="60"/>
      </w:pPr>
      <w:r>
        <w:rPr>
          <w:rFonts w:ascii="Arial" w:cs="Arial" w:eastAsia="Arial" w:hAnsi="Arial"/>
          <w:color w:val="2E5FA3"/>
          <w:sz w:val="26"/>
          <w:szCs w:val="26"/>
        </w:rPr>
        <w:t xml:space="preserve">02 — NIST 800-53 Control Assessment</w:t>
      </w:r>
    </w:p>
    <w:p>
      <w:pPr>
        <w:pBdr>
          <w:bottom w:val="single" w:color="1F3864" w:sz="6" w:space="1"/>
        </w:pBdr>
        <w:spacing w:before="0" w:after="320"/>
      </w:pPr>
      <w:r>
        <w:rPr>
          <w:rFonts w:ascii="Arial" w:cs="Arial" w:eastAsia="Arial" w:hAnsi="Arial"/>
          <w:color w:val="666666"/>
          <w:sz w:val="18"/>
          <w:szCs w:val="18"/>
        </w:rPr>
        <w:t xml:space="preserve">Assessor: Kenneth Lowry   |   Date: February 2026   |   Framework: NIST SP 800-53 Rev 5   |   Version: 1.1</w:t>
      </w:r>
    </w:p>
    <w:p>
      <w:pPr>
        <w:pStyle w:val="Heading1"/>
        <w:spacing w:before="320" w:after="160"/>
      </w:pPr>
      <w:r>
        <w:rPr>
          <w:rFonts w:ascii="Arial" w:cs="Arial" w:eastAsia="Arial" w:hAnsi="Arial"/>
          <w:b/>
          <w:bCs/>
          <w:color w:val="1F3864"/>
          <w:sz w:val="28"/>
          <w:szCs w:val="28"/>
        </w:rPr>
        <w:t xml:space="preserve">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Name</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r>
      <w:tr>
        <w:tc>
          <w:tcPr>
            <w:tcW w:type="dxa" w:w="14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SC-7</w:t>
            </w:r>
          </w:p>
        </w:tc>
        <w:tc>
          <w:tcPr>
            <w:tcW w:type="dxa" w:w="5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Boundary Protection (Firewall)</w:t>
            </w:r>
          </w:p>
        </w:tc>
        <w:tc>
          <w:tcPr>
            <w:tcW w:type="dxa" w:w="29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b/>
                <w:bCs/>
                <w:color w:val="1A7A1A"/>
                <w:sz w:val="18"/>
                <w:szCs w:val="18"/>
              </w:rPr>
              <w:t xml:space="preserve">✅ Closed — Remediated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SI-2</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Flaw Remediation (Patch Management)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6600"/>
                <w:sz w:val="18"/>
                <w:szCs w:val="18"/>
              </w:rPr>
              <w:t xml:space="preserve">⚠️ Partial</w:t>
            </w:r>
          </w:p>
        </w:tc>
      </w:tr>
      <w:tr>
        <w:tc>
          <w:tcPr>
            <w:tcW w:type="dxa" w:w="14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AC-2</w:t>
            </w:r>
          </w:p>
        </w:tc>
        <w:tc>
          <w:tcPr>
            <w:tcW w:type="dxa" w:w="5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Account Management</w:t>
            </w:r>
          </w:p>
        </w:tc>
        <w:tc>
          <w:tcPr>
            <w:tcW w:type="dxa" w:w="29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b/>
                <w:bCs/>
                <w:color w:val="1A7A1A"/>
                <w:sz w:val="18"/>
                <w:szCs w:val="18"/>
              </w:rPr>
              <w:t xml:space="preserve">✅ Pass with Observations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AC-6</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Least Privilege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6600"/>
                <w:sz w:val="18"/>
                <w:szCs w:val="18"/>
              </w:rPr>
              <w:t xml:space="preserve">⚠️ Partial</w:t>
            </w:r>
          </w:p>
        </w:tc>
      </w:tr>
      <w:tr>
        <w:tc>
          <w:tcPr>
            <w:tcW w:type="dxa" w:w="14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AU-2 / AU-6</w:t>
            </w:r>
          </w:p>
        </w:tc>
        <w:tc>
          <w:tcPr>
            <w:tcW w:type="dxa" w:w="5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Audit Logging and Review</w:t>
            </w:r>
          </w:p>
        </w:tc>
        <w:tc>
          <w:tcPr>
            <w:tcW w:type="dxa" w:w="29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b/>
                <w:bCs/>
                <w:color w:val="1A7A1A"/>
                <w:sz w:val="18"/>
                <w:szCs w:val="18"/>
              </w:rPr>
              <w:t xml:space="preserve">✅ Pass with Observations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CP-9</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Information System Backup</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0000"/>
                <w:sz w:val="18"/>
                <w:szCs w:val="18"/>
              </w:rPr>
              <w:t xml:space="preserve">❌ Fail</w:t>
            </w:r>
          </w:p>
        </w:tc>
      </w:tr>
    </w:tbl>
    <w:p>
      <w:pPr>
        <w:spacing w:before="80" w:after="80"/>
      </w:pPr>
    </w:p>
    <w:p>
      <w:pPr>
        <w:pStyle w:val="Heading1"/>
        <w:spacing w:before="320" w:after="160"/>
      </w:pPr>
      <w:r>
        <w:rPr>
          <w:rFonts w:ascii="Arial" w:cs="Arial" w:eastAsia="Arial" w:hAnsi="Arial"/>
          <w:b/>
          <w:bCs/>
          <w:color w:val="1F3864"/>
          <w:sz w:val="28"/>
          <w:szCs w:val="28"/>
        </w:rPr>
        <w:t xml:space="preserve">SC-7 — Boundary Protection (Host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SC-7</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Boundary Protection</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7A1A"/>
                <w:sz w:val="20"/>
                <w:szCs w:val="20"/>
              </w:rPr>
              <w:t xml:space="preserve">✅ Closed — Remediated</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evidence/ufw-status.txt (pre-remediation), evidence/ufw-status-enabled.txt (post-remediation), evidence/listening-ports.txt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Initial evidence confirmed UFW was inactive at the time of initial review — no host-based firewall policy was enforced. This represented a gap in endpoint defense-in-depth, as inbound connections were unrestricted at the host layer, relying solely on the ISP-managed perimeter NAT.
Following identification, UFW was enabled with a default deny-inbound, allow-outbound policy. Post-remediation evidence confirms: Status: Active | Default: deny (incoming), allow (outgoing) | Logging: On (low).
Review of listening-ports.txt confirms no externally exposed services. All active listeners (DNS resolver, CUPS) are bound to localhost (127.0.0.x) only, consistent with the UFW baseline.</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Maintain the UFW deny-inbound baseline as a permanent configuration. Verify UFW status is preserved across reboots. Consider enabling logging at medium level and incorporating firewall status verification into the routine log review process.</w:t>
            </w:r>
          </w:p>
        </w:tc>
      </w:tr>
    </w:tbl>
    <w:p>
      <w:pPr>
        <w:spacing w:before="80" w:after="80"/>
      </w:pPr>
    </w:p>
    <w:p>
      <w:pPr>
        <w:pStyle w:val="Heading1"/>
        <w:spacing w:before="320" w:after="160"/>
      </w:pPr>
      <w:r>
        <w:rPr>
          <w:rFonts w:ascii="Arial" w:cs="Arial" w:eastAsia="Arial" w:hAnsi="Arial"/>
          <w:b/>
          <w:bCs/>
          <w:color w:val="1F3864"/>
          <w:sz w:val="28"/>
          <w:szCs w:val="28"/>
        </w:rPr>
        <w:t xml:space="preserve">SI-2 — Flaw Remediation (Patch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SI-2</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Flaw Remediation</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6600"/>
                <w:sz w:val="20"/>
                <w:szCs w:val="20"/>
              </w:rPr>
              <w:t xml:space="preserve">⚠️ Partial</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evidence/journal-warnings-7d.txt (apt activity observed), evidence/os-release.txt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The system is running Ubuntu 24.04.3 LTS, a current Long Term Support release with an active security patch pipeline. Evidence from the system journal confirms apt package management activity — 20 packages were updated including gdm3, linux-firmware, network-manager, snapd, and google-chrome-stable, indicating patching is occurring.
However, a formal patch cadence has not been documented, and no saved apt logs were retained as evidence of completion. Without a defined schedule and retained evidence, patch compliance cannot be consistently verified or demonstrated to an auditor. Patching is reactive rather than routine.</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Establish a documented weekly patch cadence. After each patch cycle, save the output of apt update and apt list --upgradable to dated log files. Retain these as evidence. Prioritize packages flagged as security updates and reboot when kernel or system-level packages are updated.</w:t>
            </w:r>
          </w:p>
        </w:tc>
      </w:tr>
    </w:tbl>
    <w:p>
      <w:pPr>
        <w:spacing w:before="80" w:after="80"/>
      </w:pPr>
    </w:p>
    <w:p>
      <w:pPr>
        <w:pStyle w:val="Heading1"/>
        <w:spacing w:before="320" w:after="160"/>
      </w:pPr>
      <w:r>
        <w:rPr>
          <w:rFonts w:ascii="Arial" w:cs="Arial" w:eastAsia="Arial" w:hAnsi="Arial"/>
          <w:b/>
          <w:bCs/>
          <w:color w:val="1F3864"/>
          <w:sz w:val="28"/>
          <w:szCs w:val="28"/>
        </w:rPr>
        <w:t xml:space="preserve">AC-2 —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AC-2</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Account Management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7A1A"/>
                <w:sz w:val="20"/>
                <w:szCs w:val="20"/>
              </w:rPr>
              <w:t xml:space="preserve">✅ Pass with Observations</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evidence/local-users.txt, evidence/last-logins.txt, evidence/current-user-id.txt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Review of local-users.txt confirms the system contains one interactive user account (klowry86) alongside standard Ubuntu system and service accounts. All service accounts are consistent with a default Ubuntu 24.04 installation and do not represent unauthorized additions.
Login history shows activity exclusively from user klowry86 via tty2 with no remote login sessions. The wtmp log begins December 27, 2025, and the most recent session is January 11, 2026 — no anomalous concurrent logins were observed.
Observation: No formal account review process or schedule exists. On a single-user workstation this is low risk, but establishing a periodic review habit supports good GRC hygiene and translates directly to enterprise practice.</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Document a quarterly account review. Verify that system service accounts have not been modified or assigned interactive shells. Retain output of account review as dated evidence.</w:t>
            </w:r>
          </w:p>
        </w:tc>
      </w:tr>
    </w:tbl>
    <w:p>
      <w:pPr>
        <w:spacing w:before="80" w:after="80"/>
      </w:pPr>
    </w:p>
    <w:p>
      <w:pPr>
        <w:pStyle w:val="Heading1"/>
        <w:spacing w:before="320" w:after="160"/>
      </w:pPr>
      <w:r>
        <w:rPr>
          <w:rFonts w:ascii="Arial" w:cs="Arial" w:eastAsia="Arial" w:hAnsi="Arial"/>
          <w:b/>
          <w:bCs/>
          <w:color w:val="1F3864"/>
          <w:sz w:val="28"/>
          <w:szCs w:val="28"/>
        </w:rPr>
        <w:t xml:space="preserve">AC-6 —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AC-6</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Least Privilege</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6600"/>
                <w:sz w:val="20"/>
                <w:szCs w:val="20"/>
              </w:rPr>
              <w:t xml:space="preserve">⚠️ Partial</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evidence/sudo-group.txt, evidence/current-user-id.txt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Review of sudo-group.txt confirms only one account (klowry86) holds sudo membership — appropriate for a single-user workstation. Sudo access is not over-provisioned at the account level.
However, review of current-user-id.txt reveals user klowry86 holds membership in the wireshark group in addition to standard groups (adm, cdrom, sudo, dip, plugdev, users, lpadmin). Membership in the wireshark group grants the ability to perform full packet captures without elevated privileges. While this may be a deliberate configuration used for network analysis and coursework, it represents a privilege beyond standard user needs and should be explicitly documented as an accepted, justified exception rather than an unreviewed configuration.</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Document the wireshark group membership as a deliberate and justified configuration exception with a stated purpose. If packet capture capability is not actively required, remove membership with: sudo gpasswd -d klowry86 wireshark. Conduct and document a quarterly review of all non-standard group memberships.</w:t>
            </w:r>
          </w:p>
        </w:tc>
      </w:tr>
    </w:tbl>
    <w:p>
      <w:pPr>
        <w:spacing w:before="80" w:after="80"/>
      </w:pPr>
    </w:p>
    <w:p>
      <w:pPr>
        <w:pStyle w:val="Heading1"/>
        <w:spacing w:before="320" w:after="160"/>
      </w:pPr>
      <w:r>
        <w:rPr>
          <w:rFonts w:ascii="Arial" w:cs="Arial" w:eastAsia="Arial" w:hAnsi="Arial"/>
          <w:b/>
          <w:bCs/>
          <w:color w:val="1F3864"/>
          <w:sz w:val="28"/>
          <w:szCs w:val="28"/>
        </w:rPr>
        <w:t xml:space="preserve">AU-2 / AU-6 — Audit Logging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AU-2 / AU-6</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Audit Logging and Review</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7A1A"/>
                <w:sz w:val="20"/>
                <w:szCs w:val="20"/>
              </w:rPr>
              <w:t xml:space="preserve">✅ Pass with Observations</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evidence/journal-usage.txt, evidence/journal-warnings-7d.txt</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System logging is enabled via systemd-journald and operational. A 7-day review of warning-level log entries was conducted.
Key findings from log review:
• Netplan config file (/etc/netplan/01-network-manager-all.yaml) permissions too open — REQUIRES REMEDIATION
• dbus-daemon: Unknown group 'power' — informational, legacy config reference
• Bluetooth hci0: LE Coded PHY unsupported — informational, hardware capability mismatch
• kauditd: callbacks suppressed — audit event volume may exceed buffer; review audit rules
• ModemManager, thermald, snapd warnings — informational, no security impact
No critical security failures, unauthorized access attempts, or indicators of compromise were identified during the review period.</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Remediate the netplan configuration file permissions: sudo chmod 600 /etc/netplan/01-network-manager-all.yaml. Verify the warning no longer appears after the change. Establish a documented weekly log review routine and retain log excerpts as dated evidence files.</w:t>
            </w:r>
          </w:p>
        </w:tc>
      </w:tr>
    </w:tbl>
    <w:p>
      <w:pPr>
        <w:spacing w:before="80" w:after="80"/>
      </w:pPr>
    </w:p>
    <w:p>
      <w:pPr>
        <w:pStyle w:val="Heading1"/>
        <w:spacing w:before="320" w:after="160"/>
      </w:pPr>
      <w:r>
        <w:rPr>
          <w:rFonts w:ascii="Arial" w:cs="Arial" w:eastAsia="Arial" w:hAnsi="Arial"/>
          <w:b/>
          <w:bCs/>
          <w:color w:val="1F3864"/>
          <w:sz w:val="28"/>
          <w:szCs w:val="28"/>
        </w:rPr>
        <w:t xml:space="preserve">CP-9 — Information System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ID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CP-9</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Control Name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Information System Backup</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CC0000"/>
                <w:sz w:val="20"/>
                <w:szCs w:val="20"/>
              </w:rPr>
              <w:t xml:space="preserve">❌ Fail</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Evidence</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No backup evidence collected.</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No backup process, schedule, or restore test evidence was identified during the assessment. The system processes Sensitive data (PII, credentials) and Internal data (coursework, GRC project files, professional development materials). Without a functioning backup, any hardware failure, ransomware event, accidental deletion, or system corruption would result in permanent data loss with no recovery path.
This represents the highest-impact gap identified in this assessment. A backup failure does not directly enable an attack, but it eliminates the ability to recover from one — a critical availability and integrity control failure.</w:t>
            </w:r>
          </w:p>
        </w:tc>
      </w:tr>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tcPr>
          <w:p>
            <w:r>
              <w:rPr>
                <w:rFonts w:ascii="Arial" w:cs="Arial" w:eastAsia="Arial" w:hAnsi="Arial"/>
                <w:sz w:val="18"/>
                <w:szCs w:val="18"/>
              </w:rPr>
              <w:t xml:space="preserve">Implement a weekly automated backup using Deja Dup (built into Ubuntu) or rsync to an external drive or cloud destination. After each backup, retain a dated log file as evidence. Conduct a monthly restore test — restore at least one file from backup to verify recoverability — and document the test result with evidence.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2026-02-20T14:53:13.302Z</dcterms:created>
  <dcterms:modified xsi:type="dcterms:W3CDTF">2026-02-20T14:53:13.302Z</dcterms:modified>
</cp:coreProperties>
</file>

<file path=docProps/custom.xml><?xml version="1.0" encoding="utf-8"?>
<Properties xmlns="http://schemas.openxmlformats.org/officeDocument/2006/custom-properties" xmlns:vt="http://schemas.openxmlformats.org/officeDocument/2006/docPropsVTypes"/>
</file>