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kloyya-privacy-policy"/>
    <w:p>
      <w:pPr>
        <w:pStyle w:val="Heading1"/>
      </w:pPr>
      <w:r>
        <w:t xml:space="preserve">Kloyya Privacy Policy</w:t>
      </w:r>
    </w:p>
    <w:p>
      <w:pPr>
        <w:pStyle w:val="FirstParagraph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September 2, 2026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September 2, 2026</w:t>
      </w:r>
    </w:p>
    <w:p>
      <w:pPr>
        <w:pStyle w:val="BodyText"/>
      </w:pPr>
      <w:r>
        <w:t xml:space="preserve">Kloyya respects your privacy.</w:t>
      </w:r>
    </w:p>
    <w:p>
      <w:pPr>
        <w:pStyle w:val="BodyText"/>
      </w:pPr>
      <w:r>
        <w:t xml:space="preserve">This Privacy Policy explains how Kloyya collects, uses, stores, protects, and shares information when you use our websites, applications, APIs, and services.</w:t>
      </w:r>
    </w:p>
    <w:bookmarkStart w:id="14" w:name="information-we-collect"/>
    <w:p>
      <w:pPr>
        <w:pStyle w:val="Heading2"/>
      </w:pPr>
      <w:r>
        <w:t xml:space="preserve">1. Information We Collect</w:t>
      </w:r>
    </w:p>
    <w:p>
      <w:pPr>
        <w:pStyle w:val="FirstParagraph"/>
      </w:pPr>
      <w:r>
        <w:t xml:space="preserve">Depending on how you use Kloyya, we may collect:</w:t>
      </w:r>
    </w:p>
    <w:bookmarkStart w:id="9" w:name="account-information"/>
    <w:p>
      <w:pPr>
        <w:pStyle w:val="Heading3"/>
      </w:pPr>
      <w:r>
        <w:t xml:space="preserve">Account Information</w:t>
      </w:r>
    </w:p>
    <w:p>
      <w:pPr>
        <w:pStyle w:val="Compact"/>
        <w:numPr>
          <w:ilvl w:val="0"/>
          <w:numId w:val="1001"/>
        </w:numPr>
      </w:pPr>
      <w:r>
        <w:t xml:space="preserve">name;</w:t>
      </w:r>
    </w:p>
    <w:p>
      <w:pPr>
        <w:pStyle w:val="Compact"/>
        <w:numPr>
          <w:ilvl w:val="0"/>
          <w:numId w:val="1001"/>
        </w:numPr>
      </w:pPr>
      <w:r>
        <w:t xml:space="preserve">email address;</w:t>
      </w:r>
    </w:p>
    <w:p>
      <w:pPr>
        <w:pStyle w:val="Compact"/>
        <w:numPr>
          <w:ilvl w:val="0"/>
          <w:numId w:val="1001"/>
        </w:numPr>
      </w:pPr>
      <w:r>
        <w:t xml:space="preserve">password or authentication information;</w:t>
      </w:r>
    </w:p>
    <w:p>
      <w:pPr>
        <w:pStyle w:val="Compact"/>
        <w:numPr>
          <w:ilvl w:val="0"/>
          <w:numId w:val="1001"/>
        </w:numPr>
      </w:pPr>
      <w:r>
        <w:t xml:space="preserve">organization information;</w:t>
      </w:r>
    </w:p>
    <w:p>
      <w:pPr>
        <w:pStyle w:val="Compact"/>
        <w:numPr>
          <w:ilvl w:val="0"/>
          <w:numId w:val="1001"/>
        </w:numPr>
      </w:pPr>
      <w:r>
        <w:t xml:space="preserve">account preferences;</w:t>
      </w:r>
    </w:p>
    <w:p>
      <w:pPr>
        <w:pStyle w:val="Compact"/>
        <w:numPr>
          <w:ilvl w:val="0"/>
          <w:numId w:val="1001"/>
        </w:numPr>
      </w:pPr>
      <w:r>
        <w:t xml:space="preserve">subscription information.</w:t>
      </w:r>
    </w:p>
    <w:bookmarkEnd w:id="9"/>
    <w:bookmarkStart w:id="10" w:name="connected-service-information"/>
    <w:p>
      <w:pPr>
        <w:pStyle w:val="Heading3"/>
      </w:pPr>
      <w:r>
        <w:t xml:space="preserve">Connected Service Information</w:t>
      </w:r>
    </w:p>
    <w:p>
      <w:pPr>
        <w:pStyle w:val="FirstParagraph"/>
      </w:pPr>
      <w:r>
        <w:t xml:space="preserve">If you choose to connect a third-party service, we may process information available through the permissions you grant, such as:</w:t>
      </w:r>
    </w:p>
    <w:p>
      <w:pPr>
        <w:pStyle w:val="Compact"/>
        <w:numPr>
          <w:ilvl w:val="0"/>
          <w:numId w:val="1002"/>
        </w:numPr>
      </w:pPr>
      <w:r>
        <w:t xml:space="preserve">emails;</w:t>
      </w:r>
    </w:p>
    <w:p>
      <w:pPr>
        <w:pStyle w:val="Compact"/>
        <w:numPr>
          <w:ilvl w:val="0"/>
          <w:numId w:val="1002"/>
        </w:numPr>
      </w:pPr>
      <w:r>
        <w:t xml:space="preserve">calendar information;</w:t>
      </w:r>
    </w:p>
    <w:p>
      <w:pPr>
        <w:pStyle w:val="Compact"/>
        <w:numPr>
          <w:ilvl w:val="0"/>
          <w:numId w:val="1002"/>
        </w:numPr>
      </w:pPr>
      <w:r>
        <w:t xml:space="preserve">files;</w:t>
      </w:r>
    </w:p>
    <w:p>
      <w:pPr>
        <w:pStyle w:val="Compact"/>
        <w:numPr>
          <w:ilvl w:val="0"/>
          <w:numId w:val="1002"/>
        </w:numPr>
      </w:pPr>
      <w:r>
        <w:t xml:space="preserve">documents;</w:t>
      </w:r>
    </w:p>
    <w:p>
      <w:pPr>
        <w:pStyle w:val="Compact"/>
        <w:numPr>
          <w:ilvl w:val="0"/>
          <w:numId w:val="1002"/>
        </w:numPr>
      </w:pPr>
      <w:r>
        <w:t xml:space="preserve">contacts;</w:t>
      </w:r>
    </w:p>
    <w:p>
      <w:pPr>
        <w:pStyle w:val="Compact"/>
        <w:numPr>
          <w:ilvl w:val="0"/>
          <w:numId w:val="1002"/>
        </w:numPr>
      </w:pPr>
      <w:r>
        <w:t xml:space="preserve">tasks;</w:t>
      </w:r>
    </w:p>
    <w:p>
      <w:pPr>
        <w:pStyle w:val="Compact"/>
        <w:numPr>
          <w:ilvl w:val="0"/>
          <w:numId w:val="1002"/>
        </w:numPr>
      </w:pPr>
      <w:r>
        <w:t xml:space="preserve">messages;</w:t>
      </w:r>
    </w:p>
    <w:p>
      <w:pPr>
        <w:pStyle w:val="Compact"/>
        <w:numPr>
          <w:ilvl w:val="0"/>
          <w:numId w:val="1002"/>
        </w:numPr>
      </w:pPr>
      <w:r>
        <w:t xml:space="preserve">metadata;</w:t>
      </w:r>
    </w:p>
    <w:p>
      <w:pPr>
        <w:pStyle w:val="Compact"/>
        <w:numPr>
          <w:ilvl w:val="0"/>
          <w:numId w:val="1002"/>
        </w:numPr>
      </w:pPr>
      <w:r>
        <w:t xml:space="preserve">account identifiers.</w:t>
      </w:r>
    </w:p>
    <w:p>
      <w:pPr>
        <w:pStyle w:val="FirstParagraph"/>
      </w:pPr>
      <w:r>
        <w:t xml:space="preserve">We only access connected services according to the permissions and configurations you authorize.</w:t>
      </w:r>
    </w:p>
    <w:bookmarkEnd w:id="10"/>
    <w:bookmarkStart w:id="11" w:name="content-you-provide"/>
    <w:p>
      <w:pPr>
        <w:pStyle w:val="Heading3"/>
      </w:pPr>
      <w:r>
        <w:t xml:space="preserve">Content You Provide</w:t>
      </w:r>
    </w:p>
    <w:p>
      <w:pPr>
        <w:pStyle w:val="FirstParagraph"/>
      </w:pPr>
      <w:r>
        <w:t xml:space="preserve">This may include:</w:t>
      </w:r>
    </w:p>
    <w:p>
      <w:pPr>
        <w:pStyle w:val="Compact"/>
        <w:numPr>
          <w:ilvl w:val="0"/>
          <w:numId w:val="1003"/>
        </w:numPr>
      </w:pPr>
      <w:r>
        <w:t xml:space="preserve">prompts;</w:t>
      </w:r>
    </w:p>
    <w:p>
      <w:pPr>
        <w:pStyle w:val="Compact"/>
        <w:numPr>
          <w:ilvl w:val="0"/>
          <w:numId w:val="1003"/>
        </w:numPr>
      </w:pPr>
      <w:r>
        <w:t xml:space="preserve">uploaded files;</w:t>
      </w:r>
    </w:p>
    <w:p>
      <w:pPr>
        <w:pStyle w:val="Compact"/>
        <w:numPr>
          <w:ilvl w:val="0"/>
          <w:numId w:val="1003"/>
        </w:numPr>
      </w:pPr>
      <w:r>
        <w:t xml:space="preserve">documents;</w:t>
      </w:r>
    </w:p>
    <w:p>
      <w:pPr>
        <w:pStyle w:val="Compact"/>
        <w:numPr>
          <w:ilvl w:val="0"/>
          <w:numId w:val="1003"/>
        </w:numPr>
      </w:pPr>
      <w:r>
        <w:t xml:space="preserve">notes;</w:t>
      </w:r>
    </w:p>
    <w:p>
      <w:pPr>
        <w:pStyle w:val="Compact"/>
        <w:numPr>
          <w:ilvl w:val="0"/>
          <w:numId w:val="1003"/>
        </w:numPr>
      </w:pPr>
      <w:r>
        <w:t xml:space="preserve">tasks;</w:t>
      </w:r>
    </w:p>
    <w:p>
      <w:pPr>
        <w:pStyle w:val="Compact"/>
        <w:numPr>
          <w:ilvl w:val="0"/>
          <w:numId w:val="1003"/>
        </w:numPr>
      </w:pPr>
      <w:r>
        <w:t xml:space="preserve">projects;</w:t>
      </w:r>
    </w:p>
    <w:p>
      <w:pPr>
        <w:pStyle w:val="Compact"/>
        <w:numPr>
          <w:ilvl w:val="0"/>
          <w:numId w:val="1003"/>
        </w:numPr>
      </w:pPr>
      <w:r>
        <w:t xml:space="preserve">feedback;</w:t>
      </w:r>
    </w:p>
    <w:p>
      <w:pPr>
        <w:pStyle w:val="Compact"/>
        <w:numPr>
          <w:ilvl w:val="0"/>
          <w:numId w:val="1003"/>
        </w:numPr>
      </w:pPr>
      <w:r>
        <w:t xml:space="preserve">messages;</w:t>
      </w:r>
    </w:p>
    <w:p>
      <w:pPr>
        <w:pStyle w:val="Compact"/>
        <w:numPr>
          <w:ilvl w:val="0"/>
          <w:numId w:val="1003"/>
        </w:numPr>
      </w:pPr>
      <w:r>
        <w:t xml:space="preserve">other information you submit.</w:t>
      </w:r>
    </w:p>
    <w:bookmarkEnd w:id="11"/>
    <w:bookmarkStart w:id="12" w:name="technical-information"/>
    <w:p>
      <w:pPr>
        <w:pStyle w:val="Heading3"/>
      </w:pPr>
      <w:r>
        <w:t xml:space="preserve">Technical Information</w:t>
      </w:r>
    </w:p>
    <w:p>
      <w:pPr>
        <w:pStyle w:val="FirstParagraph"/>
      </w:pPr>
      <w:r>
        <w:t xml:space="preserve">We may automatically collect:</w:t>
      </w:r>
    </w:p>
    <w:p>
      <w:pPr>
        <w:pStyle w:val="Compact"/>
        <w:numPr>
          <w:ilvl w:val="0"/>
          <w:numId w:val="1004"/>
        </w:numPr>
      </w:pPr>
      <w:r>
        <w:t xml:space="preserve">IP address;</w:t>
      </w:r>
    </w:p>
    <w:p>
      <w:pPr>
        <w:pStyle w:val="Compact"/>
        <w:numPr>
          <w:ilvl w:val="0"/>
          <w:numId w:val="1004"/>
        </w:numPr>
      </w:pPr>
      <w:r>
        <w:t xml:space="preserve">browser type;</w:t>
      </w:r>
    </w:p>
    <w:p>
      <w:pPr>
        <w:pStyle w:val="Compact"/>
        <w:numPr>
          <w:ilvl w:val="0"/>
          <w:numId w:val="1004"/>
        </w:numPr>
      </w:pPr>
      <w:r>
        <w:t xml:space="preserve">device type;</w:t>
      </w:r>
    </w:p>
    <w:p>
      <w:pPr>
        <w:pStyle w:val="Compact"/>
        <w:numPr>
          <w:ilvl w:val="0"/>
          <w:numId w:val="1004"/>
        </w:numPr>
      </w:pPr>
      <w:r>
        <w:t xml:space="preserve">operating system;</w:t>
      </w:r>
    </w:p>
    <w:p>
      <w:pPr>
        <w:pStyle w:val="Compact"/>
        <w:numPr>
          <w:ilvl w:val="0"/>
          <w:numId w:val="1004"/>
        </w:numPr>
      </w:pPr>
      <w:r>
        <w:t xml:space="preserve">approximate location derived from IP;</w:t>
      </w:r>
    </w:p>
    <w:p>
      <w:pPr>
        <w:pStyle w:val="Compact"/>
        <w:numPr>
          <w:ilvl w:val="0"/>
          <w:numId w:val="1004"/>
        </w:numPr>
      </w:pPr>
      <w:r>
        <w:t xml:space="preserve">log information;</w:t>
      </w:r>
    </w:p>
    <w:p>
      <w:pPr>
        <w:pStyle w:val="Compact"/>
        <w:numPr>
          <w:ilvl w:val="0"/>
          <w:numId w:val="1004"/>
        </w:numPr>
      </w:pPr>
      <w:r>
        <w:t xml:space="preserve">usage information;</w:t>
      </w:r>
    </w:p>
    <w:p>
      <w:pPr>
        <w:pStyle w:val="Compact"/>
        <w:numPr>
          <w:ilvl w:val="0"/>
          <w:numId w:val="1004"/>
        </w:numPr>
      </w:pPr>
      <w:r>
        <w:t xml:space="preserve">crash information;</w:t>
      </w:r>
    </w:p>
    <w:p>
      <w:pPr>
        <w:pStyle w:val="Compact"/>
        <w:numPr>
          <w:ilvl w:val="0"/>
          <w:numId w:val="1004"/>
        </w:numPr>
      </w:pPr>
      <w:r>
        <w:t xml:space="preserve">security information.</w:t>
      </w:r>
    </w:p>
    <w:bookmarkEnd w:id="12"/>
    <w:bookmarkStart w:id="13" w:name="payment-information"/>
    <w:p>
      <w:pPr>
        <w:pStyle w:val="Heading3"/>
      </w:pPr>
      <w:r>
        <w:t xml:space="preserve">Payment Information</w:t>
      </w:r>
    </w:p>
    <w:p>
      <w:pPr>
        <w:pStyle w:val="FirstParagraph"/>
      </w:pPr>
      <w:r>
        <w:t xml:space="preserve">Payments may be processed by third-party payment providers.</w:t>
      </w:r>
    </w:p>
    <w:p>
      <w:pPr>
        <w:pStyle w:val="BodyText"/>
      </w:pPr>
      <w:r>
        <w:t xml:space="preserve">Kloyya generally does not store complete payment-card numbers.</w:t>
      </w:r>
    </w:p>
    <w:p>
      <w:pPr>
        <w:pStyle w:val="BodyText"/>
      </w:pPr>
      <w:r>
        <w:t xml:space="preserve">Payment providers may process payment information according to their own privacy policies.</w:t>
      </w:r>
    </w:p>
    <w:bookmarkEnd w:id="13"/>
    <w:bookmarkEnd w:id="14"/>
    <w:bookmarkStart w:id="15" w:name="how-we-use-information"/>
    <w:p>
      <w:pPr>
        <w:pStyle w:val="Heading2"/>
      </w:pPr>
      <w:r>
        <w:t xml:space="preserve">2. How We Use Information</w:t>
      </w:r>
    </w:p>
    <w:p>
      <w:pPr>
        <w:pStyle w:val="FirstParagraph"/>
      </w:pPr>
      <w:r>
        <w:t xml:space="preserve">We may use information to:</w:t>
      </w:r>
    </w:p>
    <w:p>
      <w:pPr>
        <w:pStyle w:val="Compact"/>
        <w:numPr>
          <w:ilvl w:val="0"/>
          <w:numId w:val="1005"/>
        </w:numPr>
      </w:pPr>
      <w:r>
        <w:t xml:space="preserve">provide the Services;</w:t>
      </w:r>
    </w:p>
    <w:p>
      <w:pPr>
        <w:pStyle w:val="Compact"/>
        <w:numPr>
          <w:ilvl w:val="0"/>
          <w:numId w:val="1005"/>
        </w:numPr>
      </w:pPr>
      <w:r>
        <w:t xml:space="preserve">authenticate users;</w:t>
      </w:r>
    </w:p>
    <w:p>
      <w:pPr>
        <w:pStyle w:val="Compact"/>
        <w:numPr>
          <w:ilvl w:val="0"/>
          <w:numId w:val="1005"/>
        </w:numPr>
      </w:pPr>
      <w:r>
        <w:t xml:space="preserve">process payments;</w:t>
      </w:r>
    </w:p>
    <w:p>
      <w:pPr>
        <w:pStyle w:val="Compact"/>
        <w:numPr>
          <w:ilvl w:val="0"/>
          <w:numId w:val="1005"/>
        </w:numPr>
      </w:pPr>
      <w:r>
        <w:t xml:space="preserve">provide customer support;</w:t>
      </w:r>
    </w:p>
    <w:p>
      <w:pPr>
        <w:pStyle w:val="Compact"/>
        <w:numPr>
          <w:ilvl w:val="0"/>
          <w:numId w:val="1005"/>
        </w:numPr>
      </w:pPr>
      <w:r>
        <w:t xml:space="preserve">personalize the Services;</w:t>
      </w:r>
    </w:p>
    <w:p>
      <w:pPr>
        <w:pStyle w:val="Compact"/>
        <w:numPr>
          <w:ilvl w:val="0"/>
          <w:numId w:val="1005"/>
        </w:numPr>
      </w:pPr>
      <w:r>
        <w:t xml:space="preserve">retrieve and organize information;</w:t>
      </w:r>
    </w:p>
    <w:p>
      <w:pPr>
        <w:pStyle w:val="Compact"/>
        <w:numPr>
          <w:ilvl w:val="0"/>
          <w:numId w:val="1005"/>
        </w:numPr>
      </w:pPr>
      <w:r>
        <w:t xml:space="preserve">generate AI-assisted outputs;</w:t>
      </w:r>
    </w:p>
    <w:p>
      <w:pPr>
        <w:pStyle w:val="Compact"/>
        <w:numPr>
          <w:ilvl w:val="0"/>
          <w:numId w:val="1005"/>
        </w:numPr>
      </w:pPr>
      <w:r>
        <w:t xml:space="preserve">detect changes, relationships, priorities, and risks;</w:t>
      </w:r>
    </w:p>
    <w:p>
      <w:pPr>
        <w:pStyle w:val="Compact"/>
        <w:numPr>
          <w:ilvl w:val="0"/>
          <w:numId w:val="1005"/>
        </w:numPr>
      </w:pPr>
      <w:r>
        <w:t xml:space="preserve">maintain security;</w:t>
      </w:r>
    </w:p>
    <w:p>
      <w:pPr>
        <w:pStyle w:val="Compact"/>
        <w:numPr>
          <w:ilvl w:val="0"/>
          <w:numId w:val="1005"/>
        </w:numPr>
      </w:pPr>
      <w:r>
        <w:t xml:space="preserve">prevent fraud and abuse;</w:t>
      </w:r>
    </w:p>
    <w:p>
      <w:pPr>
        <w:pStyle w:val="Compact"/>
        <w:numPr>
          <w:ilvl w:val="0"/>
          <w:numId w:val="1005"/>
        </w:numPr>
      </w:pPr>
      <w:r>
        <w:t xml:space="preserve">troubleshoot technical issues;</w:t>
      </w:r>
    </w:p>
    <w:p>
      <w:pPr>
        <w:pStyle w:val="Compact"/>
        <w:numPr>
          <w:ilvl w:val="0"/>
          <w:numId w:val="1005"/>
        </w:numPr>
      </w:pPr>
      <w:r>
        <w:t xml:space="preserve">measure service performance;</w:t>
      </w:r>
    </w:p>
    <w:p>
      <w:pPr>
        <w:pStyle w:val="Compact"/>
        <w:numPr>
          <w:ilvl w:val="0"/>
          <w:numId w:val="1005"/>
        </w:numPr>
      </w:pPr>
      <w:r>
        <w:t xml:space="preserve">improve our products;</w:t>
      </w:r>
    </w:p>
    <w:p>
      <w:pPr>
        <w:pStyle w:val="Compact"/>
        <w:numPr>
          <w:ilvl w:val="0"/>
          <w:numId w:val="1005"/>
        </w:numPr>
      </w:pPr>
      <w:r>
        <w:t xml:space="preserve">comply with legal obligations; and</w:t>
      </w:r>
    </w:p>
    <w:p>
      <w:pPr>
        <w:pStyle w:val="Compact"/>
        <w:numPr>
          <w:ilvl w:val="0"/>
          <w:numId w:val="1005"/>
        </w:numPr>
      </w:pPr>
      <w:r>
        <w:t xml:space="preserve">communicate important service information.</w:t>
      </w:r>
    </w:p>
    <w:bookmarkEnd w:id="15"/>
    <w:bookmarkStart w:id="16" w:name="ai-processing"/>
    <w:p>
      <w:pPr>
        <w:pStyle w:val="Heading2"/>
      </w:pPr>
      <w:r>
        <w:t xml:space="preserve">3. AI Processing</w:t>
      </w:r>
    </w:p>
    <w:p>
      <w:pPr>
        <w:pStyle w:val="FirstParagraph"/>
      </w:pPr>
      <w:r>
        <w:t xml:space="preserve">Kloyya may process information through artificial intelligence systems to provide requested functionality.</w:t>
      </w:r>
    </w:p>
    <w:p>
      <w:pPr>
        <w:pStyle w:val="BodyText"/>
      </w:pPr>
      <w:r>
        <w:t xml:space="preserve">Depending on the feature, information may be transmitted to carefully selected AI infrastructure providers acting as service providers or processors.</w:t>
      </w:r>
    </w:p>
    <w:p>
      <w:pPr>
        <w:pStyle w:val="BodyText"/>
      </w:pPr>
      <w:r>
        <w:t xml:space="preserve">We seek to configure third-party AI services appropriately and limit their use of customer information according to our agreements and applicable law.</w:t>
      </w:r>
    </w:p>
    <w:p>
      <w:pPr>
        <w:pStyle w:val="BodyText"/>
      </w:pPr>
      <w:r>
        <w:t xml:space="preserve">We do not represent that every AI provider or processing location is located in the same country as you.</w:t>
      </w:r>
    </w:p>
    <w:bookmarkEnd w:id="16"/>
    <w:bookmarkStart w:id="17" w:name="training-and-model-improvement"/>
    <w:p>
      <w:pPr>
        <w:pStyle w:val="Heading2"/>
      </w:pPr>
      <w:r>
        <w:t xml:space="preserve">4. Training and Model Improvement</w:t>
      </w:r>
    </w:p>
    <w:p>
      <w:pPr>
        <w:pStyle w:val="FirstParagraph"/>
      </w:pPr>
      <w:r>
        <w:t xml:space="preserve">Kloyya may use aggregated, de-identified, or otherwise appropriately protected information to improve the reliability and performance of its systems where permitted by law and applicable contractual commitments.</w:t>
      </w:r>
    </w:p>
    <w:p>
      <w:pPr>
        <w:pStyle w:val="BodyText"/>
      </w:pPr>
      <w:r>
        <w:t xml:space="preserve">We will not use customer Content to train a general-purpose model in a manner inconsistent with applicable law, contractual commitments, or your applicable privacy choices.</w:t>
      </w:r>
    </w:p>
    <w:p>
      <w:pPr>
        <w:pStyle w:val="BodyText"/>
      </w:pPr>
      <w:r>
        <w:t xml:space="preserve">Where a product plan provides different data-use controls, those controls will govern.</w:t>
      </w:r>
    </w:p>
    <w:bookmarkEnd w:id="17"/>
    <w:bookmarkStart w:id="18" w:name="legal-bases-for-processing"/>
    <w:p>
      <w:pPr>
        <w:pStyle w:val="Heading2"/>
      </w:pPr>
      <w:r>
        <w:t xml:space="preserve">5. Legal Bases for Processing</w:t>
      </w:r>
    </w:p>
    <w:p>
      <w:pPr>
        <w:pStyle w:val="FirstParagraph"/>
      </w:pPr>
      <w:r>
        <w:t xml:space="preserve">Where GDPR or similar laws apply, Kloyya may process personal data based on:</w:t>
      </w:r>
    </w:p>
    <w:p>
      <w:pPr>
        <w:pStyle w:val="Compact"/>
        <w:numPr>
          <w:ilvl w:val="0"/>
          <w:numId w:val="1006"/>
        </w:numPr>
      </w:pPr>
      <w:r>
        <w:t xml:space="preserve">performance of a contract;</w:t>
      </w:r>
    </w:p>
    <w:p>
      <w:pPr>
        <w:pStyle w:val="Compact"/>
        <w:numPr>
          <w:ilvl w:val="0"/>
          <w:numId w:val="1006"/>
        </w:numPr>
      </w:pPr>
      <w:r>
        <w:t xml:space="preserve">consent;</w:t>
      </w:r>
    </w:p>
    <w:p>
      <w:pPr>
        <w:pStyle w:val="Compact"/>
        <w:numPr>
          <w:ilvl w:val="0"/>
          <w:numId w:val="1006"/>
        </w:numPr>
      </w:pPr>
      <w:r>
        <w:t xml:space="preserve">legitimate interests;</w:t>
      </w:r>
    </w:p>
    <w:p>
      <w:pPr>
        <w:pStyle w:val="Compact"/>
        <w:numPr>
          <w:ilvl w:val="0"/>
          <w:numId w:val="1006"/>
        </w:numPr>
      </w:pPr>
      <w:r>
        <w:t xml:space="preserve">compliance with legal obligations; or</w:t>
      </w:r>
    </w:p>
    <w:p>
      <w:pPr>
        <w:pStyle w:val="Compact"/>
        <w:numPr>
          <w:ilvl w:val="0"/>
          <w:numId w:val="1006"/>
        </w:numPr>
      </w:pPr>
      <w:r>
        <w:t xml:space="preserve">another lawful basis recognized by applicable law.</w:t>
      </w:r>
    </w:p>
    <w:bookmarkEnd w:id="18"/>
    <w:bookmarkStart w:id="19" w:name="sharing-information"/>
    <w:p>
      <w:pPr>
        <w:pStyle w:val="Heading2"/>
      </w:pPr>
      <w:r>
        <w:t xml:space="preserve">6. Sharing Information</w:t>
      </w:r>
    </w:p>
    <w:p>
      <w:pPr>
        <w:pStyle w:val="FirstParagraph"/>
      </w:pPr>
      <w:r>
        <w:t xml:space="preserve">We may share information with:</w:t>
      </w:r>
    </w:p>
    <w:p>
      <w:pPr>
        <w:pStyle w:val="Compact"/>
        <w:numPr>
          <w:ilvl w:val="0"/>
          <w:numId w:val="1007"/>
        </w:numPr>
      </w:pPr>
      <w:r>
        <w:t xml:space="preserve">hosting providers;</w:t>
      </w:r>
    </w:p>
    <w:p>
      <w:pPr>
        <w:pStyle w:val="Compact"/>
        <w:numPr>
          <w:ilvl w:val="0"/>
          <w:numId w:val="1007"/>
        </w:numPr>
      </w:pPr>
      <w:r>
        <w:t xml:space="preserve">authentication providers;</w:t>
      </w:r>
    </w:p>
    <w:p>
      <w:pPr>
        <w:pStyle w:val="Compact"/>
        <w:numPr>
          <w:ilvl w:val="0"/>
          <w:numId w:val="1007"/>
        </w:numPr>
      </w:pPr>
      <w:r>
        <w:t xml:space="preserve">payment processors;</w:t>
      </w:r>
    </w:p>
    <w:p>
      <w:pPr>
        <w:pStyle w:val="Compact"/>
        <w:numPr>
          <w:ilvl w:val="0"/>
          <w:numId w:val="1007"/>
        </w:numPr>
      </w:pPr>
      <w:r>
        <w:t xml:space="preserve">AI infrastructure providers;</w:t>
      </w:r>
    </w:p>
    <w:p>
      <w:pPr>
        <w:pStyle w:val="Compact"/>
        <w:numPr>
          <w:ilvl w:val="0"/>
          <w:numId w:val="1007"/>
        </w:numPr>
      </w:pPr>
      <w:r>
        <w:t xml:space="preserve">analytics providers;</w:t>
      </w:r>
    </w:p>
    <w:p>
      <w:pPr>
        <w:pStyle w:val="Compact"/>
        <w:numPr>
          <w:ilvl w:val="0"/>
          <w:numId w:val="1007"/>
        </w:numPr>
      </w:pPr>
      <w:r>
        <w:t xml:space="preserve">customer support providers;</w:t>
      </w:r>
    </w:p>
    <w:p>
      <w:pPr>
        <w:pStyle w:val="Compact"/>
        <w:numPr>
          <w:ilvl w:val="0"/>
          <w:numId w:val="1007"/>
        </w:numPr>
      </w:pPr>
      <w:r>
        <w:t xml:space="preserve">security providers;</w:t>
      </w:r>
    </w:p>
    <w:p>
      <w:pPr>
        <w:pStyle w:val="Compact"/>
        <w:numPr>
          <w:ilvl w:val="0"/>
          <w:numId w:val="1007"/>
        </w:numPr>
      </w:pPr>
      <w:r>
        <w:t xml:space="preserve">communications providers;</w:t>
      </w:r>
    </w:p>
    <w:p>
      <w:pPr>
        <w:pStyle w:val="Compact"/>
        <w:numPr>
          <w:ilvl w:val="0"/>
          <w:numId w:val="1007"/>
        </w:numPr>
      </w:pPr>
      <w:r>
        <w:t xml:space="preserve">professional advisers;</w:t>
      </w:r>
    </w:p>
    <w:p>
      <w:pPr>
        <w:pStyle w:val="Compact"/>
        <w:numPr>
          <w:ilvl w:val="0"/>
          <w:numId w:val="1007"/>
        </w:numPr>
      </w:pPr>
      <w:r>
        <w:t xml:space="preserve">legal authorities where required; and</w:t>
      </w:r>
    </w:p>
    <w:p>
      <w:pPr>
        <w:pStyle w:val="Compact"/>
        <w:numPr>
          <w:ilvl w:val="0"/>
          <w:numId w:val="1007"/>
        </w:numPr>
      </w:pPr>
      <w:r>
        <w:t xml:space="preserve">other service providers necessary to operate Kloyya.</w:t>
      </w:r>
    </w:p>
    <w:p>
      <w:pPr>
        <w:pStyle w:val="FirstParagraph"/>
      </w:pPr>
      <w:r>
        <w:t xml:space="preserve">We do not sell personal information for money.</w:t>
      </w:r>
    </w:p>
    <w:p>
      <w:pPr>
        <w:pStyle w:val="BodyText"/>
      </w:pPr>
      <w:r>
        <w:t xml:space="preserve">Where applicable law defines certain advertising, analytics, or data transfers as</w:t>
      </w:r>
      <w:r>
        <w:t xml:space="preserve"> </w:t>
      </w:r>
      <w:r>
        <w:t xml:space="preserve">“sale”</w:t>
      </w:r>
      <w:r>
        <w:t xml:space="preserve"> </w:t>
      </w:r>
      <w:r>
        <w:t xml:space="preserve">or</w:t>
      </w:r>
      <w:r>
        <w:t xml:space="preserve"> </w:t>
      </w:r>
      <w:r>
        <w:t xml:space="preserve">“sharing,”</w:t>
      </w:r>
      <w:r>
        <w:t xml:space="preserve"> </w:t>
      </w:r>
      <w:r>
        <w:t xml:space="preserve">we will provide the rights and controls required by that law.</w:t>
      </w:r>
    </w:p>
    <w:bookmarkEnd w:id="19"/>
    <w:bookmarkStart w:id="20" w:name="international-transfers"/>
    <w:p>
      <w:pPr>
        <w:pStyle w:val="Heading2"/>
      </w:pPr>
      <w:r>
        <w:t xml:space="preserve">7. International Transfers</w:t>
      </w:r>
    </w:p>
    <w:p>
      <w:pPr>
        <w:pStyle w:val="FirstParagraph"/>
      </w:pPr>
      <w:r>
        <w:t xml:space="preserve">Kloyya may operate internationally.</w:t>
      </w:r>
    </w:p>
    <w:p>
      <w:pPr>
        <w:pStyle w:val="BodyText"/>
      </w:pPr>
      <w:r>
        <w:t xml:space="preserve">Your information may therefore be processed in countries other than your country of residence.</w:t>
      </w:r>
    </w:p>
    <w:p>
      <w:pPr>
        <w:pStyle w:val="BodyText"/>
      </w:pPr>
      <w:r>
        <w:t xml:space="preserve">Where applicable law requires safeguards for international transfers, Kloyya will use appropriate mechanisms, which may include contractual safeguards, adequacy decisions, consent, or other lawful transfer mechanisms.</w:t>
      </w:r>
    </w:p>
    <w:bookmarkEnd w:id="20"/>
    <w:bookmarkStart w:id="21" w:name="X492386c06458b7a15ba96ea7f5a12df406708c6"/>
    <w:p>
      <w:pPr>
        <w:pStyle w:val="Heading2"/>
      </w:pPr>
      <w:r>
        <w:t xml:space="preserve">8. European Economic Area, UK and Similar Jurisdictions</w:t>
      </w:r>
    </w:p>
    <w:p>
      <w:pPr>
        <w:pStyle w:val="FirstParagraph"/>
      </w:pPr>
      <w:r>
        <w:t xml:space="preserve">Where applicable, you may have rights including:</w:t>
      </w:r>
    </w:p>
    <w:p>
      <w:pPr>
        <w:pStyle w:val="Compact"/>
        <w:numPr>
          <w:ilvl w:val="0"/>
          <w:numId w:val="1008"/>
        </w:numPr>
      </w:pPr>
      <w:r>
        <w:t xml:space="preserve">access;</w:t>
      </w:r>
    </w:p>
    <w:p>
      <w:pPr>
        <w:pStyle w:val="Compact"/>
        <w:numPr>
          <w:ilvl w:val="0"/>
          <w:numId w:val="1008"/>
        </w:numPr>
      </w:pPr>
      <w:r>
        <w:t xml:space="preserve">correction;</w:t>
      </w:r>
    </w:p>
    <w:p>
      <w:pPr>
        <w:pStyle w:val="Compact"/>
        <w:numPr>
          <w:ilvl w:val="0"/>
          <w:numId w:val="1008"/>
        </w:numPr>
      </w:pPr>
      <w:r>
        <w:t xml:space="preserve">deletion;</w:t>
      </w:r>
    </w:p>
    <w:p>
      <w:pPr>
        <w:pStyle w:val="Compact"/>
        <w:numPr>
          <w:ilvl w:val="0"/>
          <w:numId w:val="1008"/>
        </w:numPr>
      </w:pPr>
      <w:r>
        <w:t xml:space="preserve">restriction;</w:t>
      </w:r>
    </w:p>
    <w:p>
      <w:pPr>
        <w:pStyle w:val="Compact"/>
        <w:numPr>
          <w:ilvl w:val="0"/>
          <w:numId w:val="1008"/>
        </w:numPr>
      </w:pPr>
      <w:r>
        <w:t xml:space="preserve">objection;</w:t>
      </w:r>
    </w:p>
    <w:p>
      <w:pPr>
        <w:pStyle w:val="Compact"/>
        <w:numPr>
          <w:ilvl w:val="0"/>
          <w:numId w:val="1008"/>
        </w:numPr>
      </w:pPr>
      <w:r>
        <w:t xml:space="preserve">portability;</w:t>
      </w:r>
    </w:p>
    <w:p>
      <w:pPr>
        <w:pStyle w:val="Compact"/>
        <w:numPr>
          <w:ilvl w:val="0"/>
          <w:numId w:val="1008"/>
        </w:numPr>
      </w:pPr>
      <w:r>
        <w:t xml:space="preserve">withdrawal of consent; and</w:t>
      </w:r>
    </w:p>
    <w:p>
      <w:pPr>
        <w:pStyle w:val="Compact"/>
        <w:numPr>
          <w:ilvl w:val="0"/>
          <w:numId w:val="1008"/>
        </w:numPr>
      </w:pPr>
      <w:r>
        <w:t xml:space="preserve">the right to complain to a supervisory authority.</w:t>
      </w:r>
    </w:p>
    <w:p>
      <w:pPr>
        <w:pStyle w:val="FirstParagraph"/>
      </w:pPr>
      <w:r>
        <w:t xml:space="preserve">You may also have rights relating to automated decision-making and profiling where applicable.</w:t>
      </w:r>
    </w:p>
    <w:bookmarkEnd w:id="21"/>
    <w:bookmarkStart w:id="22" w:name="california-and-other-u.s.-privacy-rights"/>
    <w:p>
      <w:pPr>
        <w:pStyle w:val="Heading2"/>
      </w:pPr>
      <w:r>
        <w:t xml:space="preserve">9. California and Other U.S. Privacy Rights</w:t>
      </w:r>
    </w:p>
    <w:p>
      <w:pPr>
        <w:pStyle w:val="FirstParagraph"/>
      </w:pPr>
      <w:r>
        <w:t xml:space="preserve">Depending on applicable law and whether Kloyya meets the relevant legal thresholds, U.S. residents may have rights including:</w:t>
      </w:r>
    </w:p>
    <w:p>
      <w:pPr>
        <w:pStyle w:val="Compact"/>
        <w:numPr>
          <w:ilvl w:val="0"/>
          <w:numId w:val="1009"/>
        </w:numPr>
      </w:pPr>
      <w:r>
        <w:t xml:space="preserve">right to know;</w:t>
      </w:r>
    </w:p>
    <w:p>
      <w:pPr>
        <w:pStyle w:val="Compact"/>
        <w:numPr>
          <w:ilvl w:val="0"/>
          <w:numId w:val="1009"/>
        </w:numPr>
      </w:pPr>
      <w:r>
        <w:t xml:space="preserve">right to access;</w:t>
      </w:r>
    </w:p>
    <w:p>
      <w:pPr>
        <w:pStyle w:val="Compact"/>
        <w:numPr>
          <w:ilvl w:val="0"/>
          <w:numId w:val="1009"/>
        </w:numPr>
      </w:pPr>
      <w:r>
        <w:t xml:space="preserve">right to delete;</w:t>
      </w:r>
    </w:p>
    <w:p>
      <w:pPr>
        <w:pStyle w:val="Compact"/>
        <w:numPr>
          <w:ilvl w:val="0"/>
          <w:numId w:val="1009"/>
        </w:numPr>
      </w:pPr>
      <w:r>
        <w:t xml:space="preserve">right to correct;</w:t>
      </w:r>
    </w:p>
    <w:p>
      <w:pPr>
        <w:pStyle w:val="Compact"/>
        <w:numPr>
          <w:ilvl w:val="0"/>
          <w:numId w:val="1009"/>
        </w:numPr>
      </w:pPr>
      <w:r>
        <w:t xml:space="preserve">right to opt out of sale or sharing;</w:t>
      </w:r>
    </w:p>
    <w:p>
      <w:pPr>
        <w:pStyle w:val="Compact"/>
        <w:numPr>
          <w:ilvl w:val="0"/>
          <w:numId w:val="1009"/>
        </w:numPr>
      </w:pPr>
      <w:r>
        <w:t xml:space="preserve">right to limit certain sensitive-information uses;</w:t>
      </w:r>
    </w:p>
    <w:p>
      <w:pPr>
        <w:pStyle w:val="Compact"/>
        <w:numPr>
          <w:ilvl w:val="0"/>
          <w:numId w:val="1009"/>
        </w:numPr>
      </w:pPr>
      <w:r>
        <w:t xml:space="preserve">right to non-discrimination.</w:t>
      </w:r>
    </w:p>
    <w:p>
      <w:pPr>
        <w:pStyle w:val="FirstParagraph"/>
      </w:pPr>
      <w:r>
        <w:t xml:space="preserve">Requests can be submitted through:</w:t>
      </w:r>
    </w:p>
    <w:p>
      <w:pPr>
        <w:pStyle w:val="BodyText"/>
      </w:pPr>
      <w:r>
        <w:rPr>
          <w:b/>
          <w:bCs/>
        </w:rPr>
        <w:t xml:space="preserve">contactsupport@kloyya.com</w:t>
      </w:r>
    </w:p>
    <w:p>
      <w:pPr>
        <w:pStyle w:val="BodyText"/>
      </w:pPr>
      <w:r>
        <w:t xml:space="preserve">We may need to verify your identity before completing certain requests.</w:t>
      </w:r>
    </w:p>
    <w:bookmarkEnd w:id="22"/>
    <w:bookmarkStart w:id="23" w:name="african-privacy-rights"/>
    <w:p>
      <w:pPr>
        <w:pStyle w:val="Heading2"/>
      </w:pPr>
      <w:r>
        <w:t xml:space="preserve">10. African Privacy Rights</w:t>
      </w:r>
    </w:p>
    <w:p>
      <w:pPr>
        <w:pStyle w:val="FirstParagraph"/>
      </w:pPr>
      <w:r>
        <w:t xml:space="preserve">Kloyya seeks to respect applicable privacy and data-protection laws in African jurisdictions in which it operates or offers services, including applicable requirements concerning lawful processing, transparency, security, data-subject rights, and international transfers.</w:t>
      </w:r>
    </w:p>
    <w:p>
      <w:pPr>
        <w:pStyle w:val="BodyText"/>
      </w:pPr>
      <w:r>
        <w:t xml:space="preserve">These may include applicable laws in Zambia, South Africa, Nigeria, Kenya, Ghana, and other jurisdictions.</w:t>
      </w:r>
    </w:p>
    <w:p>
      <w:pPr>
        <w:pStyle w:val="BodyText"/>
      </w:pPr>
      <w:r>
        <w:t xml:space="preserve">Where local law provides rights that differ from this Privacy Policy, the applicable local law will prevail.</w:t>
      </w:r>
    </w:p>
    <w:bookmarkEnd w:id="23"/>
    <w:bookmarkStart w:id="24" w:name="data-retention"/>
    <w:p>
      <w:pPr>
        <w:pStyle w:val="Heading2"/>
      </w:pPr>
      <w:r>
        <w:t xml:space="preserve">11. Data Retention</w:t>
      </w:r>
    </w:p>
    <w:p>
      <w:pPr>
        <w:pStyle w:val="FirstParagraph"/>
      </w:pPr>
      <w:r>
        <w:t xml:space="preserve">We retain personal information only for as long as reasonably necessary for the purposes described in this Policy, unless a longer period is required or permitted by law.</w:t>
      </w:r>
    </w:p>
    <w:p>
      <w:pPr>
        <w:pStyle w:val="BodyText"/>
      </w:pPr>
      <w:r>
        <w:t xml:space="preserve">Retention periods may depend on:</w:t>
      </w:r>
    </w:p>
    <w:p>
      <w:pPr>
        <w:pStyle w:val="Compact"/>
        <w:numPr>
          <w:ilvl w:val="0"/>
          <w:numId w:val="1010"/>
        </w:numPr>
      </w:pPr>
      <w:r>
        <w:t xml:space="preserve">account status;</w:t>
      </w:r>
    </w:p>
    <w:p>
      <w:pPr>
        <w:pStyle w:val="Compact"/>
        <w:numPr>
          <w:ilvl w:val="0"/>
          <w:numId w:val="1010"/>
        </w:numPr>
      </w:pPr>
      <w:r>
        <w:t xml:space="preserve">contractual requirements;</w:t>
      </w:r>
    </w:p>
    <w:p>
      <w:pPr>
        <w:pStyle w:val="Compact"/>
        <w:numPr>
          <w:ilvl w:val="0"/>
          <w:numId w:val="1010"/>
        </w:numPr>
      </w:pPr>
      <w:r>
        <w:t xml:space="preserve">legal requirements;</w:t>
      </w:r>
    </w:p>
    <w:p>
      <w:pPr>
        <w:pStyle w:val="Compact"/>
        <w:numPr>
          <w:ilvl w:val="0"/>
          <w:numId w:val="1010"/>
        </w:numPr>
      </w:pPr>
      <w:r>
        <w:t xml:space="preserve">security requirements;</w:t>
      </w:r>
    </w:p>
    <w:p>
      <w:pPr>
        <w:pStyle w:val="Compact"/>
        <w:numPr>
          <w:ilvl w:val="0"/>
          <w:numId w:val="1010"/>
        </w:numPr>
      </w:pPr>
      <w:r>
        <w:t xml:space="preserve">dispute resolution;</w:t>
      </w:r>
    </w:p>
    <w:p>
      <w:pPr>
        <w:pStyle w:val="Compact"/>
        <w:numPr>
          <w:ilvl w:val="0"/>
          <w:numId w:val="1010"/>
        </w:numPr>
      </w:pPr>
      <w:r>
        <w:t xml:space="preserve">fraud prevention; and</w:t>
      </w:r>
    </w:p>
    <w:p>
      <w:pPr>
        <w:pStyle w:val="Compact"/>
        <w:numPr>
          <w:ilvl w:val="0"/>
          <w:numId w:val="1010"/>
        </w:numPr>
      </w:pPr>
      <w:r>
        <w:t xml:space="preserve">legitimate business requirements.</w:t>
      </w:r>
    </w:p>
    <w:bookmarkEnd w:id="24"/>
    <w:bookmarkStart w:id="25" w:name="security"/>
    <w:p>
      <w:pPr>
        <w:pStyle w:val="Heading2"/>
      </w:pPr>
      <w:r>
        <w:t xml:space="preserve">12. Security</w:t>
      </w:r>
    </w:p>
    <w:p>
      <w:pPr>
        <w:pStyle w:val="FirstParagraph"/>
      </w:pPr>
      <w:r>
        <w:t xml:space="preserve">We use technical and organizational measures designed to protect information.</w:t>
      </w:r>
    </w:p>
    <w:p>
      <w:pPr>
        <w:pStyle w:val="BodyText"/>
      </w:pPr>
      <w:r>
        <w:t xml:space="preserve">These may include:</w:t>
      </w:r>
    </w:p>
    <w:p>
      <w:pPr>
        <w:pStyle w:val="Compact"/>
        <w:numPr>
          <w:ilvl w:val="0"/>
          <w:numId w:val="1011"/>
        </w:numPr>
      </w:pPr>
      <w:r>
        <w:t xml:space="preserve">encryption in transit;</w:t>
      </w:r>
    </w:p>
    <w:p>
      <w:pPr>
        <w:pStyle w:val="Compact"/>
        <w:numPr>
          <w:ilvl w:val="0"/>
          <w:numId w:val="1011"/>
        </w:numPr>
      </w:pPr>
      <w:r>
        <w:t xml:space="preserve">access controls;</w:t>
      </w:r>
    </w:p>
    <w:p>
      <w:pPr>
        <w:pStyle w:val="Compact"/>
        <w:numPr>
          <w:ilvl w:val="0"/>
          <w:numId w:val="1011"/>
        </w:numPr>
      </w:pPr>
      <w:r>
        <w:t xml:space="preserve">authentication controls;</w:t>
      </w:r>
    </w:p>
    <w:p>
      <w:pPr>
        <w:pStyle w:val="Compact"/>
        <w:numPr>
          <w:ilvl w:val="0"/>
          <w:numId w:val="1011"/>
        </w:numPr>
      </w:pPr>
      <w:r>
        <w:t xml:space="preserve">monitoring;</w:t>
      </w:r>
    </w:p>
    <w:p>
      <w:pPr>
        <w:pStyle w:val="Compact"/>
        <w:numPr>
          <w:ilvl w:val="0"/>
          <w:numId w:val="1011"/>
        </w:numPr>
      </w:pPr>
      <w:r>
        <w:t xml:space="preserve">logging;</w:t>
      </w:r>
    </w:p>
    <w:p>
      <w:pPr>
        <w:pStyle w:val="Compact"/>
        <w:numPr>
          <w:ilvl w:val="0"/>
          <w:numId w:val="1011"/>
        </w:numPr>
      </w:pPr>
      <w:r>
        <w:t xml:space="preserve">secure infrastructure;</w:t>
      </w:r>
    </w:p>
    <w:p>
      <w:pPr>
        <w:pStyle w:val="Compact"/>
        <w:numPr>
          <w:ilvl w:val="0"/>
          <w:numId w:val="1011"/>
        </w:numPr>
      </w:pPr>
      <w:r>
        <w:t xml:space="preserve">least-privilege principles;</w:t>
      </w:r>
    </w:p>
    <w:p>
      <w:pPr>
        <w:pStyle w:val="Compact"/>
        <w:numPr>
          <w:ilvl w:val="0"/>
          <w:numId w:val="1011"/>
        </w:numPr>
      </w:pPr>
      <w:r>
        <w:t xml:space="preserve">security reviews; and</w:t>
      </w:r>
    </w:p>
    <w:p>
      <w:pPr>
        <w:pStyle w:val="Compact"/>
        <w:numPr>
          <w:ilvl w:val="0"/>
          <w:numId w:val="1011"/>
        </w:numPr>
      </w:pPr>
      <w:r>
        <w:t xml:space="preserve">incident-response procedures.</w:t>
      </w:r>
    </w:p>
    <w:p>
      <w:pPr>
        <w:pStyle w:val="FirstParagraph"/>
      </w:pPr>
      <w:r>
        <w:t xml:space="preserve">No system can guarantee absolute security.</w:t>
      </w:r>
    </w:p>
    <w:bookmarkEnd w:id="25"/>
    <w:bookmarkStart w:id="26" w:name="cookies"/>
    <w:p>
      <w:pPr>
        <w:pStyle w:val="Heading2"/>
      </w:pPr>
      <w:r>
        <w:t xml:space="preserve">13. Cookies</w:t>
      </w:r>
    </w:p>
    <w:p>
      <w:pPr>
        <w:pStyle w:val="FirstParagraph"/>
      </w:pPr>
      <w:r>
        <w:t xml:space="preserve">Kloyya may use cookies and similar technologies.</w:t>
      </w:r>
    </w:p>
    <w:p>
      <w:pPr>
        <w:pStyle w:val="BodyText"/>
      </w:pPr>
      <w:r>
        <w:t xml:space="preserve">See our Cookie Policy for details.</w:t>
      </w:r>
    </w:p>
    <w:bookmarkEnd w:id="26"/>
    <w:bookmarkStart w:id="27" w:name="your-choices"/>
    <w:p>
      <w:pPr>
        <w:pStyle w:val="Heading2"/>
      </w:pPr>
      <w:r>
        <w:t xml:space="preserve">14. Your Choices</w:t>
      </w:r>
    </w:p>
    <w:p>
      <w:pPr>
        <w:pStyle w:val="FirstParagraph"/>
      </w:pPr>
      <w:r>
        <w:t xml:space="preserve">You may:</w:t>
      </w:r>
    </w:p>
    <w:p>
      <w:pPr>
        <w:pStyle w:val="Compact"/>
        <w:numPr>
          <w:ilvl w:val="0"/>
          <w:numId w:val="1012"/>
        </w:numPr>
      </w:pPr>
      <w:r>
        <w:t xml:space="preserve">update account information;</w:t>
      </w:r>
    </w:p>
    <w:p>
      <w:pPr>
        <w:pStyle w:val="Compact"/>
        <w:numPr>
          <w:ilvl w:val="0"/>
          <w:numId w:val="1012"/>
        </w:numPr>
      </w:pPr>
      <w:r>
        <w:t xml:space="preserve">disconnect connected services;</w:t>
      </w:r>
    </w:p>
    <w:p>
      <w:pPr>
        <w:pStyle w:val="Compact"/>
        <w:numPr>
          <w:ilvl w:val="0"/>
          <w:numId w:val="1012"/>
        </w:numPr>
      </w:pPr>
      <w:r>
        <w:t xml:space="preserve">delete content where functionality permits;</w:t>
      </w:r>
    </w:p>
    <w:p>
      <w:pPr>
        <w:pStyle w:val="Compact"/>
        <w:numPr>
          <w:ilvl w:val="0"/>
          <w:numId w:val="1012"/>
        </w:numPr>
      </w:pPr>
      <w:r>
        <w:t xml:space="preserve">close your account;</w:t>
      </w:r>
    </w:p>
    <w:p>
      <w:pPr>
        <w:pStyle w:val="Compact"/>
        <w:numPr>
          <w:ilvl w:val="0"/>
          <w:numId w:val="1012"/>
        </w:numPr>
      </w:pPr>
      <w:r>
        <w:t xml:space="preserve">unsubscribe from non-essential communications;</w:t>
      </w:r>
    </w:p>
    <w:p>
      <w:pPr>
        <w:pStyle w:val="Compact"/>
        <w:numPr>
          <w:ilvl w:val="0"/>
          <w:numId w:val="1012"/>
        </w:numPr>
      </w:pPr>
      <w:r>
        <w:t xml:space="preserve">request access or deletion where legally available.</w:t>
      </w:r>
    </w:p>
    <w:bookmarkEnd w:id="27"/>
    <w:bookmarkStart w:id="28" w:name="childrens-privacy"/>
    <w:p>
      <w:pPr>
        <w:pStyle w:val="Heading2"/>
      </w:pPr>
      <w:r>
        <w:t xml:space="preserve">15. Children’s Privacy</w:t>
      </w:r>
    </w:p>
    <w:p>
      <w:pPr>
        <w:pStyle w:val="FirstParagraph"/>
      </w:pPr>
      <w:r>
        <w:t xml:space="preserve">Kloyya does not knowingly collect personal information from children where prohibited by applicable law.</w:t>
      </w:r>
    </w:p>
    <w:p>
      <w:pPr>
        <w:pStyle w:val="BodyText"/>
      </w:pPr>
      <w:r>
        <w:t xml:space="preserve">If you believe a child has provided information improperly, contact:</w:t>
      </w:r>
    </w:p>
    <w:p>
      <w:pPr>
        <w:pStyle w:val="BodyText"/>
      </w:pPr>
      <w:r>
        <w:rPr>
          <w:b/>
          <w:bCs/>
        </w:rPr>
        <w:t xml:space="preserve">contactsupport@kloyya.com</w:t>
      </w:r>
    </w:p>
    <w:bookmarkEnd w:id="28"/>
    <w:bookmarkStart w:id="29" w:name="data-breaches"/>
    <w:p>
      <w:pPr>
        <w:pStyle w:val="Heading2"/>
      </w:pPr>
      <w:r>
        <w:t xml:space="preserve">16. Data Breaches</w:t>
      </w:r>
    </w:p>
    <w:p>
      <w:pPr>
        <w:pStyle w:val="FirstParagraph"/>
      </w:pPr>
      <w:r>
        <w:t xml:space="preserve">If Kloyya experiences a security incident involving personal information, we will respond according to applicable law, including required notifications to affected individuals and authorities.</w:t>
      </w:r>
    </w:p>
    <w:bookmarkEnd w:id="29"/>
    <w:bookmarkStart w:id="30" w:name="third-party-services"/>
    <w:p>
      <w:pPr>
        <w:pStyle w:val="Heading2"/>
      </w:pPr>
      <w:r>
        <w:t xml:space="preserve">17. Third-Party Services</w:t>
      </w:r>
    </w:p>
    <w:p>
      <w:pPr>
        <w:pStyle w:val="FirstParagraph"/>
      </w:pPr>
      <w:r>
        <w:t xml:space="preserve">Kloyya may link to or integrate with third-party services.</w:t>
      </w:r>
    </w:p>
    <w:p>
      <w:pPr>
        <w:pStyle w:val="BodyText"/>
      </w:pPr>
      <w:r>
        <w:t xml:space="preserve">Those services operate under their own terms and privacy policies.</w:t>
      </w:r>
    </w:p>
    <w:bookmarkEnd w:id="30"/>
    <w:bookmarkStart w:id="31" w:name="changes"/>
    <w:p>
      <w:pPr>
        <w:pStyle w:val="Heading2"/>
      </w:pPr>
      <w:r>
        <w:t xml:space="preserve">18. Changes</w:t>
      </w:r>
    </w:p>
    <w:p>
      <w:pPr>
        <w:pStyle w:val="FirstParagraph"/>
      </w:pPr>
      <w:r>
        <w:t xml:space="preserve">We may update this Privacy Policy periodically.</w:t>
      </w:r>
    </w:p>
    <w:p>
      <w:pPr>
        <w:pStyle w:val="BodyText"/>
      </w:pPr>
      <w:r>
        <w:t xml:space="preserve">Material changes will be communicated through reasonable means where required.</w:t>
      </w:r>
    </w:p>
    <w:bookmarkEnd w:id="31"/>
    <w:bookmarkStart w:id="32" w:name="contact"/>
    <w:p>
      <w:pPr>
        <w:pStyle w:val="Heading2"/>
      </w:pPr>
      <w:r>
        <w:t xml:space="preserve">19. Contact</w:t>
      </w:r>
    </w:p>
    <w:p>
      <w:pPr>
        <w:pStyle w:val="FirstParagraph"/>
      </w:pPr>
      <w:r>
        <w:t xml:space="preserve">For privacy requests, complaints, or questions:</w:t>
      </w:r>
    </w:p>
    <w:p>
      <w:pPr>
        <w:pStyle w:val="BodyText"/>
      </w:pPr>
      <w:r>
        <w:rPr>
          <w:b/>
          <w:bCs/>
        </w:rPr>
        <w:t xml:space="preserve">contactsupport@kloyya.com</w:t>
      </w:r>
    </w:p>
    <w:p>
      <w:pPr>
        <w:pStyle w:val="BodyText"/>
      </w:pPr>
      <w:r>
        <w:t xml:space="preserve">Kloyya</w:t>
      </w:r>
      <w:r>
        <w:t xml:space="preserve"> </w:t>
      </w:r>
      <w:r>
        <w:t xml:space="preserve">Email: contactsupport@kloyya.com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