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kloyya-acceptable-use-ai-policy"/>
    <w:p>
      <w:pPr>
        <w:pStyle w:val="Heading1"/>
      </w:pPr>
      <w:r>
        <w:t xml:space="preserve">Kloyya Acceptable Use &amp; AI Policy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September 2, 2026</w:t>
      </w:r>
    </w:p>
    <w:p>
      <w:pPr>
        <w:pStyle w:val="BodyText"/>
      </w:pPr>
      <w:r>
        <w:t xml:space="preserve">Kloyya is designed to help people understand information and make better-informed decisions.</w:t>
      </w:r>
    </w:p>
    <w:p>
      <w:pPr>
        <w:pStyle w:val="BodyText"/>
      </w:pPr>
      <w:r>
        <w:t xml:space="preserve">Users must use Kloyya responsibly and lawfully.</w:t>
      </w:r>
    </w:p>
    <w:bookmarkStart w:id="9" w:name="prohibited-activities"/>
    <w:p>
      <w:pPr>
        <w:pStyle w:val="Heading2"/>
      </w:pPr>
      <w:r>
        <w:t xml:space="preserve">Prohibited Activities</w:t>
      </w:r>
    </w:p>
    <w:p>
      <w:pPr>
        <w:pStyle w:val="FirstParagraph"/>
      </w:pPr>
      <w:r>
        <w:t xml:space="preserve">You may not use Kloyya to:</w:t>
      </w:r>
    </w:p>
    <w:p>
      <w:pPr>
        <w:pStyle w:val="Compact"/>
        <w:numPr>
          <w:ilvl w:val="0"/>
          <w:numId w:val="1001"/>
        </w:numPr>
      </w:pPr>
      <w:r>
        <w:t xml:space="preserve">commit fraud;</w:t>
      </w:r>
    </w:p>
    <w:p>
      <w:pPr>
        <w:pStyle w:val="Compact"/>
        <w:numPr>
          <w:ilvl w:val="0"/>
          <w:numId w:val="1001"/>
        </w:numPr>
      </w:pPr>
      <w:r>
        <w:t xml:space="preserve">impersonate individuals;</w:t>
      </w:r>
    </w:p>
    <w:p>
      <w:pPr>
        <w:pStyle w:val="Compact"/>
        <w:numPr>
          <w:ilvl w:val="0"/>
          <w:numId w:val="1001"/>
        </w:numPr>
      </w:pPr>
      <w:r>
        <w:t xml:space="preserve">distribute malware;</w:t>
      </w:r>
    </w:p>
    <w:p>
      <w:pPr>
        <w:pStyle w:val="Compact"/>
        <w:numPr>
          <w:ilvl w:val="0"/>
          <w:numId w:val="1001"/>
        </w:numPr>
      </w:pPr>
      <w:r>
        <w:t xml:space="preserve">conduct unauthorized surveillance;</w:t>
      </w:r>
    </w:p>
    <w:p>
      <w:pPr>
        <w:pStyle w:val="Compact"/>
        <w:numPr>
          <w:ilvl w:val="0"/>
          <w:numId w:val="1001"/>
        </w:numPr>
      </w:pPr>
      <w:r>
        <w:t xml:space="preserve">unlawfully obtain personal information;</w:t>
      </w:r>
    </w:p>
    <w:p>
      <w:pPr>
        <w:pStyle w:val="Compact"/>
        <w:numPr>
          <w:ilvl w:val="0"/>
          <w:numId w:val="1001"/>
        </w:numPr>
      </w:pPr>
      <w:r>
        <w:t xml:space="preserve">facilitate cyberattacks;</w:t>
      </w:r>
    </w:p>
    <w:p>
      <w:pPr>
        <w:pStyle w:val="Compact"/>
        <w:numPr>
          <w:ilvl w:val="0"/>
          <w:numId w:val="1001"/>
        </w:numPr>
      </w:pPr>
      <w:r>
        <w:t xml:space="preserve">evade security controls;</w:t>
      </w:r>
    </w:p>
    <w:p>
      <w:pPr>
        <w:pStyle w:val="Compact"/>
        <w:numPr>
          <w:ilvl w:val="0"/>
          <w:numId w:val="1001"/>
        </w:numPr>
      </w:pPr>
      <w:r>
        <w:t xml:space="preserve">generate deceptive content for unlawful purposes;</w:t>
      </w:r>
    </w:p>
    <w:p>
      <w:pPr>
        <w:pStyle w:val="Compact"/>
        <w:numPr>
          <w:ilvl w:val="0"/>
          <w:numId w:val="1001"/>
        </w:numPr>
      </w:pPr>
      <w:r>
        <w:t xml:space="preserve">harass or threaten people;</w:t>
      </w:r>
    </w:p>
    <w:p>
      <w:pPr>
        <w:pStyle w:val="Compact"/>
        <w:numPr>
          <w:ilvl w:val="0"/>
          <w:numId w:val="1001"/>
        </w:numPr>
      </w:pPr>
      <w:r>
        <w:t xml:space="preserve">exploit minors;</w:t>
      </w:r>
    </w:p>
    <w:p>
      <w:pPr>
        <w:pStyle w:val="Compact"/>
        <w:numPr>
          <w:ilvl w:val="0"/>
          <w:numId w:val="1001"/>
        </w:numPr>
      </w:pPr>
      <w:r>
        <w:t xml:space="preserve">violate intellectual-property rights;</w:t>
      </w:r>
    </w:p>
    <w:p>
      <w:pPr>
        <w:pStyle w:val="Compact"/>
        <w:numPr>
          <w:ilvl w:val="0"/>
          <w:numId w:val="1001"/>
        </w:numPr>
      </w:pPr>
      <w:r>
        <w:t xml:space="preserve">conduct unlawful discrimination;</w:t>
      </w:r>
    </w:p>
    <w:p>
      <w:pPr>
        <w:pStyle w:val="Compact"/>
        <w:numPr>
          <w:ilvl w:val="0"/>
          <w:numId w:val="1001"/>
        </w:numPr>
      </w:pPr>
      <w:r>
        <w:t xml:space="preserve">facilitate illegal financial activity;</w:t>
      </w:r>
    </w:p>
    <w:p>
      <w:pPr>
        <w:pStyle w:val="Compact"/>
        <w:numPr>
          <w:ilvl w:val="0"/>
          <w:numId w:val="1001"/>
        </w:numPr>
      </w:pPr>
      <w:r>
        <w:t xml:space="preserve">circumvent sanctions or applicable laws;</w:t>
      </w:r>
    </w:p>
    <w:p>
      <w:pPr>
        <w:pStyle w:val="Compact"/>
        <w:numPr>
          <w:ilvl w:val="0"/>
          <w:numId w:val="1001"/>
        </w:numPr>
      </w:pPr>
      <w:r>
        <w:t xml:space="preserve">interfere with Kloyya infrastructure.</w:t>
      </w:r>
    </w:p>
    <w:bookmarkEnd w:id="9"/>
    <w:bookmarkStart w:id="10" w:name="human-oversight"/>
    <w:p>
      <w:pPr>
        <w:pStyle w:val="Heading2"/>
      </w:pPr>
      <w:r>
        <w:t xml:space="preserve">Human Oversight</w:t>
      </w:r>
    </w:p>
    <w:p>
      <w:pPr>
        <w:pStyle w:val="FirstParagraph"/>
      </w:pPr>
      <w:r>
        <w:t xml:space="preserve">Kloyya’s outputs should be reviewed by a human before being used for consequential decisions.</w:t>
      </w:r>
    </w:p>
    <w:p>
      <w:pPr>
        <w:pStyle w:val="BodyText"/>
      </w:pPr>
      <w:r>
        <w:t xml:space="preserve">Kloyya should not be treated as an autonomous authority.</w:t>
      </w:r>
    </w:p>
    <w:p>
      <w:pPr>
        <w:pStyle w:val="BodyText"/>
      </w:pPr>
      <w:r>
        <w:t xml:space="preserve">Users remain responsible for decisions made using Kloyya.</w:t>
      </w:r>
    </w:p>
    <w:bookmarkEnd w:id="10"/>
    <w:bookmarkStart w:id="11" w:name="accuracy"/>
    <w:p>
      <w:pPr>
        <w:pStyle w:val="Heading2"/>
      </w:pPr>
      <w:r>
        <w:t xml:space="preserve">Accuracy</w:t>
      </w:r>
    </w:p>
    <w:p>
      <w:pPr>
        <w:pStyle w:val="FirstParagraph"/>
      </w:pPr>
      <w:r>
        <w:t xml:space="preserve">AI systems can make mistakes.</w:t>
      </w:r>
    </w:p>
    <w:p>
      <w:pPr>
        <w:pStyle w:val="BodyText"/>
      </w:pPr>
      <w:r>
        <w:t xml:space="preserve">Kloyya may:</w:t>
      </w:r>
    </w:p>
    <w:p>
      <w:pPr>
        <w:pStyle w:val="Compact"/>
        <w:numPr>
          <w:ilvl w:val="0"/>
          <w:numId w:val="1002"/>
        </w:numPr>
      </w:pPr>
      <w:r>
        <w:t xml:space="preserve">misunderstand context;</w:t>
      </w:r>
    </w:p>
    <w:p>
      <w:pPr>
        <w:pStyle w:val="Compact"/>
        <w:numPr>
          <w:ilvl w:val="0"/>
          <w:numId w:val="1002"/>
        </w:numPr>
      </w:pPr>
      <w:r>
        <w:t xml:space="preserve">retrieve incomplete information;</w:t>
      </w:r>
    </w:p>
    <w:p>
      <w:pPr>
        <w:pStyle w:val="Compact"/>
        <w:numPr>
          <w:ilvl w:val="0"/>
          <w:numId w:val="1002"/>
        </w:numPr>
      </w:pPr>
      <w:r>
        <w:t xml:space="preserve">generate inaccurate conclusions;</w:t>
      </w:r>
    </w:p>
    <w:p>
      <w:pPr>
        <w:pStyle w:val="Compact"/>
        <w:numPr>
          <w:ilvl w:val="0"/>
          <w:numId w:val="1002"/>
        </w:numPr>
      </w:pPr>
      <w:r>
        <w:t xml:space="preserve">make incorrect recommendations;</w:t>
      </w:r>
    </w:p>
    <w:p>
      <w:pPr>
        <w:pStyle w:val="Compact"/>
        <w:numPr>
          <w:ilvl w:val="0"/>
          <w:numId w:val="1002"/>
        </w:numPr>
      </w:pPr>
      <w:r>
        <w:t xml:space="preserve">fail to identify relevant information;</w:t>
      </w:r>
    </w:p>
    <w:p>
      <w:pPr>
        <w:pStyle w:val="Compact"/>
        <w:numPr>
          <w:ilvl w:val="0"/>
          <w:numId w:val="1002"/>
        </w:numPr>
      </w:pPr>
      <w:r>
        <w:t xml:space="preserve">misinterpret documents.</w:t>
      </w:r>
    </w:p>
    <w:p>
      <w:pPr>
        <w:pStyle w:val="FirstParagraph"/>
      </w:pPr>
      <w:r>
        <w:t xml:space="preserve">Where possible, Kloyya may provide evidence, sources, context, or confidence indicators to help users evaluate outputs.</w:t>
      </w:r>
    </w:p>
    <w:bookmarkEnd w:id="11"/>
    <w:bookmarkStart w:id="12" w:name="confidential-information"/>
    <w:p>
      <w:pPr>
        <w:pStyle w:val="Heading2"/>
      </w:pPr>
      <w:r>
        <w:t xml:space="preserve">Confidential Information</w:t>
      </w:r>
    </w:p>
    <w:p>
      <w:pPr>
        <w:pStyle w:val="FirstParagraph"/>
      </w:pPr>
      <w:r>
        <w:t xml:space="preserve">You should only connect accounts and upload information that you are authorized to provide to Kloyya.</w:t>
      </w:r>
    </w:p>
    <w:p>
      <w:pPr>
        <w:pStyle w:val="BodyText"/>
      </w:pPr>
      <w:r>
        <w:t xml:space="preserve">Do not upload confidential information belonging to another person or organization unless you have appropriate authorization.</w:t>
      </w:r>
    </w:p>
    <w:bookmarkEnd w:id="12"/>
    <w:bookmarkStart w:id="13" w:name="automated-actions"/>
    <w:p>
      <w:pPr>
        <w:pStyle w:val="Heading2"/>
      </w:pPr>
      <w:r>
        <w:t xml:space="preserve">Automated Actions</w:t>
      </w:r>
    </w:p>
    <w:p>
      <w:pPr>
        <w:pStyle w:val="FirstParagraph"/>
      </w:pPr>
      <w:r>
        <w:t xml:space="preserve">Where Kloyya provides actions or automation capabilities, users remain responsible for configuring appropriate permissions.</w:t>
      </w:r>
    </w:p>
    <w:p>
      <w:pPr>
        <w:pStyle w:val="BodyText"/>
      </w:pPr>
      <w:r>
        <w:t xml:space="preserve">Kloyya may require confirmation before performing certain sensitive actions.</w:t>
      </w:r>
    </w:p>
    <w:bookmarkEnd w:id="13"/>
    <w:bookmarkStart w:id="14" w:name="model-providers"/>
    <w:p>
      <w:pPr>
        <w:pStyle w:val="Heading2"/>
      </w:pPr>
      <w:r>
        <w:t xml:space="preserve">Model Providers</w:t>
      </w:r>
    </w:p>
    <w:p>
      <w:pPr>
        <w:pStyle w:val="FirstParagraph"/>
      </w:pPr>
      <w:r>
        <w:t xml:space="preserve">Kloyya may use different AI models and infrastructure providers.</w:t>
      </w:r>
    </w:p>
    <w:p>
      <w:pPr>
        <w:pStyle w:val="BodyText"/>
      </w:pPr>
      <w:r>
        <w:t xml:space="preserve">The underlying model may change as Kloyya improves its technology.</w:t>
      </w:r>
    </w:p>
    <w:bookmarkEnd w:id="14"/>
    <w:bookmarkStart w:id="15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Report abuse, safety issues, or AI concerns:</w:t>
      </w:r>
    </w:p>
    <w:p>
      <w:pPr>
        <w:pStyle w:val="BodyText"/>
      </w:pPr>
      <w:r>
        <w:rPr>
          <w:b/>
          <w:bCs/>
        </w:rPr>
        <w:t xml:space="preserve">contactsupport@kloyya.com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