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Ngozi Somah</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Oracle Database Administration</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Ngozi Somah</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309 Baymist Dr, Loganville, GA 30052</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stringbuild1@gmail.com</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5/9/2023</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Nneka Chukwu</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President</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5/9/2023</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mailto:support@educationfunding.co" TargetMode="External" Id="rId5"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