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64D"/>
          <w:sz w:val="56"/>
        </w:rPr>
        <w:t>Demo Data Creation</w:t>
      </w:r>
    </w:p>
    <w:p>
      <w:pPr>
        <w:jc w:val="center"/>
      </w:pPr>
      <w:r>
        <w:rPr>
          <w:color w:val="2E74B5"/>
          <w:sz w:val="28"/>
        </w:rPr>
        <w:t>Codeunit 50602 “Create Demo Data” — Functional &amp; Technical Documentation (v2)</w:t>
      </w:r>
    </w:p>
    <w:p>
      <w:pPr>
        <w:jc w:val="center"/>
      </w:pPr>
      <w:r>
        <w:rPr>
          <w:color w:val="555555"/>
          <w:sz w:val="20"/>
        </w:rPr>
        <w:t>Source: src\codeunit\codeunit_50602_CreateDemoData.al (+ src\table\table_50610_DayPlanning.al)</w:t>
        <w:br/>
        <w:t>Updated for review before sandbox publish — 2026-07-09</w:t>
      </w:r>
    </w:p>
    <w:p>
      <w:pPr>
        <w:jc w:val="center"/>
      </w:pPr>
      <w:r>
        <w:rPr>
          <w:b/>
          <w:color w:val="2E74B5"/>
          <w:sz w:val="22"/>
        </w:rPr>
        <w:t>Estimated total records created by a single run: ≈ 107,000 — see Section 13 for the full classification.</w:t>
      </w:r>
    </w:p>
    <w:p>
      <w:r>
        <w:br w:type="page"/>
      </w:r>
    </w:p>
    <w:p>
      <w:pPr>
        <w:pStyle w:val="Heading1"/>
      </w:pPr>
      <w:r>
        <w:t>1. Overview</w:t>
      </w:r>
    </w:p>
    <w:p>
      <w:r>
        <w:t>Codeunit 50602 “Create Demo Data” is a single-run generator that populates the Demolition/Gantt planning app with a self-consistent, realistic demo dataset spanning construction-industry jobs, vendors, resources, a demo calendar with holidays, and a full Work Order → Order Intake → Day Planning flow. Every record it creates is written through a logging helper (LogRecord) into table 50678 “Demo Data Log Entry”, which lets a subsequent run cleanly delete everything it previously created — and only what it created — before regenerating from scratch.</w:t>
      </w:r>
    </w:p>
    <w:p>
      <w:r>
        <w:t>This version of the document reflects a significant round of enhancements and bug fixes made in this review cycle: real construction-vendor demo data, intuitive job/task naming, a dedicated demo calendar with Dutch public holidays and custom days off, a corrected Daily Optimizer Setup flow, and an entirely new Work Order/Order Intake demo data feature with varied Day Planning durations.</w:t>
      </w:r>
    </w:p>
    <w:p>
      <w:pPr>
        <w:pStyle w:val="Heading2"/>
      </w:pPr>
      <w:r>
        <w:t>1.1 Entry point — OnRun()</w:t>
      </w:r>
    </w:p>
    <w:p>
      <w:r>
        <w:t>Running the codeunit executes the following steps in order (this order matters — see the callouts):</w:t>
      </w:r>
    </w:p>
    <w:p>
      <w:pPr>
        <w:pStyle w:val="ListBullet"/>
      </w:pPr>
      <w:r>
        <w:rPr>
          <w:b/>
        </w:rPr>
        <w:t>Initialize</w:t>
      </w:r>
      <w:r>
        <w:t xml:space="preserve"> — resolves the demo date window (gStartDate/gEndDate) and ensures the base Work-Hour Template 'BASIS' exists.</w:t>
      </w:r>
    </w:p>
    <w:p>
      <w:pPr>
        <w:pStyle w:val="ListBullet"/>
      </w:pPr>
      <w:r>
        <w:rPr>
          <w:b/>
        </w:rPr>
        <w:t>DeleteDemoData</w:t>
      </w:r>
      <w:r>
        <w:t xml:space="preserve"> — removes every record created by a previous run (via the log table), plus bulk-deletes prior demo resource capacity by number prefix.</w:t>
      </w:r>
    </w:p>
    <w:p>
      <w:pPr>
        <w:pStyle w:val="ListBullet"/>
      </w:pPr>
      <w:r>
        <w:rPr>
          <w:b/>
        </w:rPr>
        <w:t>CreateJobs / CreateJobTasks / CreateJobTaskLinks</w:t>
      </w:r>
      <w:r>
        <w:t xml:space="preserve"> — the 3 showcase jobs (JOB001–003), their phased tasks, and Gantt dependency links.</w:t>
      </w:r>
    </w:p>
    <w:p>
      <w:pPr>
        <w:pStyle w:val="ListBullet"/>
      </w:pPr>
      <w:r>
        <w:rPr>
          <w:b/>
        </w:rPr>
        <w:t>CreateBulkJobs</w:t>
      </w:r>
      <w:r>
        <w:t xml:space="preserve"> — 170 additional jobs, each with its own intuitively-named 30-task structure.</w:t>
      </w:r>
    </w:p>
    <w:p>
      <w:pPr>
        <w:pStyle w:val="ListBullet"/>
      </w:pPr>
      <w:r>
        <w:rPr>
          <w:b/>
        </w:rPr>
        <w:t>LoadResources</w:t>
      </w:r>
      <w:r>
        <w:t xml:space="preserve"> — caches up to 6 pre-existing (non-demo) company resources for the 3 showcase jobs. Runs BEFORE demo resources are created so it doesn't accidentally pick up the 200 fresh DR*-coded ones (fixed this cycle — see Section 14).</w:t>
      </w:r>
    </w:p>
    <w:p>
      <w:pPr>
        <w:pStyle w:val="ListBullet"/>
      </w:pPr>
      <w:r>
        <w:rPr>
          <w:b/>
        </w:rPr>
        <w:t>CreateDemoResources</w:t>
      </w:r>
      <w:r>
        <w:t xml:space="preserve"> — creates 50 demo vendors, then 200 demo resources (pool/member/external) with skills and a foreman hierarchy.</w:t>
      </w:r>
    </w:p>
    <w:p>
      <w:pPr>
        <w:pStyle w:val="ListBullet"/>
      </w:pPr>
      <w:r>
        <w:rPr>
          <w:b/>
        </w:rPr>
        <w:t>[fallback] LoadResources again if gResCount = 0</w:t>
      </w:r>
      <w:r>
        <w:t xml:space="preserve"> — safety net for a company with zero pre-existing resources, so the showcase/Work-Order jobs still get resources to plan against (see Section 14).</w:t>
      </w:r>
    </w:p>
    <w:p>
      <w:pPr>
        <w:pStyle w:val="ListBullet"/>
      </w:pPr>
      <w:r>
        <w:rPr>
          <w:b/>
        </w:rPr>
        <w:t>CreateDailyOptimizerSetupDefault</w:t>
      </w:r>
      <w:r>
        <w:t xml:space="preserve"> — creates the DEMOCAL demo calendar (with holidays), and force-sets the Daily Optimizer Setup singleton every run.</w:t>
      </w:r>
    </w:p>
    <w:p>
      <w:pPr>
        <w:pStyle w:val="ListBullet"/>
      </w:pPr>
      <w:r>
        <w:rPr>
          <w:b/>
        </w:rPr>
        <w:t>CreateCapacityAndDayPlanning</w:t>
      </w:r>
      <w:r>
        <w:t xml:space="preserve"> — Resource Capacity Entries and Day Planning for all jobs, showcase and bulk alike, honoring DEMOCAL's non-working exceptions.</w:t>
      </w:r>
    </w:p>
    <w:p>
      <w:pPr>
        <w:pStyle w:val="ListBullet"/>
      </w:pPr>
      <w:r>
        <w:rPr>
          <w:b/>
        </w:rPr>
        <w:t>CreateGanttChartSetupDefaults</w:t>
      </w:r>
      <w:r>
        <w:t xml:space="preserve"> — seeds default Gantt Chart Setup for every user without one (not logged/deleted on rerun).</w:t>
      </w:r>
    </w:p>
    <w:p>
      <w:pPr>
        <w:pStyle w:val="ListBullet"/>
      </w:pPr>
      <w:r>
        <w:rPr>
          <w:b/>
        </w:rPr>
        <w:t>CreateWorkOrderDemoData</w:t>
      </w:r>
      <w:r>
        <w:t xml:space="preserve"> — NEW: Order Intakes, Work Orders, and a dedicated Job with two groups of varied-duration tasks.</w:t>
      </w:r>
    </w:p>
    <w:p>
      <w:r>
        <w:t>On completion, a message reports the total number of log entries created.</w:t>
      </w:r>
    </w:p>
    <w:p>
      <w:pPr>
        <w:pStyle w:val="Heading2"/>
      </w:pPr>
      <w:r>
        <w:t>1.2 Demo date window</w:t>
      </w:r>
    </w:p>
    <w:p>
      <w:pPr>
        <w:ind w:left="283"/>
      </w:pPr>
      <w:r>
        <w:rPr>
          <w:rFonts w:ascii="Consolas" w:hAnsi="Consolas"/>
          <w:color w:val="333333"/>
          <w:sz w:val="18"/>
        </w:rPr>
        <w:t>StartDate = CalcDate('&lt;WD1-1W&gt;', Today())   -&gt; the Monday one week before today</w:t>
        <w:br/>
        <w:t>EndDate   = CalcDate('+110W', StartDate)        -&gt; 110 weeks (~2.1 years) after StartDate</w:t>
      </w:r>
    </w:p>
    <w:p>
      <w:r>
        <w:t>This is a ROLLING window relative to whenever the codeunit is actually run — it is not a fixed calendar range. This matters for the demo calendar (Section 4): the Dutch holiday CSV covers 2025–2030 for headroom, and only the holidays that fall inside the current run's window are actually inserted.</w:t>
      </w:r>
    </w:p>
    <w:p>
      <w:pPr>
        <w:pStyle w:val="Heading1"/>
      </w:pPr>
      <w:r>
        <w:t>2. Setup &amp; Reference Data Ensured</w:t>
      </w:r>
    </w:p>
    <w:p>
      <w:r>
        <w:t>A handful of prerequisite setup records are lazily created — only if they don't already exist — so real configuration is never overwritten. Critically, these fall into two very different lifecycle categories:</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364D"/>
          </w:tcPr>
          <w:p>
            <w:r/>
            <w:r>
              <w:rPr>
                <w:b/>
                <w:color w:val="FFFFFF"/>
                <w:sz w:val="19"/>
              </w:rPr>
              <w:t>Procedure</w:t>
            </w:r>
          </w:p>
        </w:tc>
        <w:tc>
          <w:tcPr>
            <w:tcW w:type="dxa" w:w="1871"/>
            <w:shd w:val="clear" w:color="auto" w:fill="1F364D"/>
          </w:tcPr>
          <w:p>
            <w:r/>
            <w:r>
              <w:rPr>
                <w:b/>
                <w:color w:val="FFFFFF"/>
                <w:sz w:val="19"/>
              </w:rPr>
              <w:t>Table</w:t>
            </w:r>
          </w:p>
        </w:tc>
        <w:tc>
          <w:tcPr>
            <w:tcW w:type="dxa" w:w="4535"/>
            <w:shd w:val="clear" w:color="auto" w:fill="1F364D"/>
          </w:tcPr>
          <w:p>
            <w:r/>
            <w:r>
              <w:rPr>
                <w:b/>
                <w:color w:val="FFFFFF"/>
                <w:sz w:val="19"/>
              </w:rPr>
              <w:t>Lifecycle</w:t>
            </w:r>
          </w:p>
        </w:tc>
      </w:tr>
      <w:tr>
        <w:tc>
          <w:tcPr>
            <w:tcW w:type="dxa" w:w="3118"/>
          </w:tcPr>
          <w:p>
            <w:r/>
            <w:r>
              <w:rPr>
                <w:sz w:val="19"/>
              </w:rPr>
              <w:t>EnsureWorkHourTemplate('BASIS')</w:t>
            </w:r>
          </w:p>
        </w:tc>
        <w:tc>
          <w:tcPr>
            <w:tcW w:type="dxa" w:w="1871"/>
          </w:tcPr>
          <w:p>
            <w:r/>
            <w:r>
              <w:rPr>
                <w:sz w:val="19"/>
              </w:rPr>
              <w:t>Work-Hour Template</w:t>
            </w:r>
          </w:p>
        </w:tc>
        <w:tc>
          <w:tcPr>
            <w:tcW w:type="dxa" w:w="4535"/>
          </w:tcPr>
          <w:p>
            <w:r/>
            <w:r>
              <w:rPr>
                <w:sz w:val="19"/>
              </w:rPr>
              <w:t>PERMANENT — created once, never logged/deleted. Now also sets Default Start Time 07:00, Default End Time 16:00, Non Working Minutes 60 (1h break), Working Hours 8 — previously only the Monday–Friday=8 decimal counts were set, leaving the newer start/end/break fields blank.</w:t>
            </w:r>
          </w:p>
        </w:tc>
      </w:tr>
      <w:tr>
        <w:tc>
          <w:tcPr>
            <w:tcW w:type="dxa" w:w="3118"/>
          </w:tcPr>
          <w:p>
            <w:r/>
            <w:r>
              <w:rPr>
                <w:sz w:val="19"/>
              </w:rPr>
              <w:t>EnsureSkillCode('ELEKTR', ...)</w:t>
            </w:r>
          </w:p>
        </w:tc>
        <w:tc>
          <w:tcPr>
            <w:tcW w:type="dxa" w:w="1871"/>
          </w:tcPr>
          <w:p>
            <w:r/>
            <w:r>
              <w:rPr>
                <w:sz w:val="19"/>
              </w:rPr>
              <w:t>Skill Code</w:t>
            </w:r>
          </w:p>
        </w:tc>
        <w:tc>
          <w:tcPr>
            <w:tcW w:type="dxa" w:w="4535"/>
          </w:tcPr>
          <w:p>
            <w:r/>
            <w:r>
              <w:rPr>
                <w:sz w:val="19"/>
              </w:rPr>
              <w:t>PERMANENT — unlogged.</w:t>
            </w:r>
          </w:p>
        </w:tc>
      </w:tr>
      <w:tr>
        <w:tc>
          <w:tcPr>
            <w:tcW w:type="dxa" w:w="3118"/>
          </w:tcPr>
          <w:p>
            <w:r/>
            <w:r>
              <w:rPr>
                <w:sz w:val="19"/>
              </w:rPr>
              <w:t>EnsureNoSeries('OI'/'WO', ...)</w:t>
            </w:r>
          </w:p>
        </w:tc>
        <w:tc>
          <w:tcPr>
            <w:tcW w:type="dxa" w:w="1871"/>
          </w:tcPr>
          <w:p>
            <w:r/>
            <w:r>
              <w:rPr>
                <w:sz w:val="19"/>
              </w:rPr>
              <w:t>No. Series</w:t>
            </w:r>
          </w:p>
        </w:tc>
        <w:tc>
          <w:tcPr>
            <w:tcW w:type="dxa" w:w="4535"/>
          </w:tcPr>
          <w:p>
            <w:r/>
            <w:r>
              <w:rPr>
                <w:sz w:val="19"/>
              </w:rPr>
              <w:t>PERMANENT — unlogged.</w:t>
            </w:r>
          </w:p>
        </w:tc>
      </w:tr>
      <w:tr>
        <w:tc>
          <w:tcPr>
            <w:tcW w:type="dxa" w:w="3118"/>
          </w:tcPr>
          <w:p>
            <w:r/>
            <w:r>
              <w:rPr>
                <w:sz w:val="19"/>
              </w:rPr>
              <w:t>EnsureResourceGroups()</w:t>
            </w:r>
          </w:p>
        </w:tc>
        <w:tc>
          <w:tcPr>
            <w:tcW w:type="dxa" w:w="1871"/>
          </w:tcPr>
          <w:p>
            <w:r/>
            <w:r>
              <w:rPr>
                <w:sz w:val="19"/>
              </w:rPr>
              <w:t>Resource Group</w:t>
            </w:r>
          </w:p>
        </w:tc>
        <w:tc>
          <w:tcPr>
            <w:tcW w:type="dxa" w:w="4535"/>
          </w:tcPr>
          <w:p>
            <w:r/>
            <w:r>
              <w:rPr>
                <w:sz w:val="19"/>
              </w:rPr>
              <w:t>PERMANENT — unlogged, only seeded if the table is completely empty.</w:t>
            </w:r>
          </w:p>
        </w:tc>
      </w:tr>
      <w:tr>
        <w:tc>
          <w:tcPr>
            <w:tcW w:type="dxa" w:w="3118"/>
          </w:tcPr>
          <w:p>
            <w:r/>
            <w:r>
              <w:rPr>
                <w:sz w:val="19"/>
              </w:rPr>
              <w:t>EnsureCustomer()</w:t>
            </w:r>
          </w:p>
        </w:tc>
        <w:tc>
          <w:tcPr>
            <w:tcW w:type="dxa" w:w="1871"/>
          </w:tcPr>
          <w:p>
            <w:r/>
            <w:r>
              <w:rPr>
                <w:sz w:val="19"/>
              </w:rPr>
              <w:t>Customer</w:t>
            </w:r>
          </w:p>
        </w:tc>
        <w:tc>
          <w:tcPr>
            <w:tcW w:type="dxa" w:w="4535"/>
          </w:tcPr>
          <w:p>
            <w:r/>
            <w:r>
              <w:rPr>
                <w:sz w:val="19"/>
              </w:rPr>
              <w:t>DISPOSABLE — the one exception: this IS logged, so a demo-created 'DEMOCUST' is recreated fresh each run.</w:t>
            </w:r>
          </w:p>
        </w:tc>
      </w:tr>
      <w:tr>
        <w:tc>
          <w:tcPr>
            <w:tcW w:type="dxa" w:w="3118"/>
          </w:tcPr>
          <w:p>
            <w:r/>
            <w:r>
              <w:rPr>
                <w:sz w:val="19"/>
              </w:rPr>
              <w:t>CreateDemoCalendar() / CreateDemoCalendarChanges()</w:t>
            </w:r>
          </w:p>
        </w:tc>
        <w:tc>
          <w:tcPr>
            <w:tcW w:type="dxa" w:w="1871"/>
          </w:tcPr>
          <w:p>
            <w:r/>
            <w:r>
              <w:rPr>
                <w:sz w:val="19"/>
              </w:rPr>
              <w:t>Base Calendar / Base Calendar Change</w:t>
            </w:r>
          </w:p>
        </w:tc>
        <w:tc>
          <w:tcPr>
            <w:tcW w:type="dxa" w:w="4535"/>
          </w:tcPr>
          <w:p>
            <w:r/>
            <w:r>
              <w:rPr>
                <w:sz w:val="19"/>
              </w:rPr>
              <w:t>DISPOSABLE — logged and recreated fresh every run (see Section 4). New this cycle.</w:t>
            </w:r>
          </w:p>
        </w:tc>
      </w:tr>
    </w:tbl>
    <w:p/>
    <w:p>
      <w:r>
        <w:rPr>
          <w:i/>
          <w:color w:val="555555"/>
          <w:sz w:val="19"/>
        </w:rPr>
        <w:t>Note: The permanent/unlogged category means these records survive forever once created — DeleteDemoData() never removes them, even across many reruns. A leftover, no-longer-referenced 'BASIS' Base Calendar record may exist from before this cycle's redesign (the old EnsureBaseCalendar() procedure, now removed, never logged its output) — harmless but orphaned; nothing currently points to it since Daily Optimizer Setup now references DEMOCAL instead.</w:t>
      </w:r>
    </w:p>
    <w:p>
      <w:pPr>
        <w:pStyle w:val="Heading1"/>
      </w:pPr>
      <w:r>
        <w:t>3. Daily Optimizer Setup (Singleton)</w:t>
      </w:r>
    </w:p>
    <w:p>
      <w:r>
        <w:t>This app-wide setup record is force-set to the demo configuration on EVERY run — not just filled in if blank. This was a deliberate fix this cycle: the Daily Optimizer Setup page's OnOpenPage trigger silently auto-inserts a blank singleton the first time anyone opens it, which previously caused the setup fields to stay permanently blank (the old logic exited early once ANY record existed, blank or not).</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364D"/>
          </w:tcPr>
          <w:p>
            <w:r/>
            <w:r>
              <w:rPr>
                <w:b/>
                <w:color w:val="FFFFFF"/>
                <w:sz w:val="19"/>
              </w:rPr>
              <w:t>Field</w:t>
            </w:r>
          </w:p>
        </w:tc>
        <w:tc>
          <w:tcPr>
            <w:tcW w:type="dxa" w:w="2268"/>
            <w:shd w:val="clear" w:color="auto" w:fill="1F364D"/>
          </w:tcPr>
          <w:p>
            <w:r/>
            <w:r>
              <w:rPr>
                <w:b/>
                <w:color w:val="FFFFFF"/>
                <w:sz w:val="19"/>
              </w:rPr>
              <w:t>Value set</w:t>
            </w:r>
          </w:p>
        </w:tc>
        <w:tc>
          <w:tcPr>
            <w:tcW w:type="dxa" w:w="4706"/>
            <w:shd w:val="clear" w:color="auto" w:fill="1F364D"/>
          </w:tcPr>
          <w:p>
            <w:r/>
            <w:r>
              <w:rPr>
                <w:b/>
                <w:color w:val="FFFFFF"/>
                <w:sz w:val="19"/>
              </w:rPr>
              <w:t>Source</w:t>
            </w:r>
          </w:p>
        </w:tc>
      </w:tr>
      <w:tr>
        <w:tc>
          <w:tcPr>
            <w:tcW w:type="dxa" w:w="2551"/>
          </w:tcPr>
          <w:p>
            <w:r/>
            <w:r>
              <w:rPr>
                <w:sz w:val="19"/>
              </w:rPr>
              <w:t>Base Calendar</w:t>
            </w:r>
          </w:p>
        </w:tc>
        <w:tc>
          <w:tcPr>
            <w:tcW w:type="dxa" w:w="2268"/>
          </w:tcPr>
          <w:p>
            <w:r/>
            <w:r>
              <w:rPr>
                <w:sz w:val="19"/>
              </w:rPr>
              <w:t>DEMOCAL</w:t>
            </w:r>
          </w:p>
        </w:tc>
        <w:tc>
          <w:tcPr>
            <w:tcW w:type="dxa" w:w="4706"/>
          </w:tcPr>
          <w:p>
            <w:r/>
            <w:r>
              <w:rPr>
                <w:sz w:val="19"/>
              </w:rPr>
              <w:t>CreateDemoCalendar() — see Section 4</w:t>
            </w:r>
          </w:p>
        </w:tc>
      </w:tr>
      <w:tr>
        <w:tc>
          <w:tcPr>
            <w:tcW w:type="dxa" w:w="2551"/>
          </w:tcPr>
          <w:p>
            <w:r/>
            <w:r>
              <w:rPr>
                <w:sz w:val="19"/>
              </w:rPr>
              <w:t>Work hour Template</w:t>
            </w:r>
          </w:p>
        </w:tc>
        <w:tc>
          <w:tcPr>
            <w:tcW w:type="dxa" w:w="2268"/>
          </w:tcPr>
          <w:p>
            <w:r/>
            <w:r>
              <w:rPr>
                <w:sz w:val="19"/>
              </w:rPr>
              <w:t>BASIS</w:t>
            </w:r>
          </w:p>
        </w:tc>
        <w:tc>
          <w:tcPr>
            <w:tcW w:type="dxa" w:w="4706"/>
          </w:tcPr>
          <w:p>
            <w:r/>
            <w:r>
              <w:rPr>
                <w:sz w:val="19"/>
              </w:rPr>
              <w:t>EnsureWorkHourTemplate('BASIS')</w:t>
            </w:r>
          </w:p>
        </w:tc>
      </w:tr>
      <w:tr>
        <w:tc>
          <w:tcPr>
            <w:tcW w:type="dxa" w:w="2551"/>
          </w:tcPr>
          <w:p>
            <w:r/>
            <w:r>
              <w:rPr>
                <w:sz w:val="19"/>
              </w:rPr>
              <w:t>Default Skill</w:t>
            </w:r>
          </w:p>
        </w:tc>
        <w:tc>
          <w:tcPr>
            <w:tcW w:type="dxa" w:w="2268"/>
          </w:tcPr>
          <w:p>
            <w:r/>
            <w:r>
              <w:rPr>
                <w:sz w:val="19"/>
              </w:rPr>
              <w:t>ELEKTR</w:t>
            </w:r>
          </w:p>
        </w:tc>
        <w:tc>
          <w:tcPr>
            <w:tcW w:type="dxa" w:w="4706"/>
          </w:tcPr>
          <w:p>
            <w:r/>
            <w:r>
              <w:rPr>
                <w:sz w:val="19"/>
              </w:rPr>
              <w:t>EnsureSkillCode('ELEKTR', 'Electrician')</w:t>
            </w:r>
          </w:p>
        </w:tc>
      </w:tr>
      <w:tr>
        <w:tc>
          <w:tcPr>
            <w:tcW w:type="dxa" w:w="2551"/>
          </w:tcPr>
          <w:p>
            <w:r/>
            <w:r>
              <w:rPr>
                <w:sz w:val="19"/>
              </w:rPr>
              <w:t>Order Intake Nos</w:t>
            </w:r>
          </w:p>
        </w:tc>
        <w:tc>
          <w:tcPr>
            <w:tcW w:type="dxa" w:w="2268"/>
          </w:tcPr>
          <w:p>
            <w:r/>
            <w:r>
              <w:rPr>
                <w:sz w:val="19"/>
              </w:rPr>
              <w:t>OI</w:t>
            </w:r>
          </w:p>
        </w:tc>
        <w:tc>
          <w:tcPr>
            <w:tcW w:type="dxa" w:w="4706"/>
          </w:tcPr>
          <w:p>
            <w:r/>
            <w:r>
              <w:rPr>
                <w:sz w:val="19"/>
              </w:rPr>
              <w:t>EnsureNoSeries('OI', 'Order Intake')</w:t>
            </w:r>
          </w:p>
        </w:tc>
      </w:tr>
      <w:tr>
        <w:tc>
          <w:tcPr>
            <w:tcW w:type="dxa" w:w="2551"/>
          </w:tcPr>
          <w:p>
            <w:r/>
            <w:r>
              <w:rPr>
                <w:sz w:val="19"/>
              </w:rPr>
              <w:t>Work Order Nos</w:t>
            </w:r>
          </w:p>
        </w:tc>
        <w:tc>
          <w:tcPr>
            <w:tcW w:type="dxa" w:w="2268"/>
          </w:tcPr>
          <w:p>
            <w:r/>
            <w:r>
              <w:rPr>
                <w:sz w:val="19"/>
              </w:rPr>
              <w:t>WO</w:t>
            </w:r>
          </w:p>
        </w:tc>
        <w:tc>
          <w:tcPr>
            <w:tcW w:type="dxa" w:w="4706"/>
          </w:tcPr>
          <w:p>
            <w:r/>
            <w:r>
              <w:rPr>
                <w:sz w:val="19"/>
              </w:rPr>
              <w:t>EnsureNoSeries('WO', 'Work Order')</w:t>
            </w:r>
          </w:p>
        </w:tc>
      </w:tr>
    </w:tbl>
    <w:p/>
    <w:p>
      <w:r>
        <w:t>The Daily Optimizer Setup ROW itself is still not logged/deleted (it's a true singleton, and DeleteAllowed=false on its page) — only its field VALUES are force-refreshed every run.</w:t>
      </w:r>
    </w:p>
    <w:p>
      <w:pPr>
        <w:pStyle w:val="Heading1"/>
      </w:pPr>
      <w:r>
        <w:t>4. Demo Calendar “DEMOCAL” &amp; Calendar Changes</w:t>
      </w:r>
    </w:p>
    <w:p>
      <w:r>
        <w:t>A dedicated Base Calendar (Code = 'DEMOCAL', Name = 'DEMOPLANNING') replaces the earlier generic 'BASIS' reuse, avoiding any collision with whatever calendar setup already exists in the target sandbox. Unlike the other Ensure* setup helpers, this IS logged — recreated fresh every run — and it is populated with two kinds of non-working exceptions.</w:t>
      </w:r>
    </w:p>
    <w:p>
      <w:pPr>
        <w:pStyle w:val="Heading2"/>
      </w:pPr>
      <w:r>
        <w:t>4.1 Dutch (NL) public holidays</w:t>
      </w:r>
    </w:p>
    <w:p>
      <w:r>
        <w:t>Sourced from confirmed Easter Sunday dates (New Year's Day, Easter Sunday/Monday, King's Day, Liberation Day, Ascension Day, Whit Sunday/Monday, Christmas Day, Boxing Day — 10 holidays/year), computed via the standard offset rules (Ascension = Easter+39, Whit Sunday = Easter+49, Whit Monday = Easter+50) with King's Day's Sunday-shift rule applied where it occurs (e.g. 2025-04-26 instead of 04-27). Stored in src/data/DutchPublicHolidays.csv, now with a 3rd “Recurring” column (Y/N) added this cycle, splitting the 10 holidays into two groups that use BC's native “Recurring System” field differently.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871"/>
            <w:shd w:val="clear" w:color="auto" w:fill="1F364D"/>
          </w:tcPr>
          <w:p>
            <w:r/>
            <w:r>
              <w:rPr>
                <w:b/>
                <w:color w:val="FFFFFF"/>
                <w:sz w:val="19"/>
              </w:rPr>
              <w:t>Group</w:t>
            </w:r>
          </w:p>
        </w:tc>
        <w:tc>
          <w:tcPr>
            <w:tcW w:type="dxa" w:w="3118"/>
            <w:shd w:val="clear" w:color="auto" w:fill="1F364D"/>
          </w:tcPr>
          <w:p>
            <w:r/>
            <w:r>
              <w:rPr>
                <w:b/>
                <w:color w:val="FFFFFF"/>
                <w:sz w:val="19"/>
              </w:rPr>
              <w:t>Holidays</w:t>
            </w:r>
          </w:p>
        </w:tc>
        <w:tc>
          <w:tcPr>
            <w:tcW w:type="dxa" w:w="1701"/>
            <w:shd w:val="clear" w:color="auto" w:fill="1F364D"/>
          </w:tcPr>
          <w:p>
            <w:r/>
            <w:r>
              <w:rPr>
                <w:b/>
                <w:color w:val="FFFFFF"/>
                <w:sz w:val="19"/>
              </w:rPr>
              <w:t>Recurring System</w:t>
            </w:r>
          </w:p>
        </w:tc>
        <w:tc>
          <w:tcPr>
            <w:tcW w:type="dxa" w:w="1701"/>
            <w:shd w:val="clear" w:color="auto" w:fill="1F364D"/>
          </w:tcPr>
          <w:p>
            <w:r/>
            <w:r>
              <w:rPr>
                <w:b/>
                <w:color w:val="FFFFFF"/>
                <w:sz w:val="19"/>
              </w:rPr>
              <w:t>Rows in CSV</w:t>
            </w:r>
          </w:p>
        </w:tc>
        <w:tc>
          <w:tcPr>
            <w:tcW w:type="dxa" w:w="4649"/>
            <w:shd w:val="clear" w:color="auto" w:fill="1F364D"/>
          </w:tcPr>
          <w:p>
            <w:r/>
            <w:r>
              <w:rPr>
                <w:b/>
                <w:color w:val="FFFFFF"/>
                <w:sz w:val="19"/>
              </w:rPr>
              <w:t>How they're inserted</w:t>
            </w:r>
          </w:p>
        </w:tc>
      </w:tr>
      <w:tr>
        <w:tc>
          <w:tcPr>
            <w:tcW w:type="dxa" w:w="1871"/>
          </w:tcPr>
          <w:p>
            <w:r/>
            <w:r>
              <w:rPr>
                <w:sz w:val="19"/>
              </w:rPr>
              <w:t>Fixed calendar date (Y)</w:t>
            </w:r>
          </w:p>
        </w:tc>
        <w:tc>
          <w:tcPr>
            <w:tcW w:type="dxa" w:w="3118"/>
          </w:tcPr>
          <w:p>
            <w:r/>
            <w:r>
              <w:rPr>
                <w:sz w:val="19"/>
              </w:rPr>
              <w:t>Nieuwjaarsdag (Jan 1), Bevrijdingsdag (May 5), Eerste Kerstdag (Dec 25), Tweede Kerstdag (Dec 26)</w:t>
            </w:r>
          </w:p>
        </w:tc>
        <w:tc>
          <w:tcPr>
            <w:tcW w:type="dxa" w:w="1701"/>
          </w:tcPr>
          <w:p>
            <w:r/>
            <w:r>
              <w:rPr>
                <w:sz w:val="19"/>
              </w:rPr>
              <w:t>Annual Recurring</w:t>
            </w:r>
          </w:p>
        </w:tc>
        <w:tc>
          <w:tcPr>
            <w:tcW w:type="dxa" w:w="1701"/>
          </w:tcPr>
          <w:p>
            <w:r/>
            <w:r>
              <w:rPr>
                <w:sz w:val="19"/>
              </w:rPr>
              <w:t>1 anchor row each (4 total)</w:t>
            </w:r>
          </w:p>
        </w:tc>
        <w:tc>
          <w:tcPr>
            <w:tcW w:type="dxa" w:w="4649"/>
          </w:tcPr>
          <w:p>
            <w:r/>
            <w:r>
              <w:rPr>
                <w:sz w:val="19"/>
              </w:rPr>
              <w:t>Inserted UNCONDITIONALLY, once, regardless of the current run's date window — BC's calendar engine repeats the same month/day every year going forward. Confirmed via the base-app source (table 7601 “Base Calendar Change”): OptionMembers = " ","Annual Recurring","Weekly Recurring" (0/1/2).</w:t>
            </w:r>
          </w:p>
        </w:tc>
      </w:tr>
      <w:tr>
        <w:tc>
          <w:tcPr>
            <w:tcW w:type="dxa" w:w="1871"/>
          </w:tcPr>
          <w:p>
            <w:r/>
            <w:r>
              <w:rPr>
                <w:sz w:val="19"/>
              </w:rPr>
              <w:t>Movable date (N)</w:t>
            </w:r>
          </w:p>
        </w:tc>
        <w:tc>
          <w:tcPr>
            <w:tcW w:type="dxa" w:w="3118"/>
          </w:tcPr>
          <w:p>
            <w:r/>
            <w:r>
              <w:rPr>
                <w:sz w:val="19"/>
              </w:rPr>
              <w:t>Eerste/Tweede Paasdag, Hemelvaartsdag, Eerste/Tweede Pinksterdag, Koningsdag</w:t>
            </w:r>
          </w:p>
        </w:tc>
        <w:tc>
          <w:tcPr>
            <w:tcW w:type="dxa" w:w="1701"/>
          </w:tcPr>
          <w:p>
            <w:r/>
            <w:r>
              <w:rPr>
                <w:sz w:val="19"/>
              </w:rPr>
              <w:t>None (blank)</w:t>
            </w:r>
          </w:p>
        </w:tc>
        <w:tc>
          <w:tcPr>
            <w:tcW w:type="dxa" w:w="1701"/>
          </w:tcPr>
          <w:p>
            <w:r/>
            <w:r>
              <w:rPr>
                <w:sz w:val="19"/>
              </w:rPr>
              <w:t>6 x 6 years (2025-2030) = 36 rows</w:t>
            </w:r>
          </w:p>
        </w:tc>
        <w:tc>
          <w:tcPr>
            <w:tcW w:type="dxa" w:w="4649"/>
          </w:tcPr>
          <w:p>
            <w:r/>
            <w:r>
              <w:rPr>
                <w:sz w:val="19"/>
              </w:rPr>
              <w:t>Individual dated rows, unchanged from before — these move every year (computed from Easter, or in Koningsdag's case, shifts in the rare year it falls on a Sunday), so Annual Recurring would repeat the WRONG date in most years. Only rows falling inside the CURRENT run's [gStartDate, gEndDate] are actually inserted — typically ~12-13 of the 36.</w:t>
            </w:r>
          </w:p>
        </w:tc>
      </w:tr>
    </w:tbl>
    <w:p/>
    <w:p>
      <w:r>
        <w:rPr>
          <w:i/>
          <w:color w:val="555555"/>
          <w:sz w:val="19"/>
        </w:rPr>
        <w:t>Note: Movable-date holidays cannot use Recurring System at all — this is a hard constraint of how these holidays work (Easter's date is computed from the lunar Paschal cycle, not a fixed month/day), not a limitation of this implementation.</w:t>
      </w:r>
    </w:p>
    <w:p>
      <w:pPr>
        <w:pStyle w:val="Heading2"/>
      </w:pPr>
      <w:r>
        <w:t>4.2 Custom demo days off</w:t>
      </w:r>
    </w:p>
    <w:p>
      <w:r>
        <w:t>8 fixed exceptions relative to the window's start (gStartDate is always a Monday) — the original 4-pattern set, PLUS the same 4 patterns repeated one year later (+52 weeks), so these days off appear spread across the ~2-year demo window instead of clustered only in its first 5 weeks:</w:t>
      </w:r>
    </w:p>
    <w:tbl>
      <w:tblPr>
        <w:tblStyle w:val="TableGrid"/>
        <w:tblW w:type="auto" w:w="0"/>
        <w:jc w:val="left"/>
        <w:tblLook w:firstColumn="1" w:firstRow="1" w:lastColumn="0" w:lastRow="0" w:noHBand="0" w:noVBand="1" w:val="04A0"/>
      </w:tblPr>
      <w:tblGrid>
        <w:gridCol w:w="2880"/>
        <w:gridCol w:w="2880"/>
        <w:gridCol w:w="2880"/>
      </w:tblGrid>
      <w:tr>
        <w:tc>
          <w:tcPr>
            <w:tcW w:type="dxa" w:w="3402"/>
            <w:shd w:val="clear" w:color="auto" w:fill="1F364D"/>
          </w:tcPr>
          <w:p>
            <w:r/>
            <w:r>
              <w:rPr>
                <w:b/>
                <w:color w:val="FFFFFF"/>
                <w:sz w:val="19"/>
              </w:rPr>
              <w:t>Description</w:t>
            </w:r>
          </w:p>
        </w:tc>
        <w:tc>
          <w:tcPr>
            <w:tcW w:type="dxa" w:w="3118"/>
            <w:shd w:val="clear" w:color="auto" w:fill="1F364D"/>
          </w:tcPr>
          <w:p>
            <w:r/>
            <w:r>
              <w:rPr>
                <w:b/>
                <w:color w:val="FFFFFF"/>
                <w:sz w:val="19"/>
              </w:rPr>
              <w:t>Date formula</w:t>
            </w:r>
          </w:p>
        </w:tc>
        <w:tc>
          <w:tcPr>
            <w:tcW w:type="dxa" w:w="3685"/>
            <w:shd w:val="clear" w:color="auto" w:fill="1F364D"/>
          </w:tcPr>
          <w:p>
            <w:r/>
            <w:r>
              <w:rPr>
                <w:b/>
                <w:color w:val="FFFFFF"/>
                <w:sz w:val="19"/>
              </w:rPr>
              <w:t>Meaning</w:t>
            </w:r>
          </w:p>
        </w:tc>
      </w:tr>
      <w:tr>
        <w:tc>
          <w:tcPr>
            <w:tcW w:type="dxa" w:w="3402"/>
          </w:tcPr>
          <w:p>
            <w:r/>
            <w:r>
              <w:rPr>
                <w:sz w:val="19"/>
              </w:rPr>
              <w:t>Custom Day Off (Wk2 Tue)</w:t>
            </w:r>
          </w:p>
        </w:tc>
        <w:tc>
          <w:tcPr>
            <w:tcW w:type="dxa" w:w="3118"/>
          </w:tcPr>
          <w:p>
            <w:r/>
            <w:r>
              <w:rPr>
                <w:sz w:val="19"/>
              </w:rPr>
              <w:t>gStartDate + 1W + 1D</w:t>
            </w:r>
          </w:p>
        </w:tc>
        <w:tc>
          <w:tcPr>
            <w:tcW w:type="dxa" w:w="3685"/>
          </w:tcPr>
          <w:p>
            <w:r/>
            <w:r>
              <w:rPr>
                <w:sz w:val="19"/>
              </w:rPr>
              <w:t>Tuesday of week 2</w:t>
            </w:r>
          </w:p>
        </w:tc>
      </w:tr>
      <w:tr>
        <w:tc>
          <w:tcPr>
            <w:tcW w:type="dxa" w:w="3402"/>
          </w:tcPr>
          <w:p>
            <w:r/>
            <w:r>
              <w:rPr>
                <w:sz w:val="19"/>
              </w:rPr>
              <w:t>Custom Day Off (Wk3 Wed)</w:t>
            </w:r>
          </w:p>
        </w:tc>
        <w:tc>
          <w:tcPr>
            <w:tcW w:type="dxa" w:w="3118"/>
          </w:tcPr>
          <w:p>
            <w:r/>
            <w:r>
              <w:rPr>
                <w:sz w:val="19"/>
              </w:rPr>
              <w:t>gStartDate + 2W + 2D</w:t>
            </w:r>
          </w:p>
        </w:tc>
        <w:tc>
          <w:tcPr>
            <w:tcW w:type="dxa" w:w="3685"/>
          </w:tcPr>
          <w:p>
            <w:r/>
            <w:r>
              <w:rPr>
                <w:sz w:val="19"/>
              </w:rPr>
              <w:t>Wednesday of week 3</w:t>
            </w:r>
          </w:p>
        </w:tc>
      </w:tr>
      <w:tr>
        <w:tc>
          <w:tcPr>
            <w:tcW w:type="dxa" w:w="3402"/>
          </w:tcPr>
          <w:p>
            <w:r/>
            <w:r>
              <w:rPr>
                <w:sz w:val="19"/>
              </w:rPr>
              <w:t>Custom Day Off (Wk3 Thu)</w:t>
            </w:r>
          </w:p>
        </w:tc>
        <w:tc>
          <w:tcPr>
            <w:tcW w:type="dxa" w:w="3118"/>
          </w:tcPr>
          <w:p>
            <w:r/>
            <w:r>
              <w:rPr>
                <w:sz w:val="19"/>
              </w:rPr>
              <w:t>gStartDate + 2W + 3D</w:t>
            </w:r>
          </w:p>
        </w:tc>
        <w:tc>
          <w:tcPr>
            <w:tcW w:type="dxa" w:w="3685"/>
          </w:tcPr>
          <w:p>
            <w:r/>
            <w:r>
              <w:rPr>
                <w:sz w:val="19"/>
              </w:rPr>
              <w:t>Thursday of week 3 (consecutive with the Wednesday above)</w:t>
            </w:r>
          </w:p>
        </w:tc>
      </w:tr>
      <w:tr>
        <w:tc>
          <w:tcPr>
            <w:tcW w:type="dxa" w:w="3402"/>
          </w:tcPr>
          <w:p>
            <w:r/>
            <w:r>
              <w:rPr>
                <w:sz w:val="19"/>
              </w:rPr>
              <w:t>Custom Day Off (Wk5 Mon)</w:t>
            </w:r>
          </w:p>
        </w:tc>
        <w:tc>
          <w:tcPr>
            <w:tcW w:type="dxa" w:w="3118"/>
          </w:tcPr>
          <w:p>
            <w:r/>
            <w:r>
              <w:rPr>
                <w:sz w:val="19"/>
              </w:rPr>
              <w:t>gStartDate + 4W</w:t>
            </w:r>
          </w:p>
        </w:tc>
        <w:tc>
          <w:tcPr>
            <w:tcW w:type="dxa" w:w="3685"/>
          </w:tcPr>
          <w:p>
            <w:r/>
            <w:r>
              <w:rPr>
                <w:sz w:val="19"/>
              </w:rPr>
              <w:t>Monday of week 5</w:t>
            </w:r>
          </w:p>
        </w:tc>
      </w:tr>
      <w:tr>
        <w:tc>
          <w:tcPr>
            <w:tcW w:type="dxa" w:w="3402"/>
          </w:tcPr>
          <w:p>
            <w:r/>
            <w:r>
              <w:rPr>
                <w:sz w:val="19"/>
              </w:rPr>
              <w:t>Custom Day Off (Wk2 Tue, Yr2)</w:t>
            </w:r>
          </w:p>
        </w:tc>
        <w:tc>
          <w:tcPr>
            <w:tcW w:type="dxa" w:w="3118"/>
          </w:tcPr>
          <w:p>
            <w:r/>
            <w:r>
              <w:rPr>
                <w:sz w:val="19"/>
              </w:rPr>
              <w:t>gStartDate + 1Y + 1W + 1D</w:t>
            </w:r>
          </w:p>
        </w:tc>
        <w:tc>
          <w:tcPr>
            <w:tcW w:type="dxa" w:w="3685"/>
          </w:tcPr>
          <w:p>
            <w:r/>
            <w:r>
              <w:rPr>
                <w:sz w:val="19"/>
              </w:rPr>
              <w:t>Same pattern, one year later</w:t>
            </w:r>
          </w:p>
        </w:tc>
      </w:tr>
      <w:tr>
        <w:tc>
          <w:tcPr>
            <w:tcW w:type="dxa" w:w="3402"/>
          </w:tcPr>
          <w:p>
            <w:r/>
            <w:r>
              <w:rPr>
                <w:sz w:val="19"/>
              </w:rPr>
              <w:t>Custom Day Off (Wk3 Wed, Yr2)</w:t>
            </w:r>
          </w:p>
        </w:tc>
        <w:tc>
          <w:tcPr>
            <w:tcW w:type="dxa" w:w="3118"/>
          </w:tcPr>
          <w:p>
            <w:r/>
            <w:r>
              <w:rPr>
                <w:sz w:val="19"/>
              </w:rPr>
              <w:t>gStartDate + 1Y + 2W + 2D</w:t>
            </w:r>
          </w:p>
        </w:tc>
        <w:tc>
          <w:tcPr>
            <w:tcW w:type="dxa" w:w="3685"/>
          </w:tcPr>
          <w:p>
            <w:r/>
            <w:r>
              <w:rPr>
                <w:sz w:val="19"/>
              </w:rPr>
              <w:t>Same pattern, one year later</w:t>
            </w:r>
          </w:p>
        </w:tc>
      </w:tr>
      <w:tr>
        <w:tc>
          <w:tcPr>
            <w:tcW w:type="dxa" w:w="3402"/>
          </w:tcPr>
          <w:p>
            <w:r/>
            <w:r>
              <w:rPr>
                <w:sz w:val="19"/>
              </w:rPr>
              <w:t>Custom Day Off (Wk3 Thu, Yr2)</w:t>
            </w:r>
          </w:p>
        </w:tc>
        <w:tc>
          <w:tcPr>
            <w:tcW w:type="dxa" w:w="3118"/>
          </w:tcPr>
          <w:p>
            <w:r/>
            <w:r>
              <w:rPr>
                <w:sz w:val="19"/>
              </w:rPr>
              <w:t>gStartDate + 1Y + 2W + 3D</w:t>
            </w:r>
          </w:p>
        </w:tc>
        <w:tc>
          <w:tcPr>
            <w:tcW w:type="dxa" w:w="3685"/>
          </w:tcPr>
          <w:p>
            <w:r/>
            <w:r>
              <w:rPr>
                <w:sz w:val="19"/>
              </w:rPr>
              <w:t>Same pattern, one year later</w:t>
            </w:r>
          </w:p>
        </w:tc>
      </w:tr>
      <w:tr>
        <w:tc>
          <w:tcPr>
            <w:tcW w:type="dxa" w:w="3402"/>
          </w:tcPr>
          <w:p>
            <w:r/>
            <w:r>
              <w:rPr>
                <w:sz w:val="19"/>
              </w:rPr>
              <w:t>Custom Day Off (Wk5 Mon, Yr2)</w:t>
            </w:r>
          </w:p>
        </w:tc>
        <w:tc>
          <w:tcPr>
            <w:tcW w:type="dxa" w:w="3118"/>
          </w:tcPr>
          <w:p>
            <w:r/>
            <w:r>
              <w:rPr>
                <w:sz w:val="19"/>
              </w:rPr>
              <w:t>gStartDate + 1Y + 4W</w:t>
            </w:r>
          </w:p>
        </w:tc>
        <w:tc>
          <w:tcPr>
            <w:tcW w:type="dxa" w:w="3685"/>
          </w:tcPr>
          <w:p>
            <w:r/>
            <w:r>
              <w:rPr>
                <w:sz w:val="19"/>
              </w:rPr>
              <w:t>Same pattern, one year later</w:t>
            </w:r>
          </w:p>
        </w:tc>
      </w:tr>
    </w:tbl>
    <w:p/>
    <w:p>
      <w:r>
        <w:rPr>
          <w:i/>
          <w:color w:val="555555"/>
          <w:sz w:val="19"/>
        </w:rPr>
        <w:t>Note: These deliberately do NOT use Recurring System, even though there are now two yearly occurrences: they're offset from THIS run's rolling gStartDate (different every time the codeunit runs), not a fixed calendar month/day or weekday, so neither “Annual Recurring” nor “Weekly Recurring” can express “week 2 Tuesday of whatever window this run computes.” Generating explicit dated rows for both years is the correct approach here, not a workaround.</w:t>
      </w:r>
    </w:p>
    <w:p>
      <w:pPr>
        <w:pStyle w:val="Heading2"/>
      </w:pPr>
      <w:r>
        <w:t>4.3 How the calendar actually suppresses generation</w:t>
      </w:r>
    </w:p>
    <w:p>
      <w:r>
        <w:t>The core working-day check (IsWorkingDay) was extended this cycle: it still checks the Work-Hour Template's weekday flags first (fast path, unchanged), and — only if that says the weekday is normally working — ALSO checks DEMOCAL's Base Calendar Change exceptions via standard BC codeunit “Calendar Management” (SetSource + IsNonworkingDay), loaded and cached ONCE per run for performance (this check fires tens of thousands of times). This means both Resource Capacity Entry generation and Day Planning generation now correctly skip Dutch holidays and the 4 custom days off.</w:t>
      </w:r>
    </w:p>
    <w:p>
      <w:r>
        <w:rPr>
          <w:i/>
          <w:color w:val="B54A00"/>
          <w:sz w:val="19"/>
        </w:rPr>
        <w:t>Fixed this cycle: Sequencing dependency: CreateDailyOptimizerSetupDefault() (which creates DEMOCAL) was moved to run BEFORE CreateCapacityAndDayPlanning() this cycle — it used to run after, meaning the calendar didn't exist yet when capacity/day-planning generation needed to consult it. This was a genuine bug, now fixed.</w:t>
      </w:r>
    </w:p>
    <w:p>
      <w:pPr>
        <w:pStyle w:val="Heading1"/>
      </w:pPr>
      <w:r>
        <w:t>5. Jobs &amp; Job Tasks</w:t>
      </w:r>
    </w:p>
    <w:p>
      <w:r>
        <w:t>Three distinct Job groups exist in the generated dataset: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118"/>
            <w:shd w:val="clear" w:color="auto" w:fill="1F364D"/>
          </w:tcPr>
          <w:p>
            <w:r/>
            <w:r>
              <w:rPr>
                <w:b/>
                <w:color w:val="FFFFFF"/>
                <w:sz w:val="19"/>
              </w:rPr>
              <w:t>Job group</w:t>
            </w:r>
          </w:p>
        </w:tc>
        <w:tc>
          <w:tcPr>
            <w:tcW w:type="dxa" w:w="1304"/>
            <w:shd w:val="clear" w:color="auto" w:fill="1F364D"/>
          </w:tcPr>
          <w:p>
            <w:r/>
            <w:r>
              <w:rPr>
                <w:b/>
                <w:color w:val="FFFFFF"/>
                <w:sz w:val="19"/>
              </w:rPr>
              <w:t>Job count</w:t>
            </w:r>
          </w:p>
        </w:tc>
        <w:tc>
          <w:tcPr>
            <w:tcW w:type="dxa" w:w="1871"/>
            <w:shd w:val="clear" w:color="auto" w:fill="1F364D"/>
          </w:tcPr>
          <w:p>
            <w:r/>
            <w:r>
              <w:rPr>
                <w:b/>
                <w:color w:val="FFFFFF"/>
                <w:sz w:val="19"/>
              </w:rPr>
              <w:t>Job Task count</w:t>
            </w:r>
          </w:p>
        </w:tc>
        <w:tc>
          <w:tcPr>
            <w:tcW w:type="dxa" w:w="3912"/>
            <w:shd w:val="clear" w:color="auto" w:fill="1F364D"/>
          </w:tcPr>
          <w:p>
            <w:r/>
            <w:r>
              <w:rPr>
                <w:b/>
                <w:color w:val="FFFFFF"/>
                <w:sz w:val="19"/>
              </w:rPr>
              <w:t>Naming</w:t>
            </w:r>
          </w:p>
        </w:tc>
      </w:tr>
      <w:tr>
        <w:tc>
          <w:tcPr>
            <w:tcW w:type="dxa" w:w="3118"/>
          </w:tcPr>
          <w:p>
            <w:r/>
            <w:r>
              <w:rPr>
                <w:sz w:val="19"/>
              </w:rPr>
              <w:t>Showcase (JOB001–003)</w:t>
            </w:r>
          </w:p>
        </w:tc>
        <w:tc>
          <w:tcPr>
            <w:tcW w:type="dxa" w:w="1304"/>
          </w:tcPr>
          <w:p>
            <w:r/>
            <w:r>
              <w:rPr>
                <w:sz w:val="19"/>
              </w:rPr>
              <w:t>3</w:t>
            </w:r>
          </w:p>
        </w:tc>
        <w:tc>
          <w:tcPr>
            <w:tcW w:type="dxa" w:w="1871"/>
          </w:tcPr>
          <w:p>
            <w:r/>
            <w:r>
              <w:rPr>
                <w:sz w:val="19"/>
              </w:rPr>
              <w:t>84 (29+31+24)</w:t>
            </w:r>
          </w:p>
        </w:tc>
        <w:tc>
          <w:tcPr>
            <w:tcW w:type="dxa" w:w="3912"/>
          </w:tcPr>
          <w:p>
            <w:r/>
            <w:r>
              <w:rPr>
                <w:sz w:val="19"/>
              </w:rPr>
              <w:t>Hand-authored, unchanged this cycle: Radome Repair Project / ERP System Implementation / Facility Infrastructure Upgrade.</w:t>
            </w:r>
          </w:p>
        </w:tc>
      </w:tr>
      <w:tr>
        <w:tc>
          <w:tcPr>
            <w:tcW w:type="dxa" w:w="3118"/>
          </w:tcPr>
          <w:p>
            <w:r/>
            <w:r>
              <w:rPr>
                <w:sz w:val="19"/>
              </w:rPr>
              <w:t>Bulk (DJB0001–DJB0170)</w:t>
            </w:r>
          </w:p>
        </w:tc>
        <w:tc>
          <w:tcPr>
            <w:tcW w:type="dxa" w:w="1304"/>
          </w:tcPr>
          <w:p>
            <w:r/>
            <w:r>
              <w:rPr>
                <w:sz w:val="19"/>
              </w:rPr>
              <w:t>170</w:t>
            </w:r>
          </w:p>
        </w:tc>
        <w:tc>
          <w:tcPr>
            <w:tcW w:type="dxa" w:w="1871"/>
          </w:tcPr>
          <w:p>
            <w:r/>
            <w:r>
              <w:rPr>
                <w:sz w:val="19"/>
              </w:rPr>
              <w:t>5,100 (170 x 30)</w:t>
            </w:r>
          </w:p>
        </w:tc>
        <w:tc>
          <w:tcPr>
            <w:tcW w:type="dxa" w:w="3912"/>
          </w:tcPr>
          <w:p>
            <w:r/>
            <w:r>
              <w:rPr>
                <w:sz w:val="19"/>
              </w:rPr>
              <w:t>NEW — intuitive, unique, construction-themed names generated from CSV word lists (Section 5.1), replacing the old “Demo Bulk Project 0001 / Phase 1 / Phase 1 Task 1” placeholders.</w:t>
            </w:r>
          </w:p>
        </w:tc>
      </w:tr>
      <w:tr>
        <w:tc>
          <w:tcPr>
            <w:tcW w:type="dxa" w:w="3118"/>
          </w:tcPr>
          <w:p>
            <w:r/>
            <w:r>
              <w:rPr>
                <w:sz w:val="19"/>
              </w:rPr>
              <w:t>Work Order Demo Data (No. = demo Customer's No.)</w:t>
            </w:r>
          </w:p>
        </w:tc>
        <w:tc>
          <w:tcPr>
            <w:tcW w:type="dxa" w:w="1304"/>
          </w:tcPr>
          <w:p>
            <w:r/>
            <w:r>
              <w:rPr>
                <w:sz w:val="19"/>
              </w:rPr>
              <w:t>1</w:t>
            </w:r>
          </w:p>
        </w:tc>
        <w:tc>
          <w:tcPr>
            <w:tcW w:type="dxa" w:w="1871"/>
          </w:tcPr>
          <w:p>
            <w:r/>
            <w:r>
              <w:rPr>
                <w:sz w:val="19"/>
              </w:rPr>
              <w:t>24</w:t>
            </w:r>
          </w:p>
        </w:tc>
        <w:tc>
          <w:tcPr>
            <w:tcW w:type="dxa" w:w="3912"/>
          </w:tcPr>
          <w:p>
            <w:r/>
            <w:r>
              <w:rPr>
                <w:sz w:val="19"/>
              </w:rPr>
              <w:t>NEW — see Section 8.</w:t>
            </w:r>
          </w:p>
        </w:tc>
      </w:tr>
      <w:tr>
        <w:tc>
          <w:tcPr>
            <w:tcW w:type="dxa" w:w="3118"/>
          </w:tcPr>
          <w:p>
            <w:r/>
            <w:r>
              <w:rPr>
                <w:sz w:val="19"/>
              </w:rPr>
              <w:t>Total</w:t>
            </w:r>
          </w:p>
        </w:tc>
        <w:tc>
          <w:tcPr>
            <w:tcW w:type="dxa" w:w="1304"/>
          </w:tcPr>
          <w:p>
            <w:r/>
            <w:r>
              <w:rPr>
                <w:sz w:val="19"/>
              </w:rPr>
              <w:t>174</w:t>
            </w:r>
          </w:p>
        </w:tc>
        <w:tc>
          <w:tcPr>
            <w:tcW w:type="dxa" w:w="1871"/>
          </w:tcPr>
          <w:p>
            <w:r/>
            <w:r>
              <w:rPr>
                <w:sz w:val="19"/>
              </w:rPr>
              <w:t>5,208</w:t>
            </w:r>
          </w:p>
        </w:tc>
        <w:tc>
          <w:tcPr>
            <w:tcW w:type="dxa" w:w="3912"/>
          </w:tcPr>
          <w:p>
            <w:r/>
            <w:r>
              <w:rPr>
                <w:sz w:val="19"/>
              </w:rPr>
            </w:r>
          </w:p>
        </w:tc>
      </w:tr>
    </w:tbl>
    <w:p/>
    <w:p>
      <w:pPr>
        <w:pStyle w:val="Heading2"/>
      </w:pPr>
      <w:r>
        <w:t>5.1 Intuitive bulk-job naming (NEW this cycle)</w:t>
      </w:r>
    </w:p>
    <w:p>
      <w:r>
        <w:t>Bulk job names, phase names, and task names are now generated from 4 CSV word lists in src/data/, reusing the same deterministic bijective-permutation technique already used for resource names (no collisions, no Random()).</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364D"/>
          </w:tcPr>
          <w:p>
            <w:r/>
            <w:r>
              <w:rPr>
                <w:b/>
                <w:color w:val="FFFFFF"/>
                <w:sz w:val="19"/>
              </w:rPr>
              <w:t>CSV file</w:t>
            </w:r>
          </w:p>
        </w:tc>
        <w:tc>
          <w:tcPr>
            <w:tcW w:type="dxa" w:w="1134"/>
            <w:shd w:val="clear" w:color="auto" w:fill="1F364D"/>
          </w:tcPr>
          <w:p>
            <w:r/>
            <w:r>
              <w:rPr>
                <w:b/>
                <w:color w:val="FFFFFF"/>
                <w:sz w:val="19"/>
              </w:rPr>
              <w:t>Rows</w:t>
            </w:r>
          </w:p>
        </w:tc>
        <w:tc>
          <w:tcPr>
            <w:tcW w:type="dxa" w:w="5953"/>
            <w:shd w:val="clear" w:color="auto" w:fill="1F364D"/>
          </w:tcPr>
          <w:p>
            <w:r/>
            <w:r>
              <w:rPr>
                <w:b/>
                <w:color w:val="FFFFFF"/>
                <w:sz w:val="19"/>
              </w:rPr>
              <w:t>Role</w:t>
            </w:r>
          </w:p>
        </w:tc>
      </w:tr>
      <w:tr>
        <w:tc>
          <w:tcPr>
            <w:tcW w:type="dxa" w:w="2551"/>
          </w:tcPr>
          <w:p>
            <w:r/>
            <w:r>
              <w:rPr>
                <w:sz w:val="19"/>
              </w:rPr>
              <w:t>JobSiteNames.csv</w:t>
            </w:r>
          </w:p>
        </w:tc>
        <w:tc>
          <w:tcPr>
            <w:tcW w:type="dxa" w:w="1134"/>
          </w:tcPr>
          <w:p>
            <w:r/>
            <w:r>
              <w:rPr>
                <w:sz w:val="19"/>
              </w:rPr>
              <w:t>84</w:t>
            </w:r>
          </w:p>
        </w:tc>
        <w:tc>
          <w:tcPr>
            <w:tcW w:type="dxa" w:w="5953"/>
          </w:tcPr>
          <w:p>
            <w:r/>
            <w:r>
              <w:rPr>
                <w:sz w:val="19"/>
              </w:rPr>
              <w:t>Location-style words (e.g. “Cedar Ridge”, “Harborview”)</w:t>
            </w:r>
          </w:p>
        </w:tc>
      </w:tr>
      <w:tr>
        <w:tc>
          <w:tcPr>
            <w:tcW w:type="dxa" w:w="2551"/>
          </w:tcPr>
          <w:p>
            <w:r/>
            <w:r>
              <w:rPr>
                <w:sz w:val="19"/>
              </w:rPr>
              <w:t>ProjectTypeNames.csv</w:t>
            </w:r>
          </w:p>
        </w:tc>
        <w:tc>
          <w:tcPr>
            <w:tcW w:type="dxa" w:w="1134"/>
          </w:tcPr>
          <w:p>
            <w:r/>
            <w:r>
              <w:rPr>
                <w:sz w:val="19"/>
              </w:rPr>
              <w:t>37</w:t>
            </w:r>
          </w:p>
        </w:tc>
        <w:tc>
          <w:tcPr>
            <w:tcW w:type="dxa" w:w="5953"/>
          </w:tcPr>
          <w:p>
            <w:r/>
            <w:r>
              <w:rPr>
                <w:sz w:val="19"/>
              </w:rPr>
              <w:t>Real construction/building project types (e.g. “Elementary School”, “Medical Center Expansion”)</w:t>
            </w:r>
          </w:p>
        </w:tc>
      </w:tr>
      <w:tr>
        <w:tc>
          <w:tcPr>
            <w:tcW w:type="dxa" w:w="2551"/>
          </w:tcPr>
          <w:p>
            <w:r/>
            <w:r>
              <w:rPr>
                <w:sz w:val="19"/>
              </w:rPr>
              <w:t>JobPhaseNames.csv</w:t>
            </w:r>
          </w:p>
        </w:tc>
        <w:tc>
          <w:tcPr>
            <w:tcW w:type="dxa" w:w="1134"/>
          </w:tcPr>
          <w:p>
            <w:r/>
            <w:r>
              <w:rPr>
                <w:sz w:val="19"/>
              </w:rPr>
              <w:t>4</w:t>
            </w:r>
          </w:p>
        </w:tc>
        <w:tc>
          <w:tcPr>
            <w:tcW w:type="dxa" w:w="5953"/>
          </w:tcPr>
          <w:p>
            <w:r/>
            <w:r>
              <w:rPr>
                <w:sz w:val="19"/>
              </w:rPr>
              <w:t>Fixed phase names, reused identically across all 170 bulk jobs (e.g. “Site Work &amp; Foundation”)</w:t>
            </w:r>
          </w:p>
        </w:tc>
      </w:tr>
      <w:tr>
        <w:tc>
          <w:tcPr>
            <w:tcW w:type="dxa" w:w="2551"/>
          </w:tcPr>
          <w:p>
            <w:r/>
            <w:r>
              <w:rPr>
                <w:sz w:val="19"/>
              </w:rPr>
              <w:t>JobTaskNames.csv</w:t>
            </w:r>
          </w:p>
        </w:tc>
        <w:tc>
          <w:tcPr>
            <w:tcW w:type="dxa" w:w="1134"/>
          </w:tcPr>
          <w:p>
            <w:r/>
            <w:r>
              <w:rPr>
                <w:sz w:val="19"/>
              </w:rPr>
              <w:t>20</w:t>
            </w:r>
          </w:p>
        </w:tc>
        <w:tc>
          <w:tcPr>
            <w:tcW w:type="dxa" w:w="5953"/>
          </w:tcPr>
          <w:p>
            <w:r/>
            <w:r>
              <w:rPr>
                <w:sz w:val="19"/>
              </w:rPr>
              <w:t>Fixed task names, 5 per phase (e.g. “Excavation &amp; Grading”)</w:t>
            </w:r>
          </w:p>
        </w:tc>
      </w:tr>
    </w:tbl>
    <w:p/>
    <w:p>
      <w:r>
        <w:t>84 x 37 = 3,108 possible Site+Type combinations comfortably cover the 170 bulk jobs uniquely, with headroom for future growth. Example: DJB0001 might now be described as “Cedar Ridge Elementary School” instead of “Demo Bulk Project 0001”, with its Heading task carrying the same name and its phase/posting tasks reading “Site Work &amp; Foundation” / “Excavation &amp; Grading” instead of “Phase 1” / “Phase 1 Task 1”.</w:t>
      </w:r>
    </w:p>
    <w:p>
      <w:pPr>
        <w:pStyle w:val="Heading1"/>
      </w:pPr>
      <w:r>
        <w:t>6. Job Task Links / Gantt Dependencies</w:t>
      </w:r>
    </w:p>
    <w:p>
      <w:r>
        <w:t>Unchanged this cycle: 55 dependency links across the 3 showcase jobs only (20 + 19 + 16), exercising all four Gantt link types (Finish-Start, Start-Start, Finish-Finish) with varied lag days.</w:t>
      </w:r>
    </w:p>
    <w:p>
      <w:pPr>
        <w:pStyle w:val="Heading1"/>
      </w:pPr>
      <w:r>
        <w:t>7. Demo Vendors &amp; Resources</w:t>
      </w:r>
    </w:p>
    <w:p>
      <w:pPr>
        <w:pStyle w:val="Heading2"/>
      </w:pPr>
      <w:r>
        <w:t>7.1 Demo Vendors — 50 real construction companies (NEW this cycle)</w:t>
      </w:r>
    </w:p>
    <w:p>
      <w:r>
        <w:t>50 Vendor records (DRV001–DRV050) are created using real, well-known construction/building companies sourced from the internet — spanning the US, UK, France, Germany, Spain, Sweden, Canada, India, South Korea, Japan, and China (e.g. Turner Construction, Bechtel, VINCI, Skanska, China State Construction, Larsen &amp; Toubro, Samsung C&amp;T). Logged and recreated fresh every run. Posting groups are borrowed from the first existing Gen. Bus./VAT Bus./Vendor Posting Group, same non-fabrication policy as the Customer/other master data.</w:t>
      </w:r>
    </w:p>
    <w:p>
      <w:pPr>
        <w:pStyle w:val="Heading2"/>
      </w:pPr>
      <w:r>
        <w:t>7.2 Demo Resources — 200 total, Pool resources now named after their Vendor (NEW this cycle)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val="clear" w:color="auto" w:fill="1F364D"/>
          </w:tcPr>
          <w:p>
            <w:r/>
            <w:r>
              <w:rPr>
                <w:b/>
                <w:color w:val="FFFFFF"/>
                <w:sz w:val="19"/>
              </w:rPr>
              <w:t>Type</w:t>
            </w:r>
          </w:p>
        </w:tc>
        <w:tc>
          <w:tcPr>
            <w:tcW w:type="dxa" w:w="1417"/>
            <w:shd w:val="clear" w:color="auto" w:fill="1F364D"/>
          </w:tcPr>
          <w:p>
            <w:r/>
            <w:r>
              <w:rPr>
                <w:b/>
                <w:color w:val="FFFFFF"/>
                <w:sz w:val="19"/>
              </w:rPr>
              <w:t>No. prefix</w:t>
            </w:r>
          </w:p>
        </w:tc>
        <w:tc>
          <w:tcPr>
            <w:tcW w:type="dxa" w:w="1134"/>
            <w:shd w:val="clear" w:color="auto" w:fill="1F364D"/>
          </w:tcPr>
          <w:p>
            <w:r/>
            <w:r>
              <w:rPr>
                <w:b/>
                <w:color w:val="FFFFFF"/>
                <w:sz w:val="19"/>
              </w:rPr>
              <w:t>Count</w:t>
            </w:r>
          </w:p>
        </w:tc>
        <w:tc>
          <w:tcPr>
            <w:tcW w:type="dxa" w:w="5839"/>
            <w:shd w:val="clear" w:color="auto" w:fill="1F364D"/>
          </w:tcPr>
          <w:p>
            <w:r/>
            <w:r>
              <w:rPr>
                <w:b/>
                <w:color w:val="FFFFFF"/>
                <w:sz w:val="19"/>
              </w:rPr>
              <w:t>Name source</w:t>
            </w:r>
          </w:p>
        </w:tc>
      </w:tr>
      <w:tr>
        <w:tc>
          <w:tcPr>
            <w:tcW w:type="dxa" w:w="1984"/>
          </w:tcPr>
          <w:p>
            <w:r/>
            <w:r>
              <w:rPr>
                <w:sz w:val="19"/>
              </w:rPr>
              <w:t>Pool (leader)</w:t>
            </w:r>
          </w:p>
        </w:tc>
        <w:tc>
          <w:tcPr>
            <w:tcW w:type="dxa" w:w="1417"/>
          </w:tcPr>
          <w:p>
            <w:r/>
            <w:r>
              <w:rPr>
                <w:sz w:val="19"/>
              </w:rPr>
              <w:t>DRP</w:t>
            </w:r>
          </w:p>
        </w:tc>
        <w:tc>
          <w:tcPr>
            <w:tcW w:type="dxa" w:w="1134"/>
          </w:tcPr>
          <w:p>
            <w:r/>
            <w:r>
              <w:rPr>
                <w:sz w:val="19"/>
              </w:rPr>
              <w:t>40</w:t>
            </w:r>
          </w:p>
        </w:tc>
        <w:tc>
          <w:tcPr>
            <w:tcW w:type="dxa" w:w="5839"/>
          </w:tcPr>
          <w:p>
            <w:r/>
            <w:r>
              <w:rPr>
                <w:sz w:val="19"/>
              </w:rPr>
              <w:t>CHANGED — now the assigned Vendor's company Name (drawn specifically from the 50 construction-company demo vendors, not the general vendor pool), instead of a random person name.</w:t>
            </w:r>
          </w:p>
        </w:tc>
      </w:tr>
      <w:tr>
        <w:tc>
          <w:tcPr>
            <w:tcW w:type="dxa" w:w="1984"/>
          </w:tcPr>
          <w:p>
            <w:r/>
            <w:r>
              <w:rPr>
                <w:sz w:val="19"/>
              </w:rPr>
              <w:t>Pool member</w:t>
            </w:r>
          </w:p>
        </w:tc>
        <w:tc>
          <w:tcPr>
            <w:tcW w:type="dxa" w:w="1417"/>
          </w:tcPr>
          <w:p>
            <w:r/>
            <w:r>
              <w:rPr>
                <w:sz w:val="19"/>
              </w:rPr>
              <w:t>DRM</w:t>
            </w:r>
          </w:p>
        </w:tc>
        <w:tc>
          <w:tcPr>
            <w:tcW w:type="dxa" w:w="1134"/>
          </w:tcPr>
          <w:p>
            <w:r/>
            <w:r>
              <w:rPr>
                <w:sz w:val="19"/>
              </w:rPr>
              <w:t>80</w:t>
            </w:r>
          </w:p>
        </w:tc>
        <w:tc>
          <w:tcPr>
            <w:tcW w:type="dxa" w:w="5839"/>
          </w:tcPr>
          <w:p>
            <w:r/>
            <w:r>
              <w:rPr>
                <w:sz w:val="19"/>
              </w:rPr>
              <w:t>Unchanged — deterministic random person name.</w:t>
            </w:r>
          </w:p>
        </w:tc>
      </w:tr>
      <w:tr>
        <w:tc>
          <w:tcPr>
            <w:tcW w:type="dxa" w:w="1984"/>
          </w:tcPr>
          <w:p>
            <w:r/>
            <w:r>
              <w:rPr>
                <w:sz w:val="19"/>
              </w:rPr>
              <w:t>External</w:t>
            </w:r>
          </w:p>
        </w:tc>
        <w:tc>
          <w:tcPr>
            <w:tcW w:type="dxa" w:w="1417"/>
          </w:tcPr>
          <w:p>
            <w:r/>
            <w:r>
              <w:rPr>
                <w:sz w:val="19"/>
              </w:rPr>
              <w:t>DRE</w:t>
            </w:r>
          </w:p>
        </w:tc>
        <w:tc>
          <w:tcPr>
            <w:tcW w:type="dxa" w:w="1134"/>
          </w:tcPr>
          <w:p>
            <w:r/>
            <w:r>
              <w:rPr>
                <w:sz w:val="19"/>
              </w:rPr>
              <w:t>80</w:t>
            </w:r>
          </w:p>
        </w:tc>
        <w:tc>
          <w:tcPr>
            <w:tcW w:type="dxa" w:w="5839"/>
          </w:tcPr>
          <w:p>
            <w:r/>
            <w:r>
              <w:rPr>
                <w:sz w:val="19"/>
              </w:rPr>
              <w:t>Unchanged — deterministic random person name; still draws its Vendor No. from the general vendor pool (not scoped to the 50 construction companies).</w:t>
            </w:r>
          </w:p>
        </w:tc>
      </w:tr>
    </w:tbl>
    <w:p/>
    <w:p>
      <w:r>
        <w:t>Since 40 pools draw from 50 dedicated construction-company vendors via a separate round-robin cursor (GetNextDemoVendor(), independent of the general vendor pool), every pool resource gets a unique, real-sounding construction-company name with no duplicates and no leakage from unrelated pre-existing vendors that might already be in the company.</w:t>
      </w:r>
    </w:p>
    <w:p>
      <w:r>
        <w:t>Everything else (Resource Skills = 200, one per resource; the foreman hierarchy; the 40-pool / 80-member / 80-external breakdown; the collision-free deterministic name generator) is unchanged from before this review cycle.</w:t>
      </w:r>
    </w:p>
    <w:p>
      <w:pPr>
        <w:pStyle w:val="Heading1"/>
      </w:pPr>
      <w:r>
        <w:t>8. Work Order Demo Data (entirely NEW this cycle)</w:t>
      </w:r>
    </w:p>
    <w:p>
      <w:r>
        <w:t>A brand-new feature: demo Order Intake and Work Order records, plus a dedicated Job specifically built to showcase varied Day Planning durations — both through the real Work Order → Project Task → Day Planning flow, and via plain (non-Work-Order) Project Tasks.</w:t>
      </w:r>
    </w:p>
    <w:p>
      <w:pPr>
        <w:pStyle w:val="Heading2"/>
      </w:pPr>
      <w:r>
        <w:t>8.1 Order Intakes &amp; Work Orders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969"/>
            <w:shd w:val="clear" w:color="auto" w:fill="1F364D"/>
          </w:tcPr>
          <w:p>
            <w:r/>
            <w:r>
              <w:rPr>
                <w:b/>
                <w:color w:val="FFFFFF"/>
                <w:sz w:val="19"/>
              </w:rPr>
              <w:t>Entity</w:t>
            </w:r>
          </w:p>
        </w:tc>
        <w:tc>
          <w:tcPr>
            <w:tcW w:type="dxa" w:w="1134"/>
            <w:shd w:val="clear" w:color="auto" w:fill="1F364D"/>
          </w:tcPr>
          <w:p>
            <w:r/>
            <w:r>
              <w:rPr>
                <w:b/>
                <w:color w:val="FFFFFF"/>
                <w:sz w:val="19"/>
              </w:rPr>
              <w:t>Count</w:t>
            </w:r>
          </w:p>
        </w:tc>
        <w:tc>
          <w:tcPr>
            <w:tcW w:type="dxa" w:w="1984"/>
            <w:shd w:val="clear" w:color="auto" w:fill="1F364D"/>
          </w:tcPr>
          <w:p>
            <w:r/>
            <w:r>
              <w:rPr>
                <w:b/>
                <w:color w:val="FFFFFF"/>
                <w:sz w:val="19"/>
              </w:rPr>
              <w:t>Codes</w:t>
            </w:r>
          </w:p>
        </w:tc>
        <w:tc>
          <w:tcPr>
            <w:tcW w:type="dxa" w:w="3572"/>
            <w:shd w:val="clear" w:color="auto" w:fill="1F364D"/>
          </w:tcPr>
          <w:p>
            <w:r/>
            <w:r>
              <w:rPr>
                <w:b/>
                <w:color w:val="FFFFFF"/>
                <w:sz w:val="19"/>
              </w:rPr>
              <w:t>Notes</w:t>
            </w:r>
          </w:p>
        </w:tc>
      </w:tr>
      <w:tr>
        <w:tc>
          <w:tcPr>
            <w:tcW w:type="dxa" w:w="3969"/>
          </w:tcPr>
          <w:p>
            <w:r/>
            <w:r>
              <w:rPr>
                <w:sz w:val="19"/>
              </w:rPr>
              <w:t>Order Intake (table “Order Intake Header Opt.”)</w:t>
            </w:r>
          </w:p>
        </w:tc>
        <w:tc>
          <w:tcPr>
            <w:tcW w:type="dxa" w:w="1134"/>
          </w:tcPr>
          <w:p>
            <w:r/>
            <w:r>
              <w:rPr>
                <w:sz w:val="19"/>
              </w:rPr>
              <w:t>3</w:t>
            </w:r>
          </w:p>
        </w:tc>
        <w:tc>
          <w:tcPr>
            <w:tcW w:type="dxa" w:w="1984"/>
          </w:tcPr>
          <w:p>
            <w:r/>
            <w:r>
              <w:rPr>
                <w:sz w:val="19"/>
              </w:rPr>
              <w:t>DOI0001–DOI0003</w:t>
            </w:r>
          </w:p>
        </w:tc>
        <w:tc>
          <w:tcPr>
            <w:tcW w:type="dxa" w:w="3572"/>
          </w:tcPr>
          <w:p>
            <w:r/>
            <w:r>
              <w:rPr>
                <w:sz w:val="19"/>
              </w:rPr>
              <w:t>Customer/Customer Name from the shared demo customer; Status = Open.</w:t>
            </w:r>
          </w:p>
        </w:tc>
      </w:tr>
      <w:tr>
        <w:tc>
          <w:tcPr>
            <w:tcW w:type="dxa" w:w="3969"/>
          </w:tcPr>
          <w:p>
            <w:r/>
            <w:r>
              <w:rPr>
                <w:sz w:val="19"/>
              </w:rPr>
              <w:t>Work Order</w:t>
            </w:r>
          </w:p>
        </w:tc>
        <w:tc>
          <w:tcPr>
            <w:tcW w:type="dxa" w:w="1134"/>
          </w:tcPr>
          <w:p>
            <w:r/>
            <w:r>
              <w:rPr>
                <w:sz w:val="19"/>
              </w:rPr>
              <w:t>10</w:t>
            </w:r>
          </w:p>
        </w:tc>
        <w:tc>
          <w:tcPr>
            <w:tcW w:type="dxa" w:w="1984"/>
          </w:tcPr>
          <w:p>
            <w:r/>
            <w:r>
              <w:rPr>
                <w:sz w:val="19"/>
              </w:rPr>
              <w:t>DWO0001–DWO0010</w:t>
            </w:r>
          </w:p>
        </w:tc>
        <w:tc>
          <w:tcPr>
            <w:tcW w:type="dxa" w:w="3572"/>
          </w:tcPr>
          <w:p>
            <w:r/>
            <w:r>
              <w:rPr>
                <w:sz w:val="19"/>
              </w:rPr>
              <w:t>Round-robin linked to the 3 Order Intakes (4/3/3 split); Source Type = Order Intake; “Project No.”/“Project Task No.” point back at the originating Job Task.</w:t>
            </w:r>
          </w:p>
        </w:tc>
      </w:tr>
    </w:tbl>
    <w:p/>
    <w:p>
      <w:r>
        <w:rPr>
          <w:i/>
          <w:color w:val="555555"/>
          <w:sz w:val="19"/>
        </w:rPr>
        <w:t>Note: A real bug was caught and fixed during implementation: table “Order Intake Header Opt.”'s OnInsert trigger unconditionally resets “Order Date” to Today() regardless of what's set beforehand. The demo generator sets “Order Date”/Status in a Modify() call AFTER Insert(), not before, to avoid it being silently clobbered.</w:t>
      </w:r>
    </w:p>
    <w:p>
      <w:r>
        <w:t>The Job Task numbering deliberately does NOT reuse “Job Task No. = Work Order No.” (the convention seen in this app's manual UI flow for page 50656) — that would make Work Order codes like DWO0001 sort after all-numeric Job Task codes and break the Begin-Total/End-Total nesting used by Job Task Indent. Instead, clean sequential Job Task Nos (1010–1100) are used, and the link back to the originating Work Order is carried via Work Order's own “Project No.”/“Project Task No.” fields, plus a direct “Work Order No.” tag on each Day Planning row.</w:t>
      </w:r>
    </w:p>
    <w:p>
      <w:pPr>
        <w:pStyle w:val="Heading2"/>
      </w:pPr>
      <w:r>
        <w:t>8.2 Task structure — one dedicated Job, 18 Posting tasks in two groups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134"/>
            <w:shd w:val="clear" w:color="auto" w:fill="1F364D"/>
          </w:tcPr>
          <w:p>
            <w:r/>
            <w:r>
              <w:rPr>
                <w:b/>
                <w:color w:val="FFFFFF"/>
                <w:sz w:val="19"/>
              </w:rPr>
              <w:t>Task No.</w:t>
            </w:r>
          </w:p>
        </w:tc>
        <w:tc>
          <w:tcPr>
            <w:tcW w:type="dxa" w:w="1417"/>
            <w:shd w:val="clear" w:color="auto" w:fill="1F364D"/>
          </w:tcPr>
          <w:p>
            <w:r/>
            <w:r>
              <w:rPr>
                <w:b/>
                <w:color w:val="FFFFFF"/>
                <w:sz w:val="19"/>
              </w:rPr>
              <w:t>Type</w:t>
            </w:r>
          </w:p>
        </w:tc>
        <w:tc>
          <w:tcPr>
            <w:tcW w:type="dxa" w:w="4535"/>
            <w:shd w:val="clear" w:color="auto" w:fill="1F364D"/>
          </w:tcPr>
          <w:p>
            <w:r/>
            <w:r>
              <w:rPr>
                <w:b/>
                <w:color w:val="FFFFFF"/>
                <w:sz w:val="19"/>
              </w:rPr>
              <w:t>Description</w:t>
            </w:r>
          </w:p>
        </w:tc>
        <w:tc>
          <w:tcPr>
            <w:tcW w:type="dxa" w:w="3402"/>
            <w:shd w:val="clear" w:color="auto" w:fill="1F364D"/>
          </w:tcPr>
          <w:p>
            <w:r/>
            <w:r>
              <w:rPr>
                <w:b/>
                <w:color w:val="FFFFFF"/>
                <w:sz w:val="19"/>
              </w:rPr>
              <w:t>Duration</w:t>
            </w:r>
          </w:p>
        </w:tc>
      </w:tr>
      <w:tr>
        <w:tc>
          <w:tcPr>
            <w:tcW w:type="dxa" w:w="1134"/>
          </w:tcPr>
          <w:p>
            <w:r/>
            <w:r>
              <w:rPr>
                <w:sz w:val="19"/>
              </w:rPr>
              <w:t>0</w:t>
            </w:r>
          </w:p>
        </w:tc>
        <w:tc>
          <w:tcPr>
            <w:tcW w:type="dxa" w:w="1417"/>
          </w:tcPr>
          <w:p>
            <w:r/>
            <w:r>
              <w:rPr>
                <w:sz w:val="19"/>
              </w:rPr>
              <w:t>Heading</w:t>
            </w:r>
          </w:p>
        </w:tc>
        <w:tc>
          <w:tcPr>
            <w:tcW w:type="dxa" w:w="4535"/>
          </w:tcPr>
          <w:p>
            <w:r/>
            <w:r>
              <w:rPr>
                <w:sz w:val="19"/>
              </w:rPr>
              <w:t>Work Order Demo Data</w:t>
            </w:r>
          </w:p>
        </w:tc>
        <w:tc>
          <w:tcPr>
            <w:tcW w:type="dxa" w:w="3402"/>
          </w:tcPr>
          <w:p>
            <w:r/>
            <w:r>
              <w:rPr>
                <w:sz w:val="19"/>
              </w:rPr>
              <w:t>Full window</w:t>
            </w:r>
          </w:p>
        </w:tc>
      </w:tr>
      <w:tr>
        <w:tc>
          <w:tcPr>
            <w:tcW w:type="dxa" w:w="1134"/>
          </w:tcPr>
          <w:p>
            <w:r/>
            <w:r>
              <w:rPr>
                <w:sz w:val="19"/>
              </w:rPr>
              <w:t>1000</w:t>
            </w:r>
          </w:p>
        </w:tc>
        <w:tc>
          <w:tcPr>
            <w:tcW w:type="dxa" w:w="1417"/>
          </w:tcPr>
          <w:p>
            <w:r/>
            <w:r>
              <w:rPr>
                <w:sz w:val="19"/>
              </w:rPr>
              <w:t>Begin-Total</w:t>
            </w:r>
          </w:p>
        </w:tc>
        <w:tc>
          <w:tcPr>
            <w:tcW w:type="dxa" w:w="4535"/>
          </w:tcPr>
          <w:p>
            <w:r/>
            <w:r>
              <w:rPr>
                <w:sz w:val="19"/>
              </w:rPr>
              <w:t>Work Order Linked Tasks</w:t>
            </w:r>
          </w:p>
        </w:tc>
        <w:tc>
          <w:tcPr>
            <w:tcW w:type="dxa" w:w="3402"/>
          </w:tcPr>
          <w:p>
            <w:r/>
            <w:r>
              <w:rPr>
                <w:sz w:val="19"/>
              </w:rPr>
            </w:r>
          </w:p>
        </w:tc>
      </w:tr>
      <w:tr>
        <w:tc>
          <w:tcPr>
            <w:tcW w:type="dxa" w:w="1134"/>
          </w:tcPr>
          <w:p>
            <w:r/>
            <w:r>
              <w:rPr>
                <w:sz w:val="19"/>
              </w:rPr>
              <w:t>1010</w:t>
            </w:r>
          </w:p>
        </w:tc>
        <w:tc>
          <w:tcPr>
            <w:tcW w:type="dxa" w:w="1417"/>
          </w:tcPr>
          <w:p>
            <w:r/>
            <w:r>
              <w:rPr>
                <w:sz w:val="19"/>
              </w:rPr>
              <w:t>Posting</w:t>
            </w:r>
          </w:p>
        </w:tc>
        <w:tc>
          <w:tcPr>
            <w:tcW w:type="dxa" w:w="4535"/>
          </w:tcPr>
          <w:p>
            <w:r/>
            <w:r>
              <w:rPr>
                <w:sz w:val="19"/>
              </w:rPr>
              <w:t>Site Safety Walkthrough</w:t>
            </w:r>
          </w:p>
        </w:tc>
        <w:tc>
          <w:tcPr>
            <w:tcW w:type="dxa" w:w="3402"/>
          </w:tcPr>
          <w:p>
            <w:r/>
            <w:r>
              <w:rPr>
                <w:sz w:val="19"/>
              </w:rPr>
              <w:t>1 day — 2 hours</w:t>
            </w:r>
          </w:p>
        </w:tc>
      </w:tr>
      <w:tr>
        <w:tc>
          <w:tcPr>
            <w:tcW w:type="dxa" w:w="1134"/>
          </w:tcPr>
          <w:p>
            <w:r/>
            <w:r>
              <w:rPr>
                <w:sz w:val="19"/>
              </w:rPr>
              <w:t>1020</w:t>
            </w:r>
          </w:p>
        </w:tc>
        <w:tc>
          <w:tcPr>
            <w:tcW w:type="dxa" w:w="1417"/>
          </w:tcPr>
          <w:p>
            <w:r/>
            <w:r>
              <w:rPr>
                <w:sz w:val="19"/>
              </w:rPr>
              <w:t>Posting</w:t>
            </w:r>
          </w:p>
        </w:tc>
        <w:tc>
          <w:tcPr>
            <w:tcW w:type="dxa" w:w="4535"/>
          </w:tcPr>
          <w:p>
            <w:r/>
            <w:r>
              <w:rPr>
                <w:sz w:val="19"/>
              </w:rPr>
              <w:t>Equipment Inspection</w:t>
            </w:r>
          </w:p>
        </w:tc>
        <w:tc>
          <w:tcPr>
            <w:tcW w:type="dxa" w:w="3402"/>
          </w:tcPr>
          <w:p>
            <w:r/>
            <w:r>
              <w:rPr>
                <w:sz w:val="19"/>
              </w:rPr>
              <w:t>1 day — 3 hours</w:t>
            </w:r>
          </w:p>
        </w:tc>
      </w:tr>
      <w:tr>
        <w:tc>
          <w:tcPr>
            <w:tcW w:type="dxa" w:w="1134"/>
          </w:tcPr>
          <w:p>
            <w:r/>
            <w:r>
              <w:rPr>
                <w:sz w:val="19"/>
              </w:rPr>
              <w:t>1030</w:t>
            </w:r>
          </w:p>
        </w:tc>
        <w:tc>
          <w:tcPr>
            <w:tcW w:type="dxa" w:w="1417"/>
          </w:tcPr>
          <w:p>
            <w:r/>
            <w:r>
              <w:rPr>
                <w:sz w:val="19"/>
              </w:rPr>
              <w:t>Posting</w:t>
            </w:r>
          </w:p>
        </w:tc>
        <w:tc>
          <w:tcPr>
            <w:tcW w:type="dxa" w:w="4535"/>
          </w:tcPr>
          <w:p>
            <w:r/>
            <w:r>
              <w:rPr>
                <w:sz w:val="19"/>
              </w:rPr>
              <w:t>Material Delivery Check</w:t>
            </w:r>
          </w:p>
        </w:tc>
        <w:tc>
          <w:tcPr>
            <w:tcW w:type="dxa" w:w="3402"/>
          </w:tcPr>
          <w:p>
            <w:r/>
            <w:r>
              <w:rPr>
                <w:sz w:val="19"/>
              </w:rPr>
              <w:t>1 day — 5 hours</w:t>
            </w:r>
          </w:p>
        </w:tc>
      </w:tr>
      <w:tr>
        <w:tc>
          <w:tcPr>
            <w:tcW w:type="dxa" w:w="1134"/>
          </w:tcPr>
          <w:p>
            <w:r/>
            <w:r>
              <w:rPr>
                <w:sz w:val="19"/>
              </w:rPr>
              <w:t>1040</w:t>
            </w:r>
          </w:p>
        </w:tc>
        <w:tc>
          <w:tcPr>
            <w:tcW w:type="dxa" w:w="1417"/>
          </w:tcPr>
          <w:p>
            <w:r/>
            <w:r>
              <w:rPr>
                <w:sz w:val="19"/>
              </w:rPr>
              <w:t>Posting</w:t>
            </w:r>
          </w:p>
        </w:tc>
        <w:tc>
          <w:tcPr>
            <w:tcW w:type="dxa" w:w="4535"/>
          </w:tcPr>
          <w:p>
            <w:r/>
            <w:r>
              <w:rPr>
                <w:sz w:val="19"/>
              </w:rPr>
              <w:t>Client Progress Review</w:t>
            </w:r>
          </w:p>
        </w:tc>
        <w:tc>
          <w:tcPr>
            <w:tcW w:type="dxa" w:w="3402"/>
          </w:tcPr>
          <w:p>
            <w:r/>
            <w:r>
              <w:rPr>
                <w:sz w:val="19"/>
              </w:rPr>
              <w:t>1 day — 2 hours</w:t>
            </w:r>
          </w:p>
        </w:tc>
      </w:tr>
      <w:tr>
        <w:tc>
          <w:tcPr>
            <w:tcW w:type="dxa" w:w="1134"/>
          </w:tcPr>
          <w:p>
            <w:r/>
            <w:r>
              <w:rPr>
                <w:sz w:val="19"/>
              </w:rPr>
              <w:t>1050</w:t>
            </w:r>
          </w:p>
        </w:tc>
        <w:tc>
          <w:tcPr>
            <w:tcW w:type="dxa" w:w="1417"/>
          </w:tcPr>
          <w:p>
            <w:r/>
            <w:r>
              <w:rPr>
                <w:sz w:val="19"/>
              </w:rPr>
              <w:t>Posting</w:t>
            </w:r>
          </w:p>
        </w:tc>
        <w:tc>
          <w:tcPr>
            <w:tcW w:type="dxa" w:w="4535"/>
          </w:tcPr>
          <w:p>
            <w:r/>
            <w:r>
              <w:rPr>
                <w:sz w:val="19"/>
              </w:rPr>
              <w:t>Minor Repair Callout</w:t>
            </w:r>
          </w:p>
        </w:tc>
        <w:tc>
          <w:tcPr>
            <w:tcW w:type="dxa" w:w="3402"/>
          </w:tcPr>
          <w:p>
            <w:r/>
            <w:r>
              <w:rPr>
                <w:sz w:val="19"/>
              </w:rPr>
              <w:t>1 day — 3 hours</w:t>
            </w:r>
          </w:p>
        </w:tc>
      </w:tr>
      <w:tr>
        <w:tc>
          <w:tcPr>
            <w:tcW w:type="dxa" w:w="1134"/>
          </w:tcPr>
          <w:p>
            <w:r/>
            <w:r>
              <w:rPr>
                <w:sz w:val="19"/>
              </w:rPr>
              <w:t>1060</w:t>
            </w:r>
          </w:p>
        </w:tc>
        <w:tc>
          <w:tcPr>
            <w:tcW w:type="dxa" w:w="1417"/>
          </w:tcPr>
          <w:p>
            <w:r/>
            <w:r>
              <w:rPr>
                <w:sz w:val="19"/>
              </w:rPr>
              <w:t>Posting</w:t>
            </w:r>
          </w:p>
        </w:tc>
        <w:tc>
          <w:tcPr>
            <w:tcW w:type="dxa" w:w="4535"/>
          </w:tcPr>
          <w:p>
            <w:r/>
            <w:r>
              <w:rPr>
                <w:sz w:val="19"/>
              </w:rPr>
              <w:t>Punch List Walkthrough</w:t>
            </w:r>
          </w:p>
        </w:tc>
        <w:tc>
          <w:tcPr>
            <w:tcW w:type="dxa" w:w="3402"/>
          </w:tcPr>
          <w:p>
            <w:r/>
            <w:r>
              <w:rPr>
                <w:sz w:val="19"/>
              </w:rPr>
              <w:t>2-day span</w:t>
            </w:r>
          </w:p>
        </w:tc>
      </w:tr>
      <w:tr>
        <w:tc>
          <w:tcPr>
            <w:tcW w:type="dxa" w:w="1134"/>
          </w:tcPr>
          <w:p>
            <w:r/>
            <w:r>
              <w:rPr>
                <w:sz w:val="19"/>
              </w:rPr>
              <w:t>1070</w:t>
            </w:r>
          </w:p>
        </w:tc>
        <w:tc>
          <w:tcPr>
            <w:tcW w:type="dxa" w:w="1417"/>
          </w:tcPr>
          <w:p>
            <w:r/>
            <w:r>
              <w:rPr>
                <w:sz w:val="19"/>
              </w:rPr>
              <w:t>Posting</w:t>
            </w:r>
          </w:p>
        </w:tc>
        <w:tc>
          <w:tcPr>
            <w:tcW w:type="dxa" w:w="4535"/>
          </w:tcPr>
          <w:p>
            <w:r/>
            <w:r>
              <w:rPr>
                <w:sz w:val="19"/>
              </w:rPr>
              <w:t>Utility Locate &amp; Mark</w:t>
            </w:r>
          </w:p>
        </w:tc>
        <w:tc>
          <w:tcPr>
            <w:tcW w:type="dxa" w:w="3402"/>
          </w:tcPr>
          <w:p>
            <w:r/>
            <w:r>
              <w:rPr>
                <w:sz w:val="19"/>
              </w:rPr>
              <w:t>2-day span</w:t>
            </w:r>
          </w:p>
        </w:tc>
      </w:tr>
      <w:tr>
        <w:tc>
          <w:tcPr>
            <w:tcW w:type="dxa" w:w="1134"/>
          </w:tcPr>
          <w:p>
            <w:r/>
            <w:r>
              <w:rPr>
                <w:sz w:val="19"/>
              </w:rPr>
              <w:t>1080</w:t>
            </w:r>
          </w:p>
        </w:tc>
        <w:tc>
          <w:tcPr>
            <w:tcW w:type="dxa" w:w="1417"/>
          </w:tcPr>
          <w:p>
            <w:r/>
            <w:r>
              <w:rPr>
                <w:sz w:val="19"/>
              </w:rPr>
              <w:t>Posting</w:t>
            </w:r>
          </w:p>
        </w:tc>
        <w:tc>
          <w:tcPr>
            <w:tcW w:type="dxa" w:w="4535"/>
          </w:tcPr>
          <w:p>
            <w:r/>
            <w:r>
              <w:rPr>
                <w:sz w:val="19"/>
              </w:rPr>
              <w:t>Snag List Resolution</w:t>
            </w:r>
          </w:p>
        </w:tc>
        <w:tc>
          <w:tcPr>
            <w:tcW w:type="dxa" w:w="3402"/>
          </w:tcPr>
          <w:p>
            <w:r/>
            <w:r>
              <w:rPr>
                <w:sz w:val="19"/>
              </w:rPr>
              <w:t>3-day span</w:t>
            </w:r>
          </w:p>
        </w:tc>
      </w:tr>
      <w:tr>
        <w:tc>
          <w:tcPr>
            <w:tcW w:type="dxa" w:w="1134"/>
          </w:tcPr>
          <w:p>
            <w:r/>
            <w:r>
              <w:rPr>
                <w:sz w:val="19"/>
              </w:rPr>
              <w:t>1090</w:t>
            </w:r>
          </w:p>
        </w:tc>
        <w:tc>
          <w:tcPr>
            <w:tcW w:type="dxa" w:w="1417"/>
          </w:tcPr>
          <w:p>
            <w:r/>
            <w:r>
              <w:rPr>
                <w:sz w:val="19"/>
              </w:rPr>
              <w:t>Posting</w:t>
            </w:r>
          </w:p>
        </w:tc>
        <w:tc>
          <w:tcPr>
            <w:tcW w:type="dxa" w:w="4535"/>
          </w:tcPr>
          <w:p>
            <w:r/>
            <w:r>
              <w:rPr>
                <w:sz w:val="19"/>
              </w:rPr>
              <w:t>Subcontractor Coordination</w:t>
            </w:r>
          </w:p>
        </w:tc>
        <w:tc>
          <w:tcPr>
            <w:tcW w:type="dxa" w:w="3402"/>
          </w:tcPr>
          <w:p>
            <w:r/>
            <w:r>
              <w:rPr>
                <w:sz w:val="19"/>
              </w:rPr>
              <w:t>3-day span</w:t>
            </w:r>
          </w:p>
        </w:tc>
      </w:tr>
      <w:tr>
        <w:tc>
          <w:tcPr>
            <w:tcW w:type="dxa" w:w="1134"/>
          </w:tcPr>
          <w:p>
            <w:r/>
            <w:r>
              <w:rPr>
                <w:sz w:val="19"/>
              </w:rPr>
              <w:t>1100</w:t>
            </w:r>
          </w:p>
        </w:tc>
        <w:tc>
          <w:tcPr>
            <w:tcW w:type="dxa" w:w="1417"/>
          </w:tcPr>
          <w:p>
            <w:r/>
            <w:r>
              <w:rPr>
                <w:sz w:val="19"/>
              </w:rPr>
              <w:t>Posting</w:t>
            </w:r>
          </w:p>
        </w:tc>
        <w:tc>
          <w:tcPr>
            <w:tcW w:type="dxa" w:w="4535"/>
          </w:tcPr>
          <w:p>
            <w:r/>
            <w:r>
              <w:rPr>
                <w:sz w:val="19"/>
              </w:rPr>
              <w:t>Weather Delay Assessment</w:t>
            </w:r>
          </w:p>
        </w:tc>
        <w:tc>
          <w:tcPr>
            <w:tcW w:type="dxa" w:w="3402"/>
          </w:tcPr>
          <w:p>
            <w:r/>
            <w:r>
              <w:rPr>
                <w:sz w:val="19"/>
              </w:rPr>
              <w:t>2-day span</w:t>
            </w:r>
          </w:p>
        </w:tc>
      </w:tr>
      <w:tr>
        <w:tc>
          <w:tcPr>
            <w:tcW w:type="dxa" w:w="1134"/>
          </w:tcPr>
          <w:p>
            <w:r/>
            <w:r>
              <w:rPr>
                <w:sz w:val="19"/>
              </w:rPr>
              <w:t>1999</w:t>
            </w:r>
          </w:p>
        </w:tc>
        <w:tc>
          <w:tcPr>
            <w:tcW w:type="dxa" w:w="1417"/>
          </w:tcPr>
          <w:p>
            <w:r/>
            <w:r>
              <w:rPr>
                <w:sz w:val="19"/>
              </w:rPr>
              <w:t>End-Total</w:t>
            </w:r>
          </w:p>
        </w:tc>
        <w:tc>
          <w:tcPr>
            <w:tcW w:type="dxa" w:w="4535"/>
          </w:tcPr>
          <w:p>
            <w:r/>
            <w:r>
              <w:rPr>
                <w:sz w:val="19"/>
              </w:rPr>
              <w:t>Work Order Linked Tasks Total</w:t>
            </w:r>
          </w:p>
        </w:tc>
        <w:tc>
          <w:tcPr>
            <w:tcW w:type="dxa" w:w="3402"/>
          </w:tcPr>
          <w:p>
            <w:r/>
            <w:r>
              <w:rPr>
                <w:sz w:val="19"/>
              </w:rPr>
            </w:r>
          </w:p>
        </w:tc>
      </w:tr>
      <w:tr>
        <w:tc>
          <w:tcPr>
            <w:tcW w:type="dxa" w:w="1134"/>
          </w:tcPr>
          <w:p>
            <w:r/>
            <w:r>
              <w:rPr>
                <w:sz w:val="19"/>
              </w:rPr>
              <w:t>2000</w:t>
            </w:r>
          </w:p>
        </w:tc>
        <w:tc>
          <w:tcPr>
            <w:tcW w:type="dxa" w:w="1417"/>
          </w:tcPr>
          <w:p>
            <w:r/>
            <w:r>
              <w:rPr>
                <w:sz w:val="19"/>
              </w:rPr>
              <w:t>Begin-Total</w:t>
            </w:r>
          </w:p>
        </w:tc>
        <w:tc>
          <w:tcPr>
            <w:tcW w:type="dxa" w:w="4535"/>
          </w:tcPr>
          <w:p>
            <w:r/>
            <w:r>
              <w:rPr>
                <w:sz w:val="19"/>
              </w:rPr>
              <w:t>Extended &amp; Long-Term Tasks</w:t>
            </w:r>
          </w:p>
        </w:tc>
        <w:tc>
          <w:tcPr>
            <w:tcW w:type="dxa" w:w="3402"/>
          </w:tcPr>
          <w:p>
            <w:r/>
            <w:r>
              <w:rPr>
                <w:sz w:val="19"/>
              </w:rPr>
            </w:r>
          </w:p>
        </w:tc>
      </w:tr>
      <w:tr>
        <w:tc>
          <w:tcPr>
            <w:tcW w:type="dxa" w:w="1134"/>
          </w:tcPr>
          <w:p>
            <w:r/>
            <w:r>
              <w:rPr>
                <w:sz w:val="19"/>
              </w:rPr>
              <w:t>2010</w:t>
            </w:r>
          </w:p>
        </w:tc>
        <w:tc>
          <w:tcPr>
            <w:tcW w:type="dxa" w:w="1417"/>
          </w:tcPr>
          <w:p>
            <w:r/>
            <w:r>
              <w:rPr>
                <w:sz w:val="19"/>
              </w:rPr>
              <w:t>Posting</w:t>
            </w:r>
          </w:p>
        </w:tc>
        <w:tc>
          <w:tcPr>
            <w:tcW w:type="dxa" w:w="4535"/>
          </w:tcPr>
          <w:p>
            <w:r/>
            <w:r>
              <w:rPr>
                <w:sz w:val="19"/>
              </w:rPr>
              <w:t>Extended Site Monitoring A</w:t>
            </w:r>
          </w:p>
        </w:tc>
        <w:tc>
          <w:tcPr>
            <w:tcW w:type="dxa" w:w="3402"/>
          </w:tcPr>
          <w:p>
            <w:r/>
            <w:r>
              <w:rPr>
                <w:sz w:val="19"/>
              </w:rPr>
              <w:t>~8 days</w:t>
            </w:r>
          </w:p>
        </w:tc>
      </w:tr>
      <w:tr>
        <w:tc>
          <w:tcPr>
            <w:tcW w:type="dxa" w:w="1134"/>
          </w:tcPr>
          <w:p>
            <w:r/>
            <w:r>
              <w:rPr>
                <w:sz w:val="19"/>
              </w:rPr>
              <w:t>2020</w:t>
            </w:r>
          </w:p>
        </w:tc>
        <w:tc>
          <w:tcPr>
            <w:tcW w:type="dxa" w:w="1417"/>
          </w:tcPr>
          <w:p>
            <w:r/>
            <w:r>
              <w:rPr>
                <w:sz w:val="19"/>
              </w:rPr>
              <w:t>Posting</w:t>
            </w:r>
          </w:p>
        </w:tc>
        <w:tc>
          <w:tcPr>
            <w:tcW w:type="dxa" w:w="4535"/>
          </w:tcPr>
          <w:p>
            <w:r/>
            <w:r>
              <w:rPr>
                <w:sz w:val="19"/>
              </w:rPr>
              <w:t>Extended Site Monitoring B</w:t>
            </w:r>
          </w:p>
        </w:tc>
        <w:tc>
          <w:tcPr>
            <w:tcW w:type="dxa" w:w="3402"/>
          </w:tcPr>
          <w:p>
            <w:r/>
            <w:r>
              <w:rPr>
                <w:sz w:val="19"/>
              </w:rPr>
              <w:t>~6 days</w:t>
            </w:r>
          </w:p>
        </w:tc>
      </w:tr>
      <w:tr>
        <w:tc>
          <w:tcPr>
            <w:tcW w:type="dxa" w:w="1134"/>
          </w:tcPr>
          <w:p>
            <w:r/>
            <w:r>
              <w:rPr>
                <w:sz w:val="19"/>
              </w:rPr>
              <w:t>2030</w:t>
            </w:r>
          </w:p>
        </w:tc>
        <w:tc>
          <w:tcPr>
            <w:tcW w:type="dxa" w:w="1417"/>
          </w:tcPr>
          <w:p>
            <w:r/>
            <w:r>
              <w:rPr>
                <w:sz w:val="19"/>
              </w:rPr>
              <w:t>Posting</w:t>
            </w:r>
          </w:p>
        </w:tc>
        <w:tc>
          <w:tcPr>
            <w:tcW w:type="dxa" w:w="4535"/>
          </w:tcPr>
          <w:p>
            <w:r/>
            <w:r>
              <w:rPr>
                <w:sz w:val="19"/>
              </w:rPr>
              <w:t>Phase Handover Documentation A</w:t>
            </w:r>
          </w:p>
        </w:tc>
        <w:tc>
          <w:tcPr>
            <w:tcW w:type="dxa" w:w="3402"/>
          </w:tcPr>
          <w:p>
            <w:r/>
            <w:r>
              <w:rPr>
                <w:sz w:val="19"/>
              </w:rPr>
              <w:t>~9 weeks (≈ 2 months)</w:t>
            </w:r>
          </w:p>
        </w:tc>
      </w:tr>
      <w:tr>
        <w:tc>
          <w:tcPr>
            <w:tcW w:type="dxa" w:w="1134"/>
          </w:tcPr>
          <w:p>
            <w:r/>
            <w:r>
              <w:rPr>
                <w:sz w:val="19"/>
              </w:rPr>
              <w:t>2040</w:t>
            </w:r>
          </w:p>
        </w:tc>
        <w:tc>
          <w:tcPr>
            <w:tcW w:type="dxa" w:w="1417"/>
          </w:tcPr>
          <w:p>
            <w:r/>
            <w:r>
              <w:rPr>
                <w:sz w:val="19"/>
              </w:rPr>
              <w:t>Posting</w:t>
            </w:r>
          </w:p>
        </w:tc>
        <w:tc>
          <w:tcPr>
            <w:tcW w:type="dxa" w:w="4535"/>
          </w:tcPr>
          <w:p>
            <w:r/>
            <w:r>
              <w:rPr>
                <w:sz w:val="19"/>
              </w:rPr>
              <w:t>Phase Handover Documentation B</w:t>
            </w:r>
          </w:p>
        </w:tc>
        <w:tc>
          <w:tcPr>
            <w:tcW w:type="dxa" w:w="3402"/>
          </w:tcPr>
          <w:p>
            <w:r/>
            <w:r>
              <w:rPr>
                <w:sz w:val="19"/>
              </w:rPr>
              <w:t>~8 weeks (≈ 2 months)</w:t>
            </w:r>
          </w:p>
        </w:tc>
      </w:tr>
      <w:tr>
        <w:tc>
          <w:tcPr>
            <w:tcW w:type="dxa" w:w="1134"/>
          </w:tcPr>
          <w:p>
            <w:r/>
            <w:r>
              <w:rPr>
                <w:sz w:val="19"/>
              </w:rPr>
              <w:t>2050</w:t>
            </w:r>
          </w:p>
        </w:tc>
        <w:tc>
          <w:tcPr>
            <w:tcW w:type="dxa" w:w="1417"/>
          </w:tcPr>
          <w:p>
            <w:r/>
            <w:r>
              <w:rPr>
                <w:sz w:val="19"/>
              </w:rPr>
              <w:t>Posting</w:t>
            </w:r>
          </w:p>
        </w:tc>
        <w:tc>
          <w:tcPr>
            <w:tcW w:type="dxa" w:w="4535"/>
          </w:tcPr>
          <w:p>
            <w:r/>
            <w:r>
              <w:rPr>
                <w:sz w:val="19"/>
              </w:rPr>
              <w:t>Extended Warranty Support A</w:t>
            </w:r>
          </w:p>
        </w:tc>
        <w:tc>
          <w:tcPr>
            <w:tcW w:type="dxa" w:w="3402"/>
          </w:tcPr>
          <w:p>
            <w:r/>
            <w:r>
              <w:rPr>
                <w:sz w:val="19"/>
              </w:rPr>
              <w:t>~13 weeks (≈ 3 months)</w:t>
            </w:r>
          </w:p>
        </w:tc>
      </w:tr>
      <w:tr>
        <w:tc>
          <w:tcPr>
            <w:tcW w:type="dxa" w:w="1134"/>
          </w:tcPr>
          <w:p>
            <w:r/>
            <w:r>
              <w:rPr>
                <w:sz w:val="19"/>
              </w:rPr>
              <w:t>2060</w:t>
            </w:r>
          </w:p>
        </w:tc>
        <w:tc>
          <w:tcPr>
            <w:tcW w:type="dxa" w:w="1417"/>
          </w:tcPr>
          <w:p>
            <w:r/>
            <w:r>
              <w:rPr>
                <w:sz w:val="19"/>
              </w:rPr>
              <w:t>Posting</w:t>
            </w:r>
          </w:p>
        </w:tc>
        <w:tc>
          <w:tcPr>
            <w:tcW w:type="dxa" w:w="4535"/>
          </w:tcPr>
          <w:p>
            <w:r/>
            <w:r>
              <w:rPr>
                <w:sz w:val="19"/>
              </w:rPr>
              <w:t>Extended Warranty Support B</w:t>
            </w:r>
          </w:p>
        </w:tc>
        <w:tc>
          <w:tcPr>
            <w:tcW w:type="dxa" w:w="3402"/>
          </w:tcPr>
          <w:p>
            <w:r/>
            <w:r>
              <w:rPr>
                <w:sz w:val="19"/>
              </w:rPr>
              <w:t>~12 weeks (≈ 3 months)</w:t>
            </w:r>
          </w:p>
        </w:tc>
      </w:tr>
      <w:tr>
        <w:tc>
          <w:tcPr>
            <w:tcW w:type="dxa" w:w="1134"/>
          </w:tcPr>
          <w:p>
            <w:r/>
            <w:r>
              <w:rPr>
                <w:sz w:val="19"/>
              </w:rPr>
              <w:t>2070</w:t>
            </w:r>
          </w:p>
        </w:tc>
        <w:tc>
          <w:tcPr>
            <w:tcW w:type="dxa" w:w="1417"/>
          </w:tcPr>
          <w:p>
            <w:r/>
            <w:r>
              <w:rPr>
                <w:sz w:val="19"/>
              </w:rPr>
              <w:t>Posting</w:t>
            </w:r>
          </w:p>
        </w:tc>
        <w:tc>
          <w:tcPr>
            <w:tcW w:type="dxa" w:w="4535"/>
          </w:tcPr>
          <w:p>
            <w:r/>
            <w:r>
              <w:rPr>
                <w:sz w:val="19"/>
              </w:rPr>
              <w:t>Long-Term Maintenance Contract A</w:t>
            </w:r>
          </w:p>
        </w:tc>
        <w:tc>
          <w:tcPr>
            <w:tcW w:type="dxa" w:w="3402"/>
          </w:tcPr>
          <w:p>
            <w:r/>
            <w:r>
              <w:rPr>
                <w:sz w:val="19"/>
              </w:rPr>
              <w:t>~17 weeks (≈ 4 months)</w:t>
            </w:r>
          </w:p>
        </w:tc>
      </w:tr>
      <w:tr>
        <w:tc>
          <w:tcPr>
            <w:tcW w:type="dxa" w:w="1134"/>
          </w:tcPr>
          <w:p>
            <w:r/>
            <w:r>
              <w:rPr>
                <w:sz w:val="19"/>
              </w:rPr>
              <w:t>2080</w:t>
            </w:r>
          </w:p>
        </w:tc>
        <w:tc>
          <w:tcPr>
            <w:tcW w:type="dxa" w:w="1417"/>
          </w:tcPr>
          <w:p>
            <w:r/>
            <w:r>
              <w:rPr>
                <w:sz w:val="19"/>
              </w:rPr>
              <w:t>Posting</w:t>
            </w:r>
          </w:p>
        </w:tc>
        <w:tc>
          <w:tcPr>
            <w:tcW w:type="dxa" w:w="4535"/>
          </w:tcPr>
          <w:p>
            <w:r/>
            <w:r>
              <w:rPr>
                <w:sz w:val="19"/>
              </w:rPr>
              <w:t>Long-Term Maintenance Contract B</w:t>
            </w:r>
          </w:p>
        </w:tc>
        <w:tc>
          <w:tcPr>
            <w:tcW w:type="dxa" w:w="3402"/>
          </w:tcPr>
          <w:p>
            <w:r/>
            <w:r>
              <w:rPr>
                <w:sz w:val="19"/>
              </w:rPr>
              <w:t>~16 weeks (≈ 4 months)</w:t>
            </w:r>
          </w:p>
        </w:tc>
      </w:tr>
      <w:tr>
        <w:tc>
          <w:tcPr>
            <w:tcW w:type="dxa" w:w="1134"/>
          </w:tcPr>
          <w:p>
            <w:r/>
            <w:r>
              <w:rPr>
                <w:sz w:val="19"/>
              </w:rPr>
              <w:t>2999</w:t>
            </w:r>
          </w:p>
        </w:tc>
        <w:tc>
          <w:tcPr>
            <w:tcW w:type="dxa" w:w="1417"/>
          </w:tcPr>
          <w:p>
            <w:r/>
            <w:r>
              <w:rPr>
                <w:sz w:val="19"/>
              </w:rPr>
              <w:t>End-Total</w:t>
            </w:r>
          </w:p>
        </w:tc>
        <w:tc>
          <w:tcPr>
            <w:tcW w:type="dxa" w:w="4535"/>
          </w:tcPr>
          <w:p>
            <w:r/>
            <w:r>
              <w:rPr>
                <w:sz w:val="19"/>
              </w:rPr>
              <w:t>Extended &amp; Long-Term Tasks Total</w:t>
            </w:r>
          </w:p>
        </w:tc>
        <w:tc>
          <w:tcPr>
            <w:tcW w:type="dxa" w:w="3402"/>
          </w:tcPr>
          <w:p>
            <w:r/>
            <w:r>
              <w:rPr>
                <w:sz w:val="19"/>
              </w:rPr>
            </w:r>
          </w:p>
        </w:tc>
      </w:tr>
      <w:tr>
        <w:tc>
          <w:tcPr>
            <w:tcW w:type="dxa" w:w="1134"/>
          </w:tcPr>
          <w:p>
            <w:r/>
            <w:r>
              <w:rPr>
                <w:sz w:val="19"/>
              </w:rPr>
              <w:t>9999</w:t>
            </w:r>
          </w:p>
        </w:tc>
        <w:tc>
          <w:tcPr>
            <w:tcW w:type="dxa" w:w="1417"/>
          </w:tcPr>
          <w:p>
            <w:r/>
            <w:r>
              <w:rPr>
                <w:sz w:val="19"/>
              </w:rPr>
              <w:t>Total</w:t>
            </w:r>
          </w:p>
        </w:tc>
        <w:tc>
          <w:tcPr>
            <w:tcW w:type="dxa" w:w="4535"/>
          </w:tcPr>
          <w:p>
            <w:r/>
            <w:r>
              <w:rPr>
                <w:sz w:val="19"/>
              </w:rPr>
              <w:t>Work Order Demo Data Total</w:t>
            </w:r>
          </w:p>
        </w:tc>
        <w:tc>
          <w:tcPr>
            <w:tcW w:type="dxa" w:w="3402"/>
          </w:tcPr>
          <w:p>
            <w:r/>
            <w:r>
              <w:rPr>
                <w:sz w:val="19"/>
              </w:rPr>
            </w:r>
          </w:p>
        </w:tc>
      </w:tr>
    </w:tbl>
    <w:p/>
    <w:p>
      <w:r>
        <w:t>Tasks 1010–1100 are linked to Work Orders DWO0001–DWO0010 respectively. Tasks 2010–2080 are plain Project Tasks, not linked to any Work Order. All single-day/span-start dates are snapped forward to the next actual working day (honoring both the Work-Hour Template and DEMOCAL's holidays/custom days off) via a new NextWorkingDayOnOrAfter() helper, directly addressing the requirement that “day planning creation is not on a day-off based on demo calendar DEMOCAL.”</w:t>
      </w:r>
    </w:p>
    <w:p>
      <w:pPr>
        <w:pStyle w:val="Heading2"/>
      </w:pPr>
      <w:r>
        <w:t>8.3 Day Planning generation — two different engines</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F364D"/>
          </w:tcPr>
          <w:p>
            <w:r/>
            <w:r>
              <w:rPr>
                <w:b/>
                <w:color w:val="FFFFFF"/>
                <w:sz w:val="19"/>
              </w:rPr>
              <w:t>Group</w:t>
            </w:r>
          </w:p>
        </w:tc>
        <w:tc>
          <w:tcPr>
            <w:tcW w:type="dxa" w:w="3118"/>
            <w:shd w:val="clear" w:color="auto" w:fill="1F364D"/>
          </w:tcPr>
          <w:p>
            <w:r/>
            <w:r>
              <w:rPr>
                <w:b/>
                <w:color w:val="FFFFFF"/>
                <w:sz w:val="19"/>
              </w:rPr>
              <w:t>Generator</w:t>
            </w:r>
          </w:p>
        </w:tc>
        <w:tc>
          <w:tcPr>
            <w:tcW w:type="dxa" w:w="5386"/>
            <w:shd w:val="clear" w:color="auto" w:fill="1F364D"/>
          </w:tcPr>
          <w:p>
            <w:r/>
            <w:r>
              <w:rPr>
                <w:b/>
                <w:color w:val="FFFFFF"/>
                <w:sz w:val="19"/>
              </w:rPr>
              <w:t>Behavior</w:t>
            </w:r>
          </w:p>
        </w:tc>
      </w:tr>
      <w:tr>
        <w:tc>
          <w:tcPr>
            <w:tcW w:type="dxa" w:w="1984"/>
          </w:tcPr>
          <w:p>
            <w:r/>
            <w:r>
              <w:rPr>
                <w:sz w:val="19"/>
              </w:rPr>
              <w:t>1010–1100 (Work-Order-linked)</w:t>
            </w:r>
          </w:p>
        </w:tc>
        <w:tc>
          <w:tcPr>
            <w:tcW w:type="dxa" w:w="3118"/>
          </w:tcPr>
          <w:p>
            <w:r/>
            <w:r>
              <w:rPr>
                <w:sz w:val="19"/>
              </w:rPr>
              <w:t>New dedicated procedure: InsertWorkOrderDayPlanning()</w:t>
            </w:r>
          </w:p>
        </w:tc>
        <w:tc>
          <w:tcPr>
            <w:tcW w:type="dxa" w:w="5386"/>
          </w:tcPr>
          <w:p>
            <w:r/>
            <w:r>
              <w:rPr>
                <w:sz w:val="19"/>
              </w:rPr>
              <w:t>Single resource (leader role only). Exact hour values (2/3/5) for the single-day tasks; a fixed 8h line per working day within the span for the 2–3 day tasks. Tags “Work Order No.” on every row. Does NOT use the generic weekday-hour pattern (GetTimeSlot) since exact values are required.</w:t>
            </w:r>
          </w:p>
        </w:tc>
      </w:tr>
      <w:tr>
        <w:tc>
          <w:tcPr>
            <w:tcW w:type="dxa" w:w="1984"/>
          </w:tcPr>
          <w:p>
            <w:r/>
            <w:r>
              <w:rPr>
                <w:sz w:val="19"/>
              </w:rPr>
              <w:t>2010–2080 (plain)</w:t>
            </w:r>
          </w:p>
        </w:tc>
        <w:tc>
          <w:tcPr>
            <w:tcW w:type="dxa" w:w="3118"/>
          </w:tcPr>
          <w:p>
            <w:r/>
            <w:r>
              <w:rPr>
                <w:sz w:val="19"/>
              </w:rPr>
              <w:t>Existing engine, reused unmodified: BuildDayPlanningsForTask()</w:t>
            </w:r>
          </w:p>
        </w:tc>
        <w:tc>
          <w:tcPr>
            <w:tcW w:type="dxa" w:w="5386"/>
          </w:tcPr>
          <w:p>
            <w:r/>
            <w:r>
              <w:rPr>
                <w:sz w:val="19"/>
              </w:rPr>
              <w:t>Full leader+member pattern, weekday-varied hours, 3-lines/resource/day cap, weekly guarantee — identical to how JOB001–003 and the bulk jobs are generated. Looped over these 8 tasks individually (not via BuildDayPlanningsForJob) so the Work-Order-linked tasks above aren't accidentally swept in and double-generated.</w:t>
            </w:r>
          </w:p>
        </w:tc>
      </w:tr>
    </w:tbl>
    <w:p/>
    <w:p>
      <w:pPr>
        <w:pStyle w:val="Heading2"/>
      </w:pPr>
      <w:r>
        <w:t>8.4 Two issues found during review and their fixes</w:t>
      </w:r>
    </w:p>
    <w:p>
      <w:pPr>
        <w:pStyle w:val="ListBullet"/>
      </w:pPr>
      <w:r>
        <w:rPr>
          <w:b/>
        </w:rPr>
        <w:t xml:space="preserve">Missing resource guard: </w:t>
      </w:r>
      <w:r>
        <w:t>InsertWorkOrderDayPlanning() did not check for a blank resource before inserting, unlike every other Day Planning/Capacity generator in this codeunit — in a company with zero usable resources, this could have inserted meaningless rows with no resource assigned. Fixed: CreateWorkOrderLinkedDayPlannings() now exits immediately if GetRes(7) returns blank.</w:t>
      </w:r>
    </w:p>
    <w:p>
      <w:pPr>
        <w:pStyle w:val="ListBullet"/>
      </w:pPr>
      <w:r>
        <w:rPr>
          <w:b/>
        </w:rPr>
        <w:t xml:space="preserve">Missing per-day cap enforcement: </w:t>
      </w:r>
      <w:r>
        <w:t>the Work-Order-linked generator never called TryReserveResourceDaySlot(), so it didn't respect the established “max 3 Day Planning lines per resource per day” rule that every other generator in this codeunit honors — a risk if its resource happens to wrap around and collide with a showcase job's leader in a company with few real resources. Fixed: every insert now goes through the same reservation check, silently skipping (not erroring) on the rare cap collision, consistent with how BuildDayPlanningsForTask already behaves.</w:t>
      </w:r>
    </w:p>
    <w:p>
      <w:pPr>
        <w:pStyle w:val="Heading1"/>
      </w:pPr>
      <w:r>
        <w:t>9. Resource Capacity (Res. Capacity Entry)</w:t>
      </w:r>
    </w:p>
    <w:p>
      <w:r>
        <w:t>Unchanged mechanics from before this cycle (randomized 8–24h/day, 07:00 start, two generation paths — the small gRes[1..6] set and the DRP*/DRM* demo pool). The only functional change: since IsWorkingDay() now also excludes DEMOCAL's holidays/custom days off (Section 4.3), the number of capacity rows generated per resource is slightly lower than a pure weekday count would suggest — see Section 13 for the adjusted estimate.</w:t>
      </w:r>
    </w:p>
    <w:p>
      <w:pPr>
        <w:pStyle w:val="Heading1"/>
      </w:pPr>
      <w:r>
        <w:t>10. Day Planning — General Mechanics</w:t>
      </w:r>
    </w:p>
    <w:p>
      <w:r>
        <w:t>Unchanged from before this cycle for the showcase and bulk jobs: leader/member lines, the weekday-varied Requested-vs-Assigned hour pattern, Plan Status by date, the 3-lines/resource/day cap, and the weekly-guarantee fallback. The only functional change here too is that IsWorkingDay() now also honors DEMOCAL, so Day Planning is correctly skipped on Dutch holidays and the 4 custom days off, in addition to weekends.</w:t>
      </w:r>
    </w:p>
    <w:p>
      <w:r>
        <w:rPr>
          <w:i/>
          <w:color w:val="555555"/>
          <w:sz w:val="19"/>
        </w:rPr>
        <w:t>Note: A separate, real bug was fixed this cycle in table_50610_DayPlanning.al's CopyRequestedToAssigned() procedure: “Assigned Pool Resource No.” and “Non Working Minutes Assigned” were being set AFTER Rec.Validate(“End Time Assigned”, ...) fired, but that Validate call triggers a working-hours recalculation that reads those exact fields — so the recalculation was running against stale/blank values. Fixed by reordering the assignments to happen before the Validate call. This is a manual-entry helper procedure (used by the Day Planning card), not something CreateDemoData() itself calls — included here because it was addressed in this review cycle.</w:t>
      </w:r>
    </w:p>
    <w:p>
      <w:pPr>
        <w:pStyle w:val="Heading1"/>
      </w:pPr>
      <w:r>
        <w:t>11. Gantt Chart Setup Defaults</w:t>
      </w:r>
    </w:p>
    <w:p>
      <w:r>
        <w:t>Unchanged: seeds default Gantt Chart Setup for every user without one, permanent/unlogged, same as the setup records in Section 2.</w:t>
      </w:r>
    </w:p>
    <w:p>
      <w:pPr>
        <w:pStyle w:val="Heading1"/>
      </w:pPr>
      <w:r>
        <w:t>12. Demo Data Log &amp; Cleanup Mechanism</w:t>
      </w:r>
    </w:p>
    <w:p>
      <w:r>
        <w:t>Table 50678 “Demo Data Log Entry” remains the backbone that makes reruns safe. Every NEW entity introduced this cycle is logged the same way: Demo Vendors, DEMOCAL (Base Calendar), Base Calendar Change rows, Order Intakes, Work Orders, the Work Order Demo Data Job and its 24 tasks, and all of its Day Planning rows. DeleteDemoData() requires no changes to accommodate any of this — the generic log-replay delete loop handles it automatically.</w:t>
      </w:r>
    </w:p>
    <w:p>
      <w:pPr>
        <w:pStyle w:val="Heading1"/>
      </w:pPr>
      <w:r>
        <w:t>13. Record Count Classification for Review (≈ 107,000 total)</w:t>
      </w:r>
    </w:p>
    <w:p>
      <w:r>
        <w:t>This section classifies every record a single run creates into three confidence tiers, so the ~107,000-record estimate can be reviewed meaningfully before publishing to the sandbox.</w:t>
      </w:r>
    </w:p>
    <w:p>
      <w:pPr>
        <w:pStyle w:val="Heading2"/>
      </w:pPr>
      <w:r>
        <w:t>13.1 Tier 1 — Exact / deterministic (5,926 records)</w:t>
      </w:r>
    </w:p>
    <w:p>
      <w:r>
        <w:t>These counts are fixed by the code and do not vary between runs (other than the calendar-window edge noted for Base Calendar Change).</w:t>
      </w:r>
    </w:p>
    <w:tbl>
      <w:tblPr>
        <w:tblStyle w:val="TableGrid"/>
        <w:tblW w:type="auto" w:w="0"/>
        <w:jc w:val="left"/>
        <w:tblLook w:firstColumn="1" w:firstRow="1" w:lastColumn="0" w:lastRow="0" w:noHBand="0" w:noVBand="1" w:val="04A0"/>
      </w:tblPr>
      <w:tblGrid>
        <w:gridCol w:w="2880"/>
        <w:gridCol w:w="2880"/>
        <w:gridCol w:w="2880"/>
      </w:tblGrid>
      <w:tr>
        <w:tc>
          <w:tcPr>
            <w:tcW w:type="dxa" w:w="3402"/>
            <w:shd w:val="clear" w:color="auto" w:fill="1F364D"/>
          </w:tcPr>
          <w:p>
            <w:r/>
            <w:r>
              <w:rPr>
                <w:b/>
                <w:color w:val="FFFFFF"/>
                <w:sz w:val="19"/>
              </w:rPr>
              <w:t>Table</w:t>
            </w:r>
          </w:p>
        </w:tc>
        <w:tc>
          <w:tcPr>
            <w:tcW w:type="dxa" w:w="1417"/>
            <w:shd w:val="clear" w:color="auto" w:fill="1F364D"/>
          </w:tcPr>
          <w:p>
            <w:r/>
            <w:r>
              <w:rPr>
                <w:b/>
                <w:color w:val="FFFFFF"/>
                <w:sz w:val="19"/>
              </w:rPr>
              <w:t>Count</w:t>
            </w:r>
          </w:p>
        </w:tc>
        <w:tc>
          <w:tcPr>
            <w:tcW w:type="dxa" w:w="5102"/>
            <w:shd w:val="clear" w:color="auto" w:fill="1F364D"/>
          </w:tcPr>
          <w:p>
            <w:r/>
            <w:r>
              <w:rPr>
                <w:b/>
                <w:color w:val="FFFFFF"/>
                <w:sz w:val="19"/>
              </w:rPr>
              <w:t>Basis</w:t>
            </w:r>
          </w:p>
        </w:tc>
      </w:tr>
      <w:tr>
        <w:tc>
          <w:tcPr>
            <w:tcW w:type="dxa" w:w="3402"/>
          </w:tcPr>
          <w:p>
            <w:r/>
            <w:r>
              <w:rPr>
                <w:sz w:val="19"/>
              </w:rPr>
              <w:t>Job</w:t>
            </w:r>
          </w:p>
        </w:tc>
        <w:tc>
          <w:tcPr>
            <w:tcW w:type="dxa" w:w="1417"/>
          </w:tcPr>
          <w:p>
            <w:r/>
            <w:r>
              <w:rPr>
                <w:sz w:val="19"/>
              </w:rPr>
              <w:t>174</w:t>
            </w:r>
          </w:p>
        </w:tc>
        <w:tc>
          <w:tcPr>
            <w:tcW w:type="dxa" w:w="5102"/>
          </w:tcPr>
          <w:p>
            <w:r/>
            <w:r>
              <w:rPr>
                <w:sz w:val="19"/>
              </w:rPr>
              <w:t>3 showcase + 170 bulk + 1 Work Order Demo Data</w:t>
            </w:r>
          </w:p>
        </w:tc>
      </w:tr>
      <w:tr>
        <w:tc>
          <w:tcPr>
            <w:tcW w:type="dxa" w:w="3402"/>
          </w:tcPr>
          <w:p>
            <w:r/>
            <w:r>
              <w:rPr>
                <w:sz w:val="19"/>
              </w:rPr>
              <w:t>Job Task</w:t>
            </w:r>
          </w:p>
        </w:tc>
        <w:tc>
          <w:tcPr>
            <w:tcW w:type="dxa" w:w="1417"/>
          </w:tcPr>
          <w:p>
            <w:r/>
            <w:r>
              <w:rPr>
                <w:sz w:val="19"/>
              </w:rPr>
              <w:t>5,208</w:t>
            </w:r>
          </w:p>
        </w:tc>
        <w:tc>
          <w:tcPr>
            <w:tcW w:type="dxa" w:w="5102"/>
          </w:tcPr>
          <w:p>
            <w:r/>
            <w:r>
              <w:rPr>
                <w:sz w:val="19"/>
              </w:rPr>
              <w:t>84 showcase (29+31+24) + 5,100 bulk (170×30) + 24 Work Order Demo Data</w:t>
            </w:r>
          </w:p>
        </w:tc>
      </w:tr>
      <w:tr>
        <w:tc>
          <w:tcPr>
            <w:tcW w:type="dxa" w:w="3402"/>
          </w:tcPr>
          <w:p>
            <w:r/>
            <w:r>
              <w:rPr>
                <w:sz w:val="19"/>
              </w:rPr>
              <w:t>BCG Gantt Task Link</w:t>
            </w:r>
          </w:p>
        </w:tc>
        <w:tc>
          <w:tcPr>
            <w:tcW w:type="dxa" w:w="1417"/>
          </w:tcPr>
          <w:p>
            <w:r/>
            <w:r>
              <w:rPr>
                <w:sz w:val="19"/>
              </w:rPr>
              <w:t>55</w:t>
            </w:r>
          </w:p>
        </w:tc>
        <w:tc>
          <w:tcPr>
            <w:tcW w:type="dxa" w:w="5102"/>
          </w:tcPr>
          <w:p>
            <w:r/>
            <w:r>
              <w:rPr>
                <w:sz w:val="19"/>
              </w:rPr>
              <w:t>20 (JOB001) + 19 (JOB002) + 16 (JOB003)</w:t>
            </w:r>
          </w:p>
        </w:tc>
      </w:tr>
      <w:tr>
        <w:tc>
          <w:tcPr>
            <w:tcW w:type="dxa" w:w="3402"/>
          </w:tcPr>
          <w:p>
            <w:r/>
            <w:r>
              <w:rPr>
                <w:sz w:val="19"/>
              </w:rPr>
              <w:t>Vendor</w:t>
            </w:r>
          </w:p>
        </w:tc>
        <w:tc>
          <w:tcPr>
            <w:tcW w:type="dxa" w:w="1417"/>
          </w:tcPr>
          <w:p>
            <w:r/>
            <w:r>
              <w:rPr>
                <w:sz w:val="19"/>
              </w:rPr>
              <w:t>50</w:t>
            </w:r>
          </w:p>
        </w:tc>
        <w:tc>
          <w:tcPr>
            <w:tcW w:type="dxa" w:w="5102"/>
          </w:tcPr>
          <w:p>
            <w:r/>
            <w:r>
              <w:rPr>
                <w:sz w:val="19"/>
              </w:rPr>
              <w:t>DRV001–DRV050, fixed list</w:t>
            </w:r>
          </w:p>
        </w:tc>
      </w:tr>
      <w:tr>
        <w:tc>
          <w:tcPr>
            <w:tcW w:type="dxa" w:w="3402"/>
          </w:tcPr>
          <w:p>
            <w:r/>
            <w:r>
              <w:rPr>
                <w:sz w:val="19"/>
              </w:rPr>
              <w:t>Resource</w:t>
            </w:r>
          </w:p>
        </w:tc>
        <w:tc>
          <w:tcPr>
            <w:tcW w:type="dxa" w:w="1417"/>
          </w:tcPr>
          <w:p>
            <w:r/>
            <w:r>
              <w:rPr>
                <w:sz w:val="19"/>
              </w:rPr>
              <w:t>200</w:t>
            </w:r>
          </w:p>
        </w:tc>
        <w:tc>
          <w:tcPr>
            <w:tcW w:type="dxa" w:w="5102"/>
          </w:tcPr>
          <w:p>
            <w:r/>
            <w:r>
              <w:rPr>
                <w:sz w:val="19"/>
              </w:rPr>
              <w:t>40 pool + 80 member + 80 external</w:t>
            </w:r>
          </w:p>
        </w:tc>
      </w:tr>
      <w:tr>
        <w:tc>
          <w:tcPr>
            <w:tcW w:type="dxa" w:w="3402"/>
          </w:tcPr>
          <w:p>
            <w:r/>
            <w:r>
              <w:rPr>
                <w:sz w:val="19"/>
              </w:rPr>
              <w:t>Resource Skill</w:t>
            </w:r>
          </w:p>
        </w:tc>
        <w:tc>
          <w:tcPr>
            <w:tcW w:type="dxa" w:w="1417"/>
          </w:tcPr>
          <w:p>
            <w:r/>
            <w:r>
              <w:rPr>
                <w:sz w:val="19"/>
              </w:rPr>
              <w:t>200</w:t>
            </w:r>
          </w:p>
        </w:tc>
        <w:tc>
          <w:tcPr>
            <w:tcW w:type="dxa" w:w="5102"/>
          </w:tcPr>
          <w:p>
            <w:r/>
            <w:r>
              <w:rPr>
                <w:sz w:val="19"/>
              </w:rPr>
              <w:t>One per resource</w:t>
            </w:r>
          </w:p>
        </w:tc>
      </w:tr>
      <w:tr>
        <w:tc>
          <w:tcPr>
            <w:tcW w:type="dxa" w:w="3402"/>
          </w:tcPr>
          <w:p>
            <w:r/>
            <w:r>
              <w:rPr>
                <w:sz w:val="19"/>
              </w:rPr>
              <w:t>Base Calendar</w:t>
            </w:r>
          </w:p>
        </w:tc>
        <w:tc>
          <w:tcPr>
            <w:tcW w:type="dxa" w:w="1417"/>
          </w:tcPr>
          <w:p>
            <w:r/>
            <w:r>
              <w:rPr>
                <w:sz w:val="19"/>
              </w:rPr>
              <w:t>1</w:t>
            </w:r>
          </w:p>
        </w:tc>
        <w:tc>
          <w:tcPr>
            <w:tcW w:type="dxa" w:w="5102"/>
          </w:tcPr>
          <w:p>
            <w:r/>
            <w:r>
              <w:rPr>
                <w:sz w:val="19"/>
              </w:rPr>
              <w:t>DEMOCAL</w:t>
            </w:r>
          </w:p>
        </w:tc>
      </w:tr>
      <w:tr>
        <w:tc>
          <w:tcPr>
            <w:tcW w:type="dxa" w:w="3402"/>
          </w:tcPr>
          <w:p>
            <w:r/>
            <w:r>
              <w:rPr>
                <w:sz w:val="19"/>
              </w:rPr>
              <w:t>Base Calendar Change</w:t>
            </w:r>
          </w:p>
        </w:tc>
        <w:tc>
          <w:tcPr>
            <w:tcW w:type="dxa" w:w="1417"/>
          </w:tcPr>
          <w:p>
            <w:r/>
            <w:r>
              <w:rPr>
                <w:sz w:val="19"/>
              </w:rPr>
              <w:t>≈ 25</w:t>
            </w:r>
          </w:p>
        </w:tc>
        <w:tc>
          <w:tcPr>
            <w:tcW w:type="dxa" w:w="5102"/>
          </w:tcPr>
          <w:p>
            <w:r/>
            <w:r>
              <w:rPr>
                <w:sz w:val="19"/>
              </w:rPr>
              <w:t>4 fixed-date holidays (Annual Recurring, always inserted once each) + ≈12-13 movable-date holidays landing inside the current window (of 36 dated rows in the CSV, spanning 2025-2030) + 8 custom days off (4 patterns x 2 years) — the movable-holiday count shifts by ±a few depending on exactly which calendar years the rolling window touches</w:t>
            </w:r>
          </w:p>
        </w:tc>
      </w:tr>
      <w:tr>
        <w:tc>
          <w:tcPr>
            <w:tcW w:type="dxa" w:w="3402"/>
          </w:tcPr>
          <w:p>
            <w:r/>
            <w:r>
              <w:rPr>
                <w:sz w:val="19"/>
              </w:rPr>
              <w:t>Order Intake Header Opt.</w:t>
            </w:r>
          </w:p>
        </w:tc>
        <w:tc>
          <w:tcPr>
            <w:tcW w:type="dxa" w:w="1417"/>
          </w:tcPr>
          <w:p>
            <w:r/>
            <w:r>
              <w:rPr>
                <w:sz w:val="19"/>
              </w:rPr>
              <w:t>3</w:t>
            </w:r>
          </w:p>
        </w:tc>
        <w:tc>
          <w:tcPr>
            <w:tcW w:type="dxa" w:w="5102"/>
          </w:tcPr>
          <w:p>
            <w:r/>
            <w:r>
              <w:rPr>
                <w:sz w:val="19"/>
              </w:rPr>
              <w:t>DOI0001–DOI0003</w:t>
            </w:r>
          </w:p>
        </w:tc>
      </w:tr>
      <w:tr>
        <w:tc>
          <w:tcPr>
            <w:tcW w:type="dxa" w:w="3402"/>
          </w:tcPr>
          <w:p>
            <w:r/>
            <w:r>
              <w:rPr>
                <w:sz w:val="19"/>
              </w:rPr>
              <w:t>Work Order</w:t>
            </w:r>
          </w:p>
        </w:tc>
        <w:tc>
          <w:tcPr>
            <w:tcW w:type="dxa" w:w="1417"/>
          </w:tcPr>
          <w:p>
            <w:r/>
            <w:r>
              <w:rPr>
                <w:sz w:val="19"/>
              </w:rPr>
              <w:t>10</w:t>
            </w:r>
          </w:p>
        </w:tc>
        <w:tc>
          <w:tcPr>
            <w:tcW w:type="dxa" w:w="5102"/>
          </w:tcPr>
          <w:p>
            <w:r/>
            <w:r>
              <w:rPr>
                <w:sz w:val="19"/>
              </w:rPr>
              <w:t>DWO0001–DWO0010</w:t>
            </w:r>
          </w:p>
        </w:tc>
      </w:tr>
      <w:tr>
        <w:tc>
          <w:tcPr>
            <w:tcW w:type="dxa" w:w="3402"/>
          </w:tcPr>
          <w:p>
            <w:r/>
            <w:r>
              <w:rPr>
                <w:sz w:val="19"/>
              </w:rPr>
              <w:t>Customer</w:t>
            </w:r>
          </w:p>
        </w:tc>
        <w:tc>
          <w:tcPr>
            <w:tcW w:type="dxa" w:w="1417"/>
          </w:tcPr>
          <w:p>
            <w:r/>
            <w:r>
              <w:rPr>
                <w:sz w:val="19"/>
              </w:rPr>
              <w:t>0 or 1</w:t>
            </w:r>
          </w:p>
        </w:tc>
        <w:tc>
          <w:tcPr>
            <w:tcW w:type="dxa" w:w="5102"/>
          </w:tcPr>
          <w:p>
            <w:r/>
            <w:r>
              <w:rPr>
                <w:sz w:val="19"/>
              </w:rPr>
              <w:t>Only created if zero customers exist beforehand — not counted in the subtotal below since it's environment-dependent</w:t>
            </w:r>
          </w:p>
        </w:tc>
      </w:tr>
      <w:tr>
        <w:tc>
          <w:tcPr>
            <w:tcW w:type="dxa" w:w="3402"/>
          </w:tcPr>
          <w:p>
            <w:r/>
            <w:r>
              <w:rPr>
                <w:sz w:val="19"/>
              </w:rPr>
              <w:t>Resource Group</w:t>
            </w:r>
          </w:p>
        </w:tc>
        <w:tc>
          <w:tcPr>
            <w:tcW w:type="dxa" w:w="1417"/>
          </w:tcPr>
          <w:p>
            <w:r/>
            <w:r>
              <w:rPr>
                <w:sz w:val="19"/>
              </w:rPr>
              <w:t>0 or 5</w:t>
            </w:r>
          </w:p>
        </w:tc>
        <w:tc>
          <w:tcPr>
            <w:tcW w:type="dxa" w:w="5102"/>
          </w:tcPr>
          <w:p>
            <w:r/>
            <w:r>
              <w:rPr>
                <w:sz w:val="19"/>
              </w:rPr>
              <w:t>Only created if zero resource groups exist beforehand — not counted in the subtotal below</w:t>
            </w:r>
          </w:p>
        </w:tc>
      </w:tr>
      <w:tr>
        <w:tc>
          <w:tcPr>
            <w:tcW w:type="dxa" w:w="3402"/>
          </w:tcPr>
          <w:p>
            <w:r/>
            <w:r>
              <w:rPr>
                <w:sz w:val="19"/>
              </w:rPr>
              <w:t>Subtotal (Tier 1)</w:t>
            </w:r>
          </w:p>
        </w:tc>
        <w:tc>
          <w:tcPr>
            <w:tcW w:type="dxa" w:w="1417"/>
          </w:tcPr>
          <w:p>
            <w:r/>
            <w:r>
              <w:rPr>
                <w:sz w:val="19"/>
              </w:rPr>
              <w:t>5,926</w:t>
            </w:r>
          </w:p>
        </w:tc>
        <w:tc>
          <w:tcPr>
            <w:tcW w:type="dxa" w:w="5102"/>
          </w:tcPr>
          <w:p>
            <w:r/>
            <w:r>
              <w:rPr>
                <w:sz w:val="19"/>
              </w:rPr>
              <w:t>Sum of the fixed-count rows above</w:t>
            </w:r>
          </w:p>
        </w:tc>
      </w:tr>
    </w:tbl>
    <w:p/>
    <w:p>
      <w:pPr>
        <w:pStyle w:val="Heading2"/>
      </w:pPr>
      <w:r>
        <w:t>13.2 Tier 2 — Calculated, low variance (≈ 66,000 – 67,000 records)</w:t>
      </w:r>
    </w:p>
    <w:tbl>
      <w:tblPr>
        <w:tblStyle w:val="TableGrid"/>
        <w:tblW w:type="auto" w:w="0"/>
        <w:jc w:val="left"/>
        <w:tblLook w:firstColumn="1" w:firstRow="1" w:lastColumn="0" w:lastRow="0" w:noHBand="0" w:noVBand="1" w:val="04A0"/>
      </w:tblPr>
      <w:tblGrid>
        <w:gridCol w:w="2880"/>
        <w:gridCol w:w="2880"/>
        <w:gridCol w:w="2880"/>
      </w:tblGrid>
      <w:tr>
        <w:tc>
          <w:tcPr>
            <w:tcW w:type="dxa" w:w="3402"/>
            <w:shd w:val="clear" w:color="auto" w:fill="1F364D"/>
          </w:tcPr>
          <w:p>
            <w:r/>
            <w:r>
              <w:rPr>
                <w:b/>
                <w:color w:val="FFFFFF"/>
                <w:sz w:val="19"/>
              </w:rPr>
              <w:t>Table</w:t>
            </w:r>
          </w:p>
        </w:tc>
        <w:tc>
          <w:tcPr>
            <w:tcW w:type="dxa" w:w="1984"/>
            <w:shd w:val="clear" w:color="auto" w:fill="1F364D"/>
          </w:tcPr>
          <w:p>
            <w:r/>
            <w:r>
              <w:rPr>
                <w:b/>
                <w:color w:val="FFFFFF"/>
                <w:sz w:val="19"/>
              </w:rPr>
              <w:t>Estimate</w:t>
            </w:r>
          </w:p>
        </w:tc>
        <w:tc>
          <w:tcPr>
            <w:tcW w:type="dxa" w:w="4535"/>
            <w:shd w:val="clear" w:color="auto" w:fill="1F364D"/>
          </w:tcPr>
          <w:p>
            <w:r/>
            <w:r>
              <w:rPr>
                <w:b/>
                <w:color w:val="FFFFFF"/>
                <w:sz w:val="19"/>
              </w:rPr>
              <w:t>Basis</w:t>
            </w:r>
          </w:p>
        </w:tc>
      </w:tr>
      <w:tr>
        <w:tc>
          <w:tcPr>
            <w:tcW w:type="dxa" w:w="3402"/>
          </w:tcPr>
          <w:p>
            <w:r/>
            <w:r>
              <w:rPr>
                <w:sz w:val="19"/>
              </w:rPr>
              <w:t>Res. Capacity Entry</w:t>
            </w:r>
          </w:p>
        </w:tc>
        <w:tc>
          <w:tcPr>
            <w:tcW w:type="dxa" w:w="1984"/>
          </w:tcPr>
          <w:p>
            <w:r/>
            <w:r>
              <w:rPr>
                <w:sz w:val="19"/>
              </w:rPr>
              <w:t>≈ 66,000–67,000</w:t>
            </w:r>
          </w:p>
        </w:tc>
        <w:tc>
          <w:tcPr>
            <w:tcW w:type="dxa" w:w="4535"/>
          </w:tcPr>
          <w:p>
            <w:r/>
            <w:r>
              <w:rPr>
                <w:sz w:val="19"/>
              </w:rPr>
              <w:t>126 capacity-bearing resources (6 cached showcase resources + 40 pool + 80 member) × ≈ 525–530 working days in the ~110-week window (550 raw weekdays, minus ≈20–25 removed by DEMOCAL holidays/custom days off)</w:t>
            </w:r>
          </w:p>
        </w:tc>
      </w:tr>
    </w:tbl>
    <w:p/>
    <w:p>
      <w:r>
        <w:t>This figure is fairly precise because Capacity generation has no per-resource-per-day cap or cross-job contention — it's a straightforward working-day count per resource.</w:t>
      </w:r>
    </w:p>
    <w:p>
      <w:pPr>
        <w:pStyle w:val="Heading2"/>
      </w:pPr>
      <w:r>
        <w:t>13.3 Tier 3 — Estimated, higher variance (≈ 34,000 – 35,000 records)</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F364D"/>
          </w:tcPr>
          <w:p>
            <w:r/>
            <w:r>
              <w:rPr>
                <w:b/>
                <w:color w:val="FFFFFF"/>
                <w:sz w:val="19"/>
              </w:rPr>
              <w:t>Table</w:t>
            </w:r>
          </w:p>
        </w:tc>
        <w:tc>
          <w:tcPr>
            <w:tcW w:type="dxa" w:w="3118"/>
            <w:shd w:val="clear" w:color="auto" w:fill="1F364D"/>
          </w:tcPr>
          <w:p>
            <w:r/>
            <w:r>
              <w:rPr>
                <w:b/>
                <w:color w:val="FFFFFF"/>
                <w:sz w:val="19"/>
              </w:rPr>
              <w:t>Estimate</w:t>
            </w:r>
          </w:p>
        </w:tc>
        <w:tc>
          <w:tcPr>
            <w:tcW w:type="dxa" w:w="5102"/>
            <w:shd w:val="clear" w:color="auto" w:fill="1F364D"/>
          </w:tcPr>
          <w:p>
            <w:r/>
            <w:r>
              <w:rPr>
                <w:b/>
                <w:color w:val="FFFFFF"/>
                <w:sz w:val="19"/>
              </w:rPr>
              <w:t>Why it's harder to predict exactly</w:t>
            </w:r>
          </w:p>
        </w:tc>
      </w:tr>
      <w:tr>
        <w:tc>
          <w:tcPr>
            <w:tcW w:type="dxa" w:w="1984"/>
          </w:tcPr>
          <w:p>
            <w:r/>
            <w:r>
              <w:rPr>
                <w:sz w:val="19"/>
              </w:rPr>
              <w:t>Day Planning</w:t>
            </w:r>
          </w:p>
        </w:tc>
        <w:tc>
          <w:tcPr>
            <w:tcW w:type="dxa" w:w="3118"/>
          </w:tcPr>
          <w:p>
            <w:r/>
            <w:r>
              <w:rPr>
                <w:sz w:val="19"/>
              </w:rPr>
              <w:t>≈ 34,000–35,000 (balancing figure to reach ≈107,000 total; order-of-magnitude consistent with the mechanics below)</w:t>
            </w:r>
          </w:p>
        </w:tc>
        <w:tc>
          <w:tcPr>
            <w:tcW w:type="dxa" w:w="5102"/>
          </w:tcPr>
          <w:p>
            <w:r/>
            <w:r>
              <w:rPr>
                <w:sz w:val="19"/>
              </w:rPr>
              <w:t>Driven by: (1) per-resource-per-day cap of 3 lines, (2) 170 bulk jobs sharing only 40 foreman resources — heavy contention that throttles output well below a naive “task-days × leader/member” multiplication, (3) the weekly-guarantee fallback topping up otherwise-empty weeks, (4) DEMOCAL exclusions, and (5) exactly where “today” falls relative to the window (affects Plan Status mix, not the count). The exact figure is only known after an actual run — reported by the completion message (“Demo data created successfully. %1 records logged.”).</w:t>
            </w:r>
          </w:p>
        </w:tc>
      </w:tr>
    </w:tbl>
    <w:p/>
    <w:p>
      <w:pPr>
        <w:pStyle w:val="Heading2"/>
      </w:pPr>
      <w:r>
        <w:t>13.4 Total</w:t>
      </w:r>
    </w:p>
    <w:tbl>
      <w:tblPr>
        <w:tblStyle w:val="TableGrid"/>
        <w:tblW w:type="auto" w:w="0"/>
        <w:jc w:val="left"/>
        <w:tblLook w:firstColumn="1" w:firstRow="1" w:lastColumn="0" w:lastRow="0" w:noHBand="0" w:noVBand="1" w:val="04A0"/>
      </w:tblPr>
      <w:tblGrid>
        <w:gridCol w:w="2880"/>
        <w:gridCol w:w="2880"/>
        <w:gridCol w:w="2880"/>
      </w:tblGrid>
      <w:tr>
        <w:tc>
          <w:tcPr>
            <w:tcW w:type="dxa" w:w="3969"/>
            <w:shd w:val="clear" w:color="auto" w:fill="1F364D"/>
          </w:tcPr>
          <w:p>
            <w:r/>
            <w:r>
              <w:rPr>
                <w:b/>
                <w:color w:val="FFFFFF"/>
                <w:sz w:val="19"/>
              </w:rPr>
              <w:t>Tier</w:t>
            </w:r>
          </w:p>
        </w:tc>
        <w:tc>
          <w:tcPr>
            <w:tcW w:type="dxa" w:w="3118"/>
            <w:shd w:val="clear" w:color="auto" w:fill="1F364D"/>
          </w:tcPr>
          <w:p>
            <w:r/>
            <w:r>
              <w:rPr>
                <w:b/>
                <w:color w:val="FFFFFF"/>
                <w:sz w:val="19"/>
              </w:rPr>
              <w:t>Records</w:t>
            </w:r>
          </w:p>
        </w:tc>
        <w:tc>
          <w:tcPr>
            <w:tcW w:type="dxa" w:w="2835"/>
            <w:shd w:val="clear" w:color="auto" w:fill="1F364D"/>
          </w:tcPr>
          <w:p>
            <w:r/>
            <w:r>
              <w:rPr>
                <w:b/>
                <w:color w:val="FFFFFF"/>
                <w:sz w:val="19"/>
              </w:rPr>
              <w:t>Confidence</w:t>
            </w:r>
          </w:p>
        </w:tc>
      </w:tr>
      <w:tr>
        <w:tc>
          <w:tcPr>
            <w:tcW w:type="dxa" w:w="3969"/>
          </w:tcPr>
          <w:p>
            <w:r/>
            <w:r>
              <w:rPr>
                <w:sz w:val="19"/>
              </w:rPr>
              <w:t>Tier 1 — exact/deterministic</w:t>
            </w:r>
          </w:p>
        </w:tc>
        <w:tc>
          <w:tcPr>
            <w:tcW w:type="dxa" w:w="3118"/>
          </w:tcPr>
          <w:p>
            <w:r/>
            <w:r>
              <w:rPr>
                <w:sz w:val="19"/>
              </w:rPr>
              <w:t>5,926</w:t>
            </w:r>
          </w:p>
        </w:tc>
        <w:tc>
          <w:tcPr>
            <w:tcW w:type="dxa" w:w="2835"/>
          </w:tcPr>
          <w:p>
            <w:r/>
            <w:r>
              <w:rPr>
                <w:sz w:val="19"/>
              </w:rPr>
              <w:t>High — fixed by code</w:t>
            </w:r>
          </w:p>
        </w:tc>
      </w:tr>
      <w:tr>
        <w:tc>
          <w:tcPr>
            <w:tcW w:type="dxa" w:w="3969"/>
          </w:tcPr>
          <w:p>
            <w:r/>
            <w:r>
              <w:rPr>
                <w:sz w:val="19"/>
              </w:rPr>
              <w:t>Tier 2 — calculated, low variance</w:t>
            </w:r>
          </w:p>
        </w:tc>
        <w:tc>
          <w:tcPr>
            <w:tcW w:type="dxa" w:w="3118"/>
          </w:tcPr>
          <w:p>
            <w:r/>
            <w:r>
              <w:rPr>
                <w:sz w:val="19"/>
              </w:rPr>
              <w:t>≈ 66,000–67,000</w:t>
            </w:r>
          </w:p>
        </w:tc>
        <w:tc>
          <w:tcPr>
            <w:tcW w:type="dxa" w:w="2835"/>
          </w:tcPr>
          <w:p>
            <w:r/>
            <w:r>
              <w:rPr>
                <w:sz w:val="19"/>
              </w:rPr>
              <w:t>High — simple working-day arithmetic</w:t>
            </w:r>
          </w:p>
        </w:tc>
      </w:tr>
      <w:tr>
        <w:tc>
          <w:tcPr>
            <w:tcW w:type="dxa" w:w="3969"/>
          </w:tcPr>
          <w:p>
            <w:r/>
            <w:r>
              <w:rPr>
                <w:sz w:val="19"/>
              </w:rPr>
              <w:t>Tier 3 — estimated, higher variance</w:t>
            </w:r>
          </w:p>
        </w:tc>
        <w:tc>
          <w:tcPr>
            <w:tcW w:type="dxa" w:w="3118"/>
          </w:tcPr>
          <w:p>
            <w:r/>
            <w:r>
              <w:rPr>
                <w:sz w:val="19"/>
              </w:rPr>
              <w:t>≈ 34,000–35,000</w:t>
            </w:r>
          </w:p>
        </w:tc>
        <w:tc>
          <w:tcPr>
            <w:tcW w:type="dxa" w:w="2835"/>
          </w:tcPr>
          <w:p>
            <w:r/>
            <w:r>
              <w:rPr>
                <w:sz w:val="19"/>
              </w:rPr>
              <w:t>Moderate — depends on runtime contention/cap effects</w:t>
            </w:r>
          </w:p>
        </w:tc>
      </w:tr>
      <w:tr>
        <w:tc>
          <w:tcPr>
            <w:tcW w:type="dxa" w:w="3969"/>
          </w:tcPr>
          <w:p>
            <w:r/>
            <w:r>
              <w:rPr>
                <w:sz w:val="19"/>
              </w:rPr>
              <w:t>Total</w:t>
            </w:r>
          </w:p>
        </w:tc>
        <w:tc>
          <w:tcPr>
            <w:tcW w:type="dxa" w:w="3118"/>
          </w:tcPr>
          <w:p>
            <w:r/>
            <w:r>
              <w:rPr>
                <w:sz w:val="19"/>
              </w:rPr>
              <w:t>≈ 106,000–108,000</w:t>
            </w:r>
          </w:p>
        </w:tc>
        <w:tc>
          <w:tcPr>
            <w:tcW w:type="dxa" w:w="2835"/>
          </w:tcPr>
          <w:p>
            <w:r/>
            <w:r>
              <w:rPr>
                <w:sz w:val="19"/>
              </w:rPr>
              <w:t>Consistent with the ~107,000 figure</w:t>
            </w:r>
          </w:p>
        </w:tc>
      </w:tr>
    </w:tbl>
    <w:p/>
    <w:p>
      <w:r>
        <w:rPr>
          <w:i/>
          <w:color w:val="2E74B5"/>
          <w:sz w:val="19"/>
        </w:rPr>
        <w:t>Suggested next step: Recommendation: since Day Planning (Tier 3) is the only meaningfully uncertain component and is also the table most affected by the two fixes in Section 8.4, consider running once against a disposable/test company first and reading the exact “%1 records logged” figure back, before publishing to the target sandbox.</w:t>
      </w:r>
    </w:p>
    <w:p>
      <w:pPr>
        <w:pStyle w:val="Heading1"/>
      </w:pPr>
      <w:r>
        <w:t>14. Notable Fixes Made This Review Cycle</w:t>
      </w:r>
    </w:p>
    <w:p>
      <w:r>
        <w:t>For traceability, every correctness fix applied during this review (beyond the new features) is listed here:</w:t>
      </w:r>
    </w:p>
    <w:p>
      <w:pPr>
        <w:pStyle w:val="ListBullet"/>
      </w:pPr>
      <w:r>
        <w:rPr>
          <w:b/>
        </w:rPr>
        <w:t>Blank Daily Optimizer Setup bug</w:t>
      </w:r>
      <w:r>
        <w:t xml:space="preserve"> — the setup page's OnOpenPage silently auto-inserts a blank singleton before Create Demo Data ever runs; the old per-field “only-fill-if-blank” logic couldn't overwrite a stale value from before this cycle's DEMOCAL change. Now force-set unconditionally every run.</w:t>
      </w:r>
    </w:p>
    <w:p>
      <w:pPr>
        <w:pStyle w:val="ListBullet"/>
      </w:pPr>
      <w:r>
        <w:rPr>
          <w:b/>
        </w:rPr>
        <w:t>Calendar sequencing bug</w:t>
      </w:r>
      <w:r>
        <w:t xml:space="preserve"> — CreateDailyOptimizerSetupDefault() (which creates DEMOCAL) used to run AFTER CreateCapacityAndDayPlanning(), so the calendar didn't exist yet when generation needed to consult it. Reordered.</w:t>
      </w:r>
    </w:p>
    <w:p>
      <w:pPr>
        <w:pStyle w:val="ListBullet"/>
      </w:pPr>
      <w:r>
        <w:rPr>
          <w:b/>
        </w:rPr>
        <w:t>LoadResources()/CreateDemoResources() ordering bug</w:t>
      </w:r>
      <w:r>
        <w:t xml:space="preserve"> — LoadResources() had no filter and would very likely pick up freshly-created DR*-prefixed demo resources instead of genuine pre-existing ones, since running after CreateDemoResources() meant 200 new “DR”-coded resources (sorting early alphabetically) dominated the first 6 rows by primary key. Reordered to run first.</w:t>
      </w:r>
    </w:p>
    <w:p>
      <w:pPr>
        <w:pStyle w:val="ListBullet"/>
      </w:pPr>
      <w:r>
        <w:rPr>
          <w:b/>
        </w:rPr>
        <w:t>LoadResources() zero-resource regression (introduced by the fix above, caught in this review)</w:t>
      </w:r>
      <w:r>
        <w:t xml:space="preserve"> — in a company with zero pre-existing resources, the reordered LoadResources() would find nothing before any resources exist at all, permanently leaving JOB001–003 (and the new Work Order Demo Data feature) with no resources to plan against. Fixed with a fallback re-load after CreateDemoResources() if gResCount is still 0.</w:t>
      </w:r>
    </w:p>
    <w:p>
      <w:pPr>
        <w:pStyle w:val="ListBullet"/>
      </w:pPr>
      <w:r>
        <w:rPr>
          <w:b/>
        </w:rPr>
        <w:t>Work Order Day Planning missing guards (caught in this review)</w:t>
      </w:r>
      <w:r>
        <w:t xml:space="preserve"> — see Section 8.4.</w:t>
      </w:r>
    </w:p>
    <w:p>
      <w:pPr>
        <w:pStyle w:val="ListBullet"/>
      </w:pPr>
      <w:r>
        <w:rPr>
          <w:b/>
        </w:rPr>
        <w:t>CopyRequestedToAssigned() field-order bug</w:t>
      </w:r>
      <w:r>
        <w:t xml:space="preserve"> — table_50610_DayPlanning.al; see the note in Section 10.</w:t>
      </w:r>
    </w:p>
    <w:p>
      <w:pPr>
        <w:pStyle w:val="ListBullet"/>
      </w:pPr>
      <w:r>
        <w:rPr>
          <w:b/>
        </w:rPr>
        <w:t>Calendar data model refinement</w:t>
      </w:r>
      <w:r>
        <w:t xml:space="preserve"> — split the 10 Dutch holidays into fixed-date (now Annual Recurring, 1 row each) vs movable-date (unchanged per-year rows) instead of treating all 10 the same way; extended the custom demo days-off from 4 one-time rows to 8 (repeated one year later), since those can't use Recurring System at all — see Section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6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6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6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