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98F" w:rsidRDefault="003E3FB9" w:rsidP="003E3FB9">
      <w:pPr>
        <w:pStyle w:val="Titel"/>
      </w:pPr>
      <w:r>
        <w:t>NetSpy Dokumentation</w:t>
      </w:r>
    </w:p>
    <w:p w:rsidR="003E3FB9" w:rsidRPr="0041218C" w:rsidRDefault="0041218C" w:rsidP="003E3FB9">
      <w:pPr>
        <w:pStyle w:val="berschrift1"/>
        <w:rPr>
          <w:rStyle w:val="SchwacherVerweis"/>
        </w:rPr>
      </w:pPr>
      <w:r>
        <w:rPr>
          <w:rStyle w:val="SchwacherVerweis"/>
        </w:rPr>
        <w:t xml:space="preserve">Liste der </w:t>
      </w:r>
      <w:r w:rsidR="003E3FB9" w:rsidRPr="0041218C">
        <w:rPr>
          <w:rStyle w:val="SchwacherVerweis"/>
        </w:rPr>
        <w:t>Basis-Funktionalitäten von NetSpy</w:t>
      </w:r>
    </w:p>
    <w:tbl>
      <w:tblPr>
        <w:tblStyle w:val="HelleListe-Akzent3"/>
        <w:tblW w:w="9059" w:type="dxa"/>
        <w:tblLook w:val="0620" w:firstRow="1" w:lastRow="0" w:firstColumn="0" w:lastColumn="0" w:noHBand="1" w:noVBand="1"/>
      </w:tblPr>
      <w:tblGrid>
        <w:gridCol w:w="8140"/>
        <w:gridCol w:w="919"/>
      </w:tblGrid>
      <w:tr w:rsidR="00C3683D" w:rsidTr="00C3683D">
        <w:trPr>
          <w:cnfStyle w:val="100000000000" w:firstRow="1" w:lastRow="0" w:firstColumn="0" w:lastColumn="0" w:oddVBand="0" w:evenVBand="0" w:oddHBand="0" w:evenHBand="0" w:firstRowFirstColumn="0" w:firstRowLastColumn="0" w:lastRowFirstColumn="0" w:lastRowLastColumn="0"/>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Aufgabe</w:t>
            </w:r>
          </w:p>
        </w:tc>
        <w:tc>
          <w:tcPr>
            <w:tcW w:w="0" w:type="auto"/>
            <w:tcBorders>
              <w:top w:val="single" w:sz="12" w:space="0" w:color="auto"/>
              <w:left w:val="single" w:sz="12" w:space="0" w:color="auto"/>
              <w:bottom w:val="single" w:sz="12" w:space="0" w:color="auto"/>
              <w:right w:val="single" w:sz="12" w:space="0" w:color="auto"/>
            </w:tcBorders>
          </w:tcPr>
          <w:p w:rsidR="00CB3ABC" w:rsidRDefault="00CB3ABC">
            <w:r>
              <w:t>Erledigt</w:t>
            </w:r>
          </w:p>
        </w:tc>
      </w:tr>
      <w:tr w:rsidR="00C3683D" w:rsidTr="00C3683D">
        <w:trPr>
          <w:trHeight w:val="617"/>
        </w:trPr>
        <w:tc>
          <w:tcPr>
            <w:tcW w:w="0" w:type="auto"/>
            <w:tcBorders>
              <w:top w:val="single" w:sz="12" w:space="0" w:color="auto"/>
              <w:left w:val="single" w:sz="12" w:space="0" w:color="auto"/>
              <w:bottom w:val="single" w:sz="12" w:space="0" w:color="auto"/>
              <w:right w:val="single" w:sz="12" w:space="0" w:color="auto"/>
            </w:tcBorders>
          </w:tcPr>
          <w:p w:rsidR="00CB3ABC" w:rsidRDefault="00CB3ABC">
            <w:r>
              <w:t>Alle Emails in einem bestimmten Verzeichnis nach Suchwörtern durchsuchen</w:t>
            </w:r>
          </w:p>
        </w:tc>
        <w:tc>
          <w:tcPr>
            <w:tcW w:w="0" w:type="auto"/>
            <w:tcBorders>
              <w:top w:val="single" w:sz="12" w:space="0" w:color="auto"/>
              <w:left w:val="single" w:sz="12" w:space="0" w:color="auto"/>
              <w:bottom w:val="single" w:sz="12" w:space="0" w:color="auto"/>
              <w:right w:val="single" w:sz="12" w:space="0" w:color="auto"/>
            </w:tcBorders>
          </w:tcPr>
          <w:p w:rsidR="00CB3ABC" w:rsidRDefault="00EF21F1" w:rsidP="00CD1EB9">
            <w:pPr>
              <w:jc w:val="center"/>
            </w:pPr>
            <w:r>
              <w:t>x</w:t>
            </w:r>
          </w:p>
        </w:tc>
      </w:tr>
      <w:tr w:rsidR="00C3683D" w:rsidTr="00C3683D">
        <w:trPr>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Suchwörter aus einer Blacklist lesen</w:t>
            </w:r>
          </w:p>
        </w:tc>
        <w:tc>
          <w:tcPr>
            <w:tcW w:w="0" w:type="auto"/>
            <w:tcBorders>
              <w:top w:val="single" w:sz="12" w:space="0" w:color="auto"/>
              <w:left w:val="single" w:sz="12" w:space="0" w:color="auto"/>
              <w:bottom w:val="single" w:sz="12" w:space="0" w:color="auto"/>
              <w:right w:val="single" w:sz="12" w:space="0" w:color="auto"/>
            </w:tcBorders>
          </w:tcPr>
          <w:p w:rsidR="00CB3ABC" w:rsidRDefault="00EF21F1" w:rsidP="00CD1EB9">
            <w:pPr>
              <w:jc w:val="center"/>
            </w:pPr>
            <w:r>
              <w:t>x</w:t>
            </w:r>
          </w:p>
        </w:tc>
      </w:tr>
      <w:tr w:rsidR="00CB3ABC" w:rsidTr="00C3683D">
        <w:trPr>
          <w:trHeight w:val="292"/>
        </w:trPr>
        <w:tc>
          <w:tcPr>
            <w:tcW w:w="0" w:type="auto"/>
            <w:tcBorders>
              <w:top w:val="single" w:sz="12" w:space="0" w:color="auto"/>
              <w:left w:val="single" w:sz="12" w:space="0" w:color="auto"/>
              <w:bottom w:val="single" w:sz="12" w:space="0" w:color="auto"/>
              <w:right w:val="single" w:sz="12" w:space="0" w:color="auto"/>
            </w:tcBorders>
          </w:tcPr>
          <w:p w:rsidR="00CB3ABC" w:rsidRDefault="00CB3ABC">
            <w:r>
              <w:t>Einstufung „verdächtig“ nach bestimmter Anzahl von Treffern innerhalb einer Email</w:t>
            </w:r>
          </w:p>
        </w:tc>
        <w:tc>
          <w:tcPr>
            <w:tcW w:w="0" w:type="auto"/>
            <w:tcBorders>
              <w:top w:val="single" w:sz="12" w:space="0" w:color="auto"/>
              <w:left w:val="single" w:sz="12" w:space="0" w:color="auto"/>
              <w:bottom w:val="single" w:sz="12" w:space="0" w:color="auto"/>
              <w:right w:val="single" w:sz="12" w:space="0" w:color="auto"/>
            </w:tcBorders>
          </w:tcPr>
          <w:p w:rsidR="00CB3ABC" w:rsidRDefault="00EF21F1" w:rsidP="00CD1EB9">
            <w:pPr>
              <w:jc w:val="center"/>
            </w:pPr>
            <w:r>
              <w:t>x</w:t>
            </w:r>
          </w:p>
        </w:tc>
      </w:tr>
      <w:tr w:rsidR="00CB3ABC" w:rsidTr="00C3683D">
        <w:trPr>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Quarantäneordner für „verdächtige“ Emails einrichtigen und „verdächtige“ Emails dahin verschieben</w:t>
            </w:r>
          </w:p>
        </w:tc>
        <w:tc>
          <w:tcPr>
            <w:tcW w:w="0" w:type="auto"/>
            <w:tcBorders>
              <w:top w:val="single" w:sz="12" w:space="0" w:color="auto"/>
              <w:left w:val="single" w:sz="12" w:space="0" w:color="auto"/>
              <w:bottom w:val="single" w:sz="12" w:space="0" w:color="auto"/>
              <w:right w:val="single" w:sz="12" w:space="0" w:color="auto"/>
            </w:tcBorders>
          </w:tcPr>
          <w:p w:rsidR="00CB3ABC" w:rsidRDefault="00EF21F1" w:rsidP="00CD1EB9">
            <w:pPr>
              <w:jc w:val="center"/>
            </w:pPr>
            <w:r>
              <w:t>x</w:t>
            </w:r>
          </w:p>
        </w:tc>
      </w:tr>
      <w:tr w:rsidR="00CB3ABC" w:rsidTr="00C3683D">
        <w:trPr>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Für jeden Suchlauf eine Logdatei mit Infos über „verdächtige“ Emails schreiben. Die Logdatei sollte pro Email folgende Informationen enthalten (Absender, Empfänger, Sendedatum, Betreff, gefundene Suchwörter mit Angabe der Trefferzahl pro Suchwort)</w:t>
            </w:r>
          </w:p>
        </w:tc>
        <w:tc>
          <w:tcPr>
            <w:tcW w:w="0" w:type="auto"/>
            <w:tcBorders>
              <w:top w:val="single" w:sz="12" w:space="0" w:color="auto"/>
              <w:left w:val="single" w:sz="12" w:space="0" w:color="auto"/>
              <w:bottom w:val="single" w:sz="12" w:space="0" w:color="auto"/>
              <w:right w:val="single" w:sz="12" w:space="0" w:color="auto"/>
            </w:tcBorders>
          </w:tcPr>
          <w:p w:rsidR="00CB3ABC" w:rsidRDefault="004D4ECD" w:rsidP="00CD1EB9">
            <w:pPr>
              <w:jc w:val="center"/>
            </w:pPr>
            <w:r>
              <w:t>TODO</w:t>
            </w:r>
            <w:bookmarkStart w:id="0" w:name="_GoBack"/>
            <w:bookmarkEnd w:id="0"/>
          </w:p>
        </w:tc>
      </w:tr>
      <w:tr w:rsidR="00CB3ABC" w:rsidTr="00C3683D">
        <w:trPr>
          <w:trHeight w:val="309"/>
        </w:trPr>
        <w:tc>
          <w:tcPr>
            <w:tcW w:w="0" w:type="auto"/>
            <w:tcBorders>
              <w:top w:val="single" w:sz="12" w:space="0" w:color="auto"/>
              <w:left w:val="single" w:sz="12" w:space="0" w:color="auto"/>
              <w:bottom w:val="single" w:sz="12" w:space="0" w:color="auto"/>
              <w:right w:val="single" w:sz="12" w:space="0" w:color="auto"/>
            </w:tcBorders>
          </w:tcPr>
          <w:p w:rsidR="00CB3ABC" w:rsidRDefault="00CB3ABC">
            <w:r>
              <w:t>Groß- und Kleinschreibung ignorieren</w:t>
            </w:r>
          </w:p>
        </w:tc>
        <w:tc>
          <w:tcPr>
            <w:tcW w:w="0" w:type="auto"/>
            <w:tcBorders>
              <w:top w:val="single" w:sz="12" w:space="0" w:color="auto"/>
              <w:left w:val="single" w:sz="12" w:space="0" w:color="auto"/>
              <w:bottom w:val="single" w:sz="12" w:space="0" w:color="auto"/>
              <w:right w:val="single" w:sz="12" w:space="0" w:color="auto"/>
            </w:tcBorders>
          </w:tcPr>
          <w:p w:rsidR="00CB3ABC" w:rsidRDefault="00CD1EB9" w:rsidP="00CD1EB9">
            <w:pPr>
              <w:jc w:val="center"/>
            </w:pPr>
            <w:r>
              <w:t>x</w:t>
            </w:r>
          </w:p>
        </w:tc>
      </w:tr>
      <w:tr w:rsidR="00CB3ABC" w:rsidTr="00C3683D">
        <w:trPr>
          <w:trHeight w:val="292"/>
        </w:trPr>
        <w:tc>
          <w:tcPr>
            <w:tcW w:w="0" w:type="auto"/>
            <w:tcBorders>
              <w:top w:val="single" w:sz="12" w:space="0" w:color="auto"/>
              <w:left w:val="single" w:sz="12" w:space="0" w:color="auto"/>
              <w:bottom w:val="single" w:sz="12" w:space="0" w:color="auto"/>
              <w:right w:val="single" w:sz="12" w:space="0" w:color="auto"/>
            </w:tcBorders>
          </w:tcPr>
          <w:p w:rsidR="00CB3ABC" w:rsidRDefault="00CB3ABC">
            <w:r>
              <w:t>ASCII-Code ersetzen (Umlaute / Sonderzeichen)</w:t>
            </w:r>
          </w:p>
        </w:tc>
        <w:tc>
          <w:tcPr>
            <w:tcW w:w="0" w:type="auto"/>
            <w:tcBorders>
              <w:top w:val="single" w:sz="12" w:space="0" w:color="auto"/>
              <w:left w:val="single" w:sz="12" w:space="0" w:color="auto"/>
              <w:bottom w:val="single" w:sz="12" w:space="0" w:color="auto"/>
              <w:right w:val="single" w:sz="12" w:space="0" w:color="auto"/>
            </w:tcBorders>
          </w:tcPr>
          <w:p w:rsidR="00CB3ABC" w:rsidRDefault="00CD1EB9" w:rsidP="00CD1EB9">
            <w:pPr>
              <w:jc w:val="center"/>
            </w:pPr>
            <w:r>
              <w:t>x</w:t>
            </w:r>
          </w:p>
        </w:tc>
      </w:tr>
      <w:tr w:rsidR="00CB3ABC" w:rsidTr="00C3683D">
        <w:trPr>
          <w:trHeight w:val="323"/>
        </w:trPr>
        <w:tc>
          <w:tcPr>
            <w:tcW w:w="0" w:type="auto"/>
            <w:tcBorders>
              <w:top w:val="single" w:sz="12" w:space="0" w:color="auto"/>
              <w:left w:val="single" w:sz="12" w:space="0" w:color="auto"/>
              <w:bottom w:val="single" w:sz="12" w:space="0" w:color="auto"/>
              <w:right w:val="single" w:sz="12" w:space="0" w:color="auto"/>
            </w:tcBorders>
          </w:tcPr>
          <w:p w:rsidR="00CB3ABC" w:rsidRDefault="00CB3ABC">
            <w:r>
              <w:t>Suchwörter in zusammengesetzten Wörtern erkennen (Teilstrings)</w:t>
            </w:r>
          </w:p>
        </w:tc>
        <w:tc>
          <w:tcPr>
            <w:tcW w:w="0" w:type="auto"/>
            <w:tcBorders>
              <w:top w:val="single" w:sz="12" w:space="0" w:color="auto"/>
              <w:left w:val="single" w:sz="12" w:space="0" w:color="auto"/>
              <w:bottom w:val="single" w:sz="12" w:space="0" w:color="auto"/>
              <w:right w:val="single" w:sz="12" w:space="0" w:color="auto"/>
            </w:tcBorders>
          </w:tcPr>
          <w:p w:rsidR="00CB3ABC" w:rsidRDefault="004E63ED" w:rsidP="00CD1EB9">
            <w:pPr>
              <w:jc w:val="center"/>
            </w:pPr>
            <w:r>
              <w:t>x</w:t>
            </w:r>
          </w:p>
        </w:tc>
      </w:tr>
    </w:tbl>
    <w:p w:rsidR="003E3FB9" w:rsidRDefault="003E3FB9" w:rsidP="003E3FB9"/>
    <w:p w:rsidR="00C3683D" w:rsidRDefault="00C3683D" w:rsidP="00C3683D">
      <w:pPr>
        <w:pStyle w:val="berschrift1"/>
        <w:rPr>
          <w:rStyle w:val="SchwacherVerweis"/>
        </w:rPr>
      </w:pPr>
      <w:r>
        <w:rPr>
          <w:rStyle w:val="SchwacherVerweis"/>
        </w:rPr>
        <w:t>Lösungsweg für Basis-Funktionalitäten von NetSpy</w:t>
      </w:r>
    </w:p>
    <w:tbl>
      <w:tblPr>
        <w:tblStyle w:val="HelleListe-Akzent3"/>
        <w:tblW w:w="9059" w:type="dxa"/>
        <w:tblLook w:val="0620" w:firstRow="1" w:lastRow="0" w:firstColumn="0" w:lastColumn="0" w:noHBand="1" w:noVBand="1"/>
      </w:tblPr>
      <w:tblGrid>
        <w:gridCol w:w="4663"/>
        <w:gridCol w:w="4396"/>
      </w:tblGrid>
      <w:tr w:rsidR="00C3683D" w:rsidTr="00FE2ED2">
        <w:trPr>
          <w:cnfStyle w:val="100000000000" w:firstRow="1" w:lastRow="0" w:firstColumn="0" w:lastColumn="0" w:oddVBand="0" w:evenVBand="0" w:oddHBand="0" w:evenHBand="0" w:firstRowFirstColumn="0" w:firstRowLastColumn="0" w:lastRowFirstColumn="0" w:lastRowLastColumn="0"/>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Aufgabe</w:t>
            </w:r>
          </w:p>
        </w:tc>
        <w:tc>
          <w:tcPr>
            <w:tcW w:w="4396" w:type="dxa"/>
            <w:tcBorders>
              <w:top w:val="single" w:sz="12" w:space="0" w:color="auto"/>
              <w:left w:val="single" w:sz="12" w:space="0" w:color="auto"/>
              <w:bottom w:val="single" w:sz="12" w:space="0" w:color="auto"/>
              <w:right w:val="single" w:sz="12" w:space="0" w:color="auto"/>
            </w:tcBorders>
          </w:tcPr>
          <w:p w:rsidR="00C3683D" w:rsidRDefault="00C3683D" w:rsidP="00C44BA4">
            <w:r>
              <w:t>Lösung</w:t>
            </w:r>
          </w:p>
        </w:tc>
      </w:tr>
      <w:tr w:rsidR="00C3683D" w:rsidTr="00FE2ED2">
        <w:trPr>
          <w:trHeight w:val="618"/>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Alle Emails in einem bestimmten Verzeichnis nach Suchwörtern durchsuchen</w:t>
            </w:r>
          </w:p>
        </w:tc>
        <w:tc>
          <w:tcPr>
            <w:tcW w:w="4396" w:type="dxa"/>
            <w:tcBorders>
              <w:top w:val="single" w:sz="12" w:space="0" w:color="auto"/>
              <w:left w:val="single" w:sz="12" w:space="0" w:color="auto"/>
              <w:bottom w:val="single" w:sz="12" w:space="0" w:color="auto"/>
              <w:right w:val="single" w:sz="12" w:space="0" w:color="auto"/>
            </w:tcBorders>
          </w:tcPr>
          <w:p w:rsidR="00C3683D" w:rsidRPr="00FE2ED2" w:rsidRDefault="00FE2ED2" w:rsidP="00C44BA4">
            <w:r w:rsidRPr="00FE2ED2">
              <w:rPr>
                <w:b/>
              </w:rPr>
              <w:t>EmailHandler</w:t>
            </w:r>
            <w:r>
              <w:t xml:space="preserve"> </w:t>
            </w:r>
            <w:r w:rsidR="00710B17">
              <w:t xml:space="preserve">holt sich die Blacklist </w:t>
            </w:r>
            <w:r w:rsidR="00710B17" w:rsidRPr="00710B17">
              <w:rPr>
                <w:b/>
              </w:rPr>
              <w:t>via FileManager</w:t>
            </w:r>
            <w:r w:rsidR="00710B17">
              <w:rPr>
                <w:b/>
              </w:rPr>
              <w:t xml:space="preserve"> </w:t>
            </w:r>
            <w:r w:rsidR="00710B17">
              <w:t>und</w:t>
            </w:r>
            <w:r w:rsidR="00710B17">
              <w:rPr>
                <w:b/>
              </w:rPr>
              <w:t xml:space="preserve"> </w:t>
            </w:r>
            <w:r w:rsidRPr="00710B17">
              <w:t>führt</w:t>
            </w:r>
            <w:r>
              <w:t xml:space="preserve"> </w:t>
            </w:r>
            <w:r w:rsidRPr="009C4856">
              <w:rPr>
                <w:b/>
              </w:rPr>
              <w:t>Blacklist-Scan</w:t>
            </w:r>
            <w:r>
              <w:t xml:space="preserve"> durch.</w:t>
            </w:r>
          </w:p>
        </w:tc>
      </w:tr>
      <w:tr w:rsidR="00C3683D" w:rsidTr="00FE2ED2">
        <w:trPr>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Suchwörter aus einer Blacklist lesen</w:t>
            </w:r>
          </w:p>
        </w:tc>
        <w:tc>
          <w:tcPr>
            <w:tcW w:w="4396" w:type="dxa"/>
            <w:tcBorders>
              <w:top w:val="single" w:sz="12" w:space="0" w:color="auto"/>
              <w:left w:val="single" w:sz="12" w:space="0" w:color="auto"/>
              <w:bottom w:val="single" w:sz="12" w:space="0" w:color="auto"/>
              <w:right w:val="single" w:sz="12" w:space="0" w:color="auto"/>
            </w:tcBorders>
          </w:tcPr>
          <w:p w:rsidR="00C3683D" w:rsidRPr="00010BDC" w:rsidRDefault="00010BDC" w:rsidP="00C44BA4">
            <w:r w:rsidRPr="00010BDC">
              <w:rPr>
                <w:b/>
              </w:rPr>
              <w:t>FileManager</w:t>
            </w:r>
            <w:r w:rsidR="00CF078C">
              <w:t xml:space="preserve"> liest Blacklistdatei aus</w:t>
            </w:r>
            <w:r w:rsidR="00BA625A">
              <w:t xml:space="preserve"> und gibt String-Liste </w:t>
            </w:r>
            <w:r w:rsidR="00041199">
              <w:t xml:space="preserve">mit „verdächtigen“ </w:t>
            </w:r>
            <w:r w:rsidR="00D3433E">
              <w:t xml:space="preserve">Wörtern </w:t>
            </w:r>
            <w:r w:rsidR="00BA625A">
              <w:t>zurück</w:t>
            </w:r>
            <w:r w:rsidR="00CF078C">
              <w:t>.</w:t>
            </w:r>
          </w:p>
        </w:tc>
      </w:tr>
      <w:tr w:rsidR="00C3683D" w:rsidTr="00FE2ED2">
        <w:trPr>
          <w:trHeight w:val="292"/>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Einstufung „verdächtig“ nach bestimmter Anzahl von Treffern innerhalb einer Email</w:t>
            </w:r>
          </w:p>
        </w:tc>
        <w:tc>
          <w:tcPr>
            <w:tcW w:w="4396" w:type="dxa"/>
            <w:tcBorders>
              <w:top w:val="single" w:sz="12" w:space="0" w:color="auto"/>
              <w:left w:val="single" w:sz="12" w:space="0" w:color="auto"/>
              <w:bottom w:val="single" w:sz="12" w:space="0" w:color="auto"/>
              <w:right w:val="single" w:sz="12" w:space="0" w:color="auto"/>
            </w:tcBorders>
          </w:tcPr>
          <w:p w:rsidR="00C3683D" w:rsidRPr="00915570" w:rsidRDefault="00915570" w:rsidP="00C44BA4">
            <w:r w:rsidRPr="00915570">
              <w:rPr>
                <w:b/>
              </w:rPr>
              <w:t>EmailHandler</w:t>
            </w:r>
            <w:r>
              <w:t xml:space="preserve"> enhält Sicherheitsstufen-Konfiguration</w:t>
            </w:r>
            <w:r w:rsidR="00CB3490">
              <w:t>: Bei insgesamt 10 Treffern z. B. wird eine Email erst als „verdächtig“ markiert</w:t>
            </w:r>
            <w:r>
              <w:t xml:space="preserve">. </w:t>
            </w:r>
            <w:r w:rsidRPr="00915570">
              <w:rPr>
                <w:b/>
              </w:rPr>
              <w:t>EmailHandler</w:t>
            </w:r>
            <w:r>
              <w:t xml:space="preserve"> setzt ein </w:t>
            </w:r>
            <w:r w:rsidRPr="00915570">
              <w:rPr>
                <w:b/>
              </w:rPr>
              <w:t>Email-Objekt</w:t>
            </w:r>
            <w:r>
              <w:t xml:space="preserve"> auf „verdächtig“.</w:t>
            </w:r>
          </w:p>
        </w:tc>
      </w:tr>
      <w:tr w:rsidR="00C3683D" w:rsidTr="00FE2ED2">
        <w:trPr>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Quarantäneordner für „verdächtige“ Emails einrichtigen und „verdächtige“ Emails dahin verschieben</w:t>
            </w:r>
          </w:p>
        </w:tc>
        <w:tc>
          <w:tcPr>
            <w:tcW w:w="4396" w:type="dxa"/>
            <w:tcBorders>
              <w:top w:val="single" w:sz="12" w:space="0" w:color="auto"/>
              <w:left w:val="single" w:sz="12" w:space="0" w:color="auto"/>
              <w:bottom w:val="single" w:sz="12" w:space="0" w:color="auto"/>
              <w:right w:val="single" w:sz="12" w:space="0" w:color="auto"/>
            </w:tcBorders>
          </w:tcPr>
          <w:p w:rsidR="00C3683D" w:rsidRPr="00A36EC3" w:rsidRDefault="00A36EC3" w:rsidP="00A36EC3">
            <w:r w:rsidRPr="00A36EC3">
              <w:rPr>
                <w:b/>
              </w:rPr>
              <w:t>FileManager</w:t>
            </w:r>
            <w:r>
              <w:t xml:space="preserve"> erstellt und verschiebt Dateien und Ordner</w:t>
            </w:r>
            <w:r w:rsidR="005943C0">
              <w:t>.</w:t>
            </w:r>
          </w:p>
        </w:tc>
      </w:tr>
      <w:tr w:rsidR="00C3683D" w:rsidTr="00FE2ED2">
        <w:trPr>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Für jeden Suchlauf eine Logdatei mit Infos über „verdächtige“ Emails schreiben. Die Logdatei sollte pro Email folgende Informationen enthalten (Absender, Empfänger, Sendedatum, Betreff, gefundene Suchwörter mit Angabe der Trefferzahl pro Suchwort)</w:t>
            </w:r>
          </w:p>
        </w:tc>
        <w:tc>
          <w:tcPr>
            <w:tcW w:w="4396" w:type="dxa"/>
            <w:tcBorders>
              <w:top w:val="single" w:sz="12" w:space="0" w:color="auto"/>
              <w:left w:val="single" w:sz="12" w:space="0" w:color="auto"/>
              <w:bottom w:val="single" w:sz="12" w:space="0" w:color="auto"/>
              <w:right w:val="single" w:sz="12" w:space="0" w:color="auto"/>
            </w:tcBorders>
          </w:tcPr>
          <w:p w:rsidR="00C3683D" w:rsidRDefault="00365989" w:rsidP="00991F27">
            <w:r w:rsidRPr="00365989">
              <w:rPr>
                <w:b/>
              </w:rPr>
              <w:t>FileManager</w:t>
            </w:r>
            <w:r>
              <w:t xml:space="preserve"> erstellt Logdatei und schreibt dort hinein. </w:t>
            </w:r>
            <w:r w:rsidR="00E606C1" w:rsidRPr="00761FBD">
              <w:rPr>
                <w:b/>
              </w:rPr>
              <w:t>LogManager</w:t>
            </w:r>
            <w:r w:rsidR="00E606C1">
              <w:t xml:space="preserve"> gibt </w:t>
            </w:r>
            <w:r w:rsidR="00E606C1" w:rsidRPr="00761FBD">
              <w:rPr>
                <w:b/>
              </w:rPr>
              <w:t>Schreibauftrag</w:t>
            </w:r>
            <w:r w:rsidR="00E606C1">
              <w:t xml:space="preserve"> an </w:t>
            </w:r>
            <w:r w:rsidR="00E606C1" w:rsidRPr="00E606C1">
              <w:rPr>
                <w:b/>
              </w:rPr>
              <w:t>FileManager</w:t>
            </w:r>
            <w:r w:rsidR="00E606C1">
              <w:t xml:space="preserve"> mittels eines </w:t>
            </w:r>
            <w:r w:rsidR="00991F27">
              <w:rPr>
                <w:b/>
              </w:rPr>
              <w:t>ScanResult</w:t>
            </w:r>
            <w:r w:rsidR="00E606C1" w:rsidRPr="00E606C1">
              <w:rPr>
                <w:b/>
              </w:rPr>
              <w:t>-Objektes</w:t>
            </w:r>
            <w:r w:rsidR="00E606C1">
              <w:t xml:space="preserve"> weiter.</w:t>
            </w:r>
          </w:p>
        </w:tc>
      </w:tr>
      <w:tr w:rsidR="00C3683D" w:rsidTr="00FE2ED2">
        <w:trPr>
          <w:trHeight w:val="309"/>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Groß- und Kleinschreibung ignorieren</w:t>
            </w:r>
          </w:p>
        </w:tc>
        <w:tc>
          <w:tcPr>
            <w:tcW w:w="4396" w:type="dxa"/>
            <w:tcBorders>
              <w:top w:val="single" w:sz="12" w:space="0" w:color="auto"/>
              <w:left w:val="single" w:sz="12" w:space="0" w:color="auto"/>
              <w:bottom w:val="single" w:sz="12" w:space="0" w:color="auto"/>
              <w:right w:val="single" w:sz="12" w:space="0" w:color="auto"/>
            </w:tcBorders>
          </w:tcPr>
          <w:p w:rsidR="00C3683D" w:rsidRPr="000C07F2" w:rsidRDefault="000C07F2" w:rsidP="00083405">
            <w:r w:rsidRPr="000C07F2">
              <w:rPr>
                <w:b/>
              </w:rPr>
              <w:t xml:space="preserve">Achtung: </w:t>
            </w:r>
            <w:r>
              <w:t xml:space="preserve">Erst nach ASCII-Code Ersetzung </w:t>
            </w:r>
            <w:r w:rsidR="00083405">
              <w:t>.toLowerCase() anwenden</w:t>
            </w:r>
          </w:p>
        </w:tc>
      </w:tr>
      <w:tr w:rsidR="00C3683D" w:rsidTr="00FE2ED2">
        <w:trPr>
          <w:trHeight w:val="292"/>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ASCII-Code ersetzen (Umlaute / Sonderzeichen)</w:t>
            </w:r>
          </w:p>
        </w:tc>
        <w:tc>
          <w:tcPr>
            <w:tcW w:w="4396" w:type="dxa"/>
            <w:tcBorders>
              <w:top w:val="single" w:sz="12" w:space="0" w:color="auto"/>
              <w:left w:val="single" w:sz="12" w:space="0" w:color="auto"/>
              <w:bottom w:val="single" w:sz="12" w:space="0" w:color="auto"/>
              <w:right w:val="single" w:sz="12" w:space="0" w:color="auto"/>
            </w:tcBorders>
          </w:tcPr>
          <w:p w:rsidR="00C3683D" w:rsidRPr="00C96F2F" w:rsidRDefault="00C96F2F" w:rsidP="00C44BA4">
            <w:r w:rsidRPr="00C96F2F">
              <w:rPr>
                <w:b/>
              </w:rPr>
              <w:t xml:space="preserve">Achtung: </w:t>
            </w:r>
            <w:r>
              <w:t>Vor dem Speichern des Mail-Inhalts in ein Email-Objekt!</w:t>
            </w:r>
          </w:p>
        </w:tc>
      </w:tr>
      <w:tr w:rsidR="00C3683D" w:rsidTr="00FE2ED2">
        <w:trPr>
          <w:trHeight w:val="324"/>
        </w:trPr>
        <w:tc>
          <w:tcPr>
            <w:tcW w:w="4663" w:type="dxa"/>
            <w:tcBorders>
              <w:top w:val="single" w:sz="12" w:space="0" w:color="auto"/>
              <w:left w:val="single" w:sz="12" w:space="0" w:color="auto"/>
              <w:bottom w:val="single" w:sz="12" w:space="0" w:color="auto"/>
              <w:right w:val="single" w:sz="12" w:space="0" w:color="auto"/>
            </w:tcBorders>
          </w:tcPr>
          <w:p w:rsidR="00C3683D" w:rsidRDefault="00C3683D" w:rsidP="00C44BA4">
            <w:r>
              <w:t>Suchwörter in zusammengesetzten Wörtern erkennen (Teilstrings)</w:t>
            </w:r>
          </w:p>
        </w:tc>
        <w:tc>
          <w:tcPr>
            <w:tcW w:w="4396" w:type="dxa"/>
            <w:tcBorders>
              <w:top w:val="single" w:sz="12" w:space="0" w:color="auto"/>
              <w:left w:val="single" w:sz="12" w:space="0" w:color="auto"/>
              <w:bottom w:val="single" w:sz="12" w:space="0" w:color="auto"/>
              <w:right w:val="single" w:sz="12" w:space="0" w:color="auto"/>
            </w:tcBorders>
          </w:tcPr>
          <w:p w:rsidR="00C3683D" w:rsidRPr="00EF2812" w:rsidRDefault="00EF2812" w:rsidP="00C44BA4">
            <w:r>
              <w:rPr>
                <w:b/>
              </w:rPr>
              <w:t xml:space="preserve">Beispiel: </w:t>
            </w:r>
            <w:r>
              <w:t>„K O K S“</w:t>
            </w:r>
            <w:r w:rsidR="009B5B72">
              <w:t>, „ Bom be“</w:t>
            </w:r>
          </w:p>
        </w:tc>
      </w:tr>
    </w:tbl>
    <w:p w:rsidR="00C3683D" w:rsidRDefault="00C3683D" w:rsidP="00C3683D"/>
    <w:p w:rsidR="0083539A" w:rsidRPr="00C3683D" w:rsidRDefault="0083539A" w:rsidP="00C3683D"/>
    <w:p w:rsidR="00AB626F" w:rsidRPr="0041218C" w:rsidRDefault="00B47630" w:rsidP="00AB626F">
      <w:pPr>
        <w:pStyle w:val="berschrift1"/>
        <w:rPr>
          <w:rStyle w:val="SchwacherVerweis"/>
        </w:rPr>
      </w:pPr>
      <w:r>
        <w:rPr>
          <w:rStyle w:val="SchwacherVerweis"/>
        </w:rPr>
        <w:t xml:space="preserve">Liste der </w:t>
      </w:r>
      <w:r w:rsidR="00AB626F" w:rsidRPr="0041218C">
        <w:rPr>
          <w:rStyle w:val="SchwacherVerweis"/>
        </w:rPr>
        <w:t>Optional</w:t>
      </w:r>
      <w:r>
        <w:rPr>
          <w:rStyle w:val="SchwacherVerweis"/>
        </w:rPr>
        <w:t>en</w:t>
      </w:r>
      <w:r w:rsidR="00AB626F" w:rsidRPr="0041218C">
        <w:rPr>
          <w:rStyle w:val="SchwacherVerweis"/>
        </w:rPr>
        <w:t xml:space="preserve"> Funktionalitäten von NetSpy</w:t>
      </w:r>
    </w:p>
    <w:tbl>
      <w:tblPr>
        <w:tblStyle w:val="HelleListe-Akzent3"/>
        <w:tblW w:w="9115" w:type="dxa"/>
        <w:tblLook w:val="0620" w:firstRow="1" w:lastRow="0" w:firstColumn="0" w:lastColumn="0" w:noHBand="1" w:noVBand="1"/>
      </w:tblPr>
      <w:tblGrid>
        <w:gridCol w:w="8196"/>
        <w:gridCol w:w="919"/>
      </w:tblGrid>
      <w:tr w:rsidR="00AB626F" w:rsidTr="000837BD">
        <w:trPr>
          <w:cnfStyle w:val="100000000000" w:firstRow="1" w:lastRow="0" w:firstColumn="0" w:lastColumn="0" w:oddVBand="0" w:evenVBand="0" w:oddHBand="0" w:evenHBand="0" w:firstRowFirstColumn="0" w:firstRowLastColumn="0" w:lastRowFirstColumn="0" w:lastRowLastColumn="0"/>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AB626F" w:rsidP="00C44BA4">
            <w:r>
              <w:t>Aufgabe</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C44BA4">
            <w:r>
              <w:t>Erledigt</w:t>
            </w:r>
          </w:p>
        </w:tc>
      </w:tr>
      <w:tr w:rsidR="00AB626F" w:rsidTr="000837BD">
        <w:trPr>
          <w:trHeight w:val="604"/>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Zeilenumbruch, Leerstellen ignorieren</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3A451D">
            <w:pPr>
              <w:jc w:val="center"/>
            </w:pPr>
          </w:p>
        </w:tc>
      </w:tr>
      <w:tr w:rsidR="00AB626F" w:rsidTr="000837BD">
        <w:trPr>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Suchbegriffen unterschiedliche Prioritäten zuordnen</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3A451D">
            <w:pPr>
              <w:jc w:val="center"/>
            </w:pPr>
          </w:p>
        </w:tc>
      </w:tr>
      <w:tr w:rsidR="00AB626F" w:rsidTr="000837BD">
        <w:trPr>
          <w:trHeight w:val="286"/>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Berücksichtigung von Jokerzeichen im Suchwort</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3A451D">
            <w:pPr>
              <w:jc w:val="center"/>
            </w:pPr>
          </w:p>
        </w:tc>
      </w:tr>
      <w:tr w:rsidR="00AB626F" w:rsidTr="000837BD">
        <w:trPr>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Automatisch nach ähnlichen Wörtern suchen (regular expressions)</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3A451D">
            <w:pPr>
              <w:jc w:val="center"/>
            </w:pPr>
          </w:p>
        </w:tc>
      </w:tr>
      <w:tr w:rsidR="00AB626F" w:rsidTr="000837BD">
        <w:trPr>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Blacklist dynamisch aus der Anwendung heraus verwalten (löschen, ändern, hinzufügen)</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3A451D">
            <w:pPr>
              <w:jc w:val="center"/>
            </w:pPr>
          </w:p>
        </w:tc>
      </w:tr>
      <w:tr w:rsidR="00AB626F" w:rsidTr="000837BD">
        <w:trPr>
          <w:trHeight w:val="302"/>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Whitelist für Email-Adressen (Absender, Empfänger) verwenden</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3A451D">
            <w:pPr>
              <w:jc w:val="center"/>
            </w:pPr>
          </w:p>
        </w:tc>
      </w:tr>
      <w:tr w:rsidR="00AB626F" w:rsidTr="000837BD">
        <w:trPr>
          <w:trHeight w:val="286"/>
        </w:trPr>
        <w:tc>
          <w:tcPr>
            <w:tcW w:w="8196" w:type="dxa"/>
            <w:tcBorders>
              <w:top w:val="single" w:sz="12" w:space="0" w:color="auto"/>
              <w:left w:val="single" w:sz="12" w:space="0" w:color="auto"/>
              <w:bottom w:val="single" w:sz="12" w:space="0" w:color="auto"/>
              <w:right w:val="single" w:sz="12" w:space="0" w:color="auto"/>
            </w:tcBorders>
          </w:tcPr>
          <w:p w:rsidR="00AB626F" w:rsidRDefault="0062045A" w:rsidP="00C44BA4">
            <w:r>
              <w:t>Whitelist für Email-Adressen dynamisch aus der Anwendung heraus verwalten</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3A451D">
            <w:pPr>
              <w:jc w:val="center"/>
            </w:pPr>
          </w:p>
        </w:tc>
      </w:tr>
      <w:tr w:rsidR="00AB626F" w:rsidTr="000837BD">
        <w:trPr>
          <w:trHeight w:val="316"/>
        </w:trPr>
        <w:tc>
          <w:tcPr>
            <w:tcW w:w="8196" w:type="dxa"/>
            <w:tcBorders>
              <w:top w:val="single" w:sz="12" w:space="0" w:color="auto"/>
              <w:left w:val="single" w:sz="12" w:space="0" w:color="auto"/>
              <w:bottom w:val="single" w:sz="12" w:space="0" w:color="auto"/>
              <w:right w:val="single" w:sz="12" w:space="0" w:color="auto"/>
            </w:tcBorders>
          </w:tcPr>
          <w:p w:rsidR="0062045A" w:rsidRDefault="0062045A" w:rsidP="00C44BA4">
            <w:r>
              <w:t>Option für Suche als ganzes Wort oder als Teilstring zur Verfügung stellen</w:t>
            </w:r>
          </w:p>
        </w:tc>
        <w:tc>
          <w:tcPr>
            <w:tcW w:w="919" w:type="dxa"/>
            <w:tcBorders>
              <w:top w:val="single" w:sz="12" w:space="0" w:color="auto"/>
              <w:left w:val="single" w:sz="12" w:space="0" w:color="auto"/>
              <w:bottom w:val="single" w:sz="12" w:space="0" w:color="auto"/>
              <w:right w:val="single" w:sz="12" w:space="0" w:color="auto"/>
            </w:tcBorders>
          </w:tcPr>
          <w:p w:rsidR="00AB626F" w:rsidRDefault="00AB626F" w:rsidP="003A451D">
            <w:pPr>
              <w:jc w:val="center"/>
            </w:pPr>
          </w:p>
        </w:tc>
      </w:tr>
      <w:tr w:rsidR="0062045A" w:rsidTr="000837BD">
        <w:trPr>
          <w:trHeight w:val="316"/>
        </w:trPr>
        <w:tc>
          <w:tcPr>
            <w:tcW w:w="8196" w:type="dxa"/>
            <w:tcBorders>
              <w:top w:val="single" w:sz="12" w:space="0" w:color="auto"/>
              <w:left w:val="single" w:sz="12" w:space="0" w:color="auto"/>
              <w:bottom w:val="single" w:sz="12" w:space="0" w:color="auto"/>
              <w:right w:val="single" w:sz="12" w:space="0" w:color="auto"/>
            </w:tcBorders>
          </w:tcPr>
          <w:p w:rsidR="0062045A" w:rsidRDefault="0062045A" w:rsidP="00C44BA4">
            <w:r>
              <w:t>HTML-Teil bei der Suche ignorieren</w:t>
            </w:r>
          </w:p>
        </w:tc>
        <w:tc>
          <w:tcPr>
            <w:tcW w:w="919" w:type="dxa"/>
            <w:tcBorders>
              <w:top w:val="single" w:sz="12" w:space="0" w:color="auto"/>
              <w:left w:val="single" w:sz="12" w:space="0" w:color="auto"/>
              <w:bottom w:val="single" w:sz="12" w:space="0" w:color="auto"/>
              <w:right w:val="single" w:sz="12" w:space="0" w:color="auto"/>
            </w:tcBorders>
          </w:tcPr>
          <w:p w:rsidR="0062045A" w:rsidRDefault="003A451D" w:rsidP="003A451D">
            <w:pPr>
              <w:jc w:val="center"/>
            </w:pPr>
            <w:r>
              <w:t>x</w:t>
            </w:r>
          </w:p>
        </w:tc>
      </w:tr>
    </w:tbl>
    <w:p w:rsidR="00AB626F" w:rsidRDefault="00AB626F" w:rsidP="003E3FB9"/>
    <w:p w:rsidR="007C7C5A" w:rsidRDefault="007C7C5A" w:rsidP="007C7C5A">
      <w:pPr>
        <w:pStyle w:val="berschrift1"/>
        <w:rPr>
          <w:rStyle w:val="SchwacherVerweis"/>
        </w:rPr>
      </w:pPr>
      <w:r>
        <w:rPr>
          <w:rStyle w:val="SchwacherVerweis"/>
        </w:rPr>
        <w:t>L</w:t>
      </w:r>
      <w:r w:rsidR="00C3008C">
        <w:rPr>
          <w:rStyle w:val="SchwacherVerweis"/>
        </w:rPr>
        <w:t>ösungsweg</w:t>
      </w:r>
      <w:r>
        <w:rPr>
          <w:rStyle w:val="SchwacherVerweis"/>
        </w:rPr>
        <w:t xml:space="preserve"> der </w:t>
      </w:r>
      <w:r w:rsidRPr="0041218C">
        <w:rPr>
          <w:rStyle w:val="SchwacherVerweis"/>
        </w:rPr>
        <w:t>Optional</w:t>
      </w:r>
      <w:r>
        <w:rPr>
          <w:rStyle w:val="SchwacherVerweis"/>
        </w:rPr>
        <w:t>en</w:t>
      </w:r>
      <w:r w:rsidRPr="0041218C">
        <w:rPr>
          <w:rStyle w:val="SchwacherVerweis"/>
        </w:rPr>
        <w:t xml:space="preserve"> Funktionalitäten von NetSpy</w:t>
      </w:r>
    </w:p>
    <w:tbl>
      <w:tblPr>
        <w:tblStyle w:val="HelleListe-Akzent3"/>
        <w:tblW w:w="9103" w:type="dxa"/>
        <w:tblLook w:val="0620" w:firstRow="1" w:lastRow="0" w:firstColumn="0" w:lastColumn="0" w:noHBand="1" w:noVBand="1"/>
      </w:tblPr>
      <w:tblGrid>
        <w:gridCol w:w="4663"/>
        <w:gridCol w:w="4440"/>
      </w:tblGrid>
      <w:tr w:rsidR="007C7C5A" w:rsidTr="000837BD">
        <w:trPr>
          <w:cnfStyle w:val="100000000000" w:firstRow="1" w:lastRow="0" w:firstColumn="0" w:lastColumn="0" w:oddVBand="0" w:evenVBand="0" w:oddHBand="0" w:evenHBand="0" w:firstRowFirstColumn="0" w:firstRowLastColumn="0" w:lastRowFirstColumn="0" w:lastRowLastColumn="0"/>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Aufgabe</w:t>
            </w:r>
          </w:p>
        </w:tc>
        <w:tc>
          <w:tcPr>
            <w:tcW w:w="4440" w:type="dxa"/>
            <w:tcBorders>
              <w:top w:val="single" w:sz="12" w:space="0" w:color="auto"/>
              <w:left w:val="single" w:sz="12" w:space="0" w:color="auto"/>
              <w:bottom w:val="single" w:sz="12" w:space="0" w:color="auto"/>
              <w:right w:val="single" w:sz="12" w:space="0" w:color="auto"/>
            </w:tcBorders>
          </w:tcPr>
          <w:p w:rsidR="007C7C5A" w:rsidRDefault="007C7C5A" w:rsidP="00C44BA4">
            <w:r>
              <w:t>Lösung</w:t>
            </w:r>
          </w:p>
        </w:tc>
      </w:tr>
      <w:tr w:rsidR="007C7C5A" w:rsidTr="000837BD">
        <w:trPr>
          <w:trHeight w:val="603"/>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Zeilenumbruch, Leerstellen ignorieren</w:t>
            </w:r>
          </w:p>
        </w:tc>
        <w:tc>
          <w:tcPr>
            <w:tcW w:w="4440" w:type="dxa"/>
            <w:tcBorders>
              <w:top w:val="single" w:sz="12" w:space="0" w:color="auto"/>
              <w:left w:val="single" w:sz="12" w:space="0" w:color="auto"/>
              <w:bottom w:val="single" w:sz="12" w:space="0" w:color="auto"/>
              <w:right w:val="single" w:sz="12" w:space="0" w:color="auto"/>
            </w:tcBorders>
          </w:tcPr>
          <w:p w:rsidR="007C7C5A" w:rsidRDefault="00615610" w:rsidP="004605BF">
            <w:r>
              <w:t>Ersetze Leerzeichen und Zeilenumbrüche (</w:t>
            </w:r>
            <w:r w:rsidR="004605BF">
              <w:t>b</w:t>
            </w:r>
            <w:r>
              <w:t>ackslash</w:t>
            </w:r>
            <w:r w:rsidR="004605BF">
              <w:t xml:space="preserve"> r backslash </w:t>
            </w:r>
            <w:r>
              <w:t>n) vor dem Blacklist-Scan</w:t>
            </w:r>
          </w:p>
        </w:tc>
      </w:tr>
      <w:tr w:rsidR="007C7C5A" w:rsidRPr="00C76D7F" w:rsidTr="000837BD">
        <w:trPr>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Suchbegriffen unterschiedliche Prioritäten zuordnen</w:t>
            </w:r>
          </w:p>
        </w:tc>
        <w:tc>
          <w:tcPr>
            <w:tcW w:w="4440" w:type="dxa"/>
            <w:tcBorders>
              <w:top w:val="single" w:sz="12" w:space="0" w:color="auto"/>
              <w:left w:val="single" w:sz="12" w:space="0" w:color="auto"/>
              <w:bottom w:val="single" w:sz="12" w:space="0" w:color="auto"/>
              <w:right w:val="single" w:sz="12" w:space="0" w:color="auto"/>
            </w:tcBorders>
          </w:tcPr>
          <w:p w:rsidR="007C7C5A" w:rsidRPr="00C76D7F" w:rsidRDefault="00F3089F" w:rsidP="00482219">
            <w:r>
              <w:t xml:space="preserve">Klasse Blacklist </w:t>
            </w:r>
            <w:r w:rsidR="00482219">
              <w:t>enthält eine Map mit Suchwort (String) und Priorität (Integer</w:t>
            </w:r>
            <w:r w:rsidR="00705C05">
              <w:t>/String</w:t>
            </w:r>
            <w:r w:rsidR="00482219">
              <w:t>)</w:t>
            </w:r>
          </w:p>
        </w:tc>
      </w:tr>
      <w:tr w:rsidR="007C7C5A" w:rsidTr="000837BD">
        <w:trPr>
          <w:trHeight w:val="286"/>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Berücksichtigung von Jokerzeichen im Suchwort</w:t>
            </w:r>
          </w:p>
        </w:tc>
        <w:tc>
          <w:tcPr>
            <w:tcW w:w="4440" w:type="dxa"/>
            <w:tcBorders>
              <w:top w:val="single" w:sz="12" w:space="0" w:color="auto"/>
              <w:left w:val="single" w:sz="12" w:space="0" w:color="auto"/>
              <w:bottom w:val="single" w:sz="12" w:space="0" w:color="auto"/>
              <w:right w:val="single" w:sz="12" w:space="0" w:color="auto"/>
            </w:tcBorders>
          </w:tcPr>
          <w:p w:rsidR="007C7C5A" w:rsidRDefault="00C76D7F" w:rsidP="00C44BA4">
            <w:r>
              <w:t>O = 0; e = 3</w:t>
            </w:r>
            <w:r w:rsidR="00980BBF">
              <w:t>; *#_+$ und andere</w:t>
            </w:r>
          </w:p>
        </w:tc>
      </w:tr>
      <w:tr w:rsidR="007C7C5A" w:rsidTr="000837BD">
        <w:trPr>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Automatisch nach ähnlichen Wörtern suchen (regular expressions)</w:t>
            </w:r>
          </w:p>
        </w:tc>
        <w:tc>
          <w:tcPr>
            <w:tcW w:w="4440" w:type="dxa"/>
            <w:tcBorders>
              <w:top w:val="single" w:sz="12" w:space="0" w:color="auto"/>
              <w:left w:val="single" w:sz="12" w:space="0" w:color="auto"/>
              <w:bottom w:val="single" w:sz="12" w:space="0" w:color="auto"/>
              <w:right w:val="single" w:sz="12" w:space="0" w:color="auto"/>
            </w:tcBorders>
          </w:tcPr>
          <w:p w:rsidR="007C7C5A" w:rsidRDefault="00D1668C" w:rsidP="00C44BA4">
            <w:r>
              <w:t>Bombe, bombig, bombastisch, bombenhaft</w:t>
            </w:r>
          </w:p>
        </w:tc>
      </w:tr>
      <w:tr w:rsidR="007C7C5A" w:rsidTr="000837BD">
        <w:trPr>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Blacklist dynamisch aus der Anwendung heraus verwalten (löschen, ändern, hinzufügen)</w:t>
            </w:r>
          </w:p>
        </w:tc>
        <w:tc>
          <w:tcPr>
            <w:tcW w:w="4440" w:type="dxa"/>
            <w:tcBorders>
              <w:top w:val="single" w:sz="12" w:space="0" w:color="auto"/>
              <w:left w:val="single" w:sz="12" w:space="0" w:color="auto"/>
              <w:bottom w:val="single" w:sz="12" w:space="0" w:color="auto"/>
              <w:right w:val="single" w:sz="12" w:space="0" w:color="auto"/>
            </w:tcBorders>
          </w:tcPr>
          <w:p w:rsidR="007C7C5A" w:rsidRDefault="00913640" w:rsidP="00C44BA4">
            <w:r>
              <w:t>Erstellung eines Menüs mit Blacklist-Option</w:t>
            </w:r>
          </w:p>
        </w:tc>
      </w:tr>
      <w:tr w:rsidR="007C7C5A" w:rsidTr="000837BD">
        <w:trPr>
          <w:trHeight w:val="302"/>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Whitelist für Email-Adressen (Absender, Empfänger) verwenden</w:t>
            </w:r>
          </w:p>
        </w:tc>
        <w:tc>
          <w:tcPr>
            <w:tcW w:w="4440" w:type="dxa"/>
            <w:tcBorders>
              <w:top w:val="single" w:sz="12" w:space="0" w:color="auto"/>
              <w:left w:val="single" w:sz="12" w:space="0" w:color="auto"/>
              <w:bottom w:val="single" w:sz="12" w:space="0" w:color="auto"/>
              <w:right w:val="single" w:sz="12" w:space="0" w:color="auto"/>
            </w:tcBorders>
          </w:tcPr>
          <w:p w:rsidR="007C7C5A" w:rsidRDefault="00913640" w:rsidP="00C44BA4">
            <w:r>
              <w:t>Ähnlich zu der Blacklist: whitelist.txt. Enthält Email den Absender, so soll Email-Objekt nicht verdächtig gesetzt werden</w:t>
            </w:r>
          </w:p>
        </w:tc>
      </w:tr>
      <w:tr w:rsidR="007C7C5A" w:rsidTr="000837BD">
        <w:trPr>
          <w:trHeight w:val="286"/>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Whitelist für Email-Adressen dynamisch aus der Anwendung heraus verwalten</w:t>
            </w:r>
          </w:p>
        </w:tc>
        <w:tc>
          <w:tcPr>
            <w:tcW w:w="4440" w:type="dxa"/>
            <w:tcBorders>
              <w:top w:val="single" w:sz="12" w:space="0" w:color="auto"/>
              <w:left w:val="single" w:sz="12" w:space="0" w:color="auto"/>
              <w:bottom w:val="single" w:sz="12" w:space="0" w:color="auto"/>
              <w:right w:val="single" w:sz="12" w:space="0" w:color="auto"/>
            </w:tcBorders>
          </w:tcPr>
          <w:p w:rsidR="007C7C5A" w:rsidRDefault="00913640" w:rsidP="00C44BA4">
            <w:r>
              <w:t>Siehe Blacklist dynamisch aus der Anwendung heraus verwalten</w:t>
            </w:r>
          </w:p>
        </w:tc>
      </w:tr>
      <w:tr w:rsidR="007C7C5A" w:rsidTr="000837BD">
        <w:trPr>
          <w:trHeight w:val="316"/>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83539A">
            <w:r>
              <w:t>Option für Suche als ganzes Wort oder als Teilstring zur Verfügung stellen</w:t>
            </w:r>
          </w:p>
        </w:tc>
        <w:tc>
          <w:tcPr>
            <w:tcW w:w="4440" w:type="dxa"/>
            <w:tcBorders>
              <w:top w:val="single" w:sz="12" w:space="0" w:color="auto"/>
              <w:left w:val="single" w:sz="12" w:space="0" w:color="auto"/>
              <w:bottom w:val="single" w:sz="12" w:space="0" w:color="auto"/>
              <w:right w:val="single" w:sz="12" w:space="0" w:color="auto"/>
            </w:tcBorders>
          </w:tcPr>
          <w:p w:rsidR="007C7C5A" w:rsidRDefault="00836092" w:rsidP="00C44BA4">
            <w:r>
              <w:t>Zum Verständnis: Wenn nur nach „bombe“ gesucht werden soll, so ist „bombenanschlag“ legitim</w:t>
            </w:r>
          </w:p>
        </w:tc>
      </w:tr>
      <w:tr w:rsidR="007C7C5A" w:rsidTr="000837BD">
        <w:trPr>
          <w:trHeight w:val="316"/>
        </w:trPr>
        <w:tc>
          <w:tcPr>
            <w:tcW w:w="4663" w:type="dxa"/>
            <w:tcBorders>
              <w:top w:val="single" w:sz="12" w:space="0" w:color="auto"/>
              <w:left w:val="single" w:sz="12" w:space="0" w:color="auto"/>
              <w:bottom w:val="single" w:sz="12" w:space="0" w:color="auto"/>
              <w:right w:val="single" w:sz="12" w:space="0" w:color="auto"/>
            </w:tcBorders>
          </w:tcPr>
          <w:p w:rsidR="007C7C5A" w:rsidRDefault="007C7C5A" w:rsidP="00C44BA4">
            <w:r>
              <w:t>HTML-Teil bei der Suche ignorieren</w:t>
            </w:r>
          </w:p>
        </w:tc>
        <w:tc>
          <w:tcPr>
            <w:tcW w:w="4440" w:type="dxa"/>
            <w:tcBorders>
              <w:top w:val="single" w:sz="12" w:space="0" w:color="auto"/>
              <w:left w:val="single" w:sz="12" w:space="0" w:color="auto"/>
              <w:bottom w:val="single" w:sz="12" w:space="0" w:color="auto"/>
              <w:right w:val="single" w:sz="12" w:space="0" w:color="auto"/>
            </w:tcBorders>
          </w:tcPr>
          <w:p w:rsidR="007C7C5A" w:rsidRDefault="00836092" w:rsidP="00836092">
            <w:r>
              <w:t>Beende auslesen der Datei, sobald „Content-Type: text/html“ in einer Zeile auftaucht.</w:t>
            </w:r>
          </w:p>
        </w:tc>
      </w:tr>
    </w:tbl>
    <w:p w:rsidR="007C7C5A" w:rsidRPr="007C7C5A" w:rsidRDefault="007C7C5A" w:rsidP="007C7C5A"/>
    <w:sectPr w:rsidR="007C7C5A" w:rsidRPr="007C7C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6042F"/>
    <w:multiLevelType w:val="hybridMultilevel"/>
    <w:tmpl w:val="70A84972"/>
    <w:lvl w:ilvl="0" w:tplc="ECA8946A">
      <w:start w:val="1"/>
      <w:numFmt w:val="decimal"/>
      <w:pStyle w:val="te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B9"/>
    <w:rsid w:val="00010BDC"/>
    <w:rsid w:val="00041199"/>
    <w:rsid w:val="00083405"/>
    <w:rsid w:val="000837BD"/>
    <w:rsid w:val="000C07F2"/>
    <w:rsid w:val="001D77FF"/>
    <w:rsid w:val="00355028"/>
    <w:rsid w:val="00365989"/>
    <w:rsid w:val="003A451D"/>
    <w:rsid w:val="003A5467"/>
    <w:rsid w:val="003E3FB9"/>
    <w:rsid w:val="0041218C"/>
    <w:rsid w:val="004605BF"/>
    <w:rsid w:val="00482219"/>
    <w:rsid w:val="004D4ECD"/>
    <w:rsid w:val="004E63ED"/>
    <w:rsid w:val="005943C0"/>
    <w:rsid w:val="005B00D5"/>
    <w:rsid w:val="00615610"/>
    <w:rsid w:val="0062045A"/>
    <w:rsid w:val="0062398F"/>
    <w:rsid w:val="00705C05"/>
    <w:rsid w:val="00710B17"/>
    <w:rsid w:val="00761FBD"/>
    <w:rsid w:val="00770367"/>
    <w:rsid w:val="007C7C5A"/>
    <w:rsid w:val="0083539A"/>
    <w:rsid w:val="00836092"/>
    <w:rsid w:val="00913640"/>
    <w:rsid w:val="00915570"/>
    <w:rsid w:val="00980BBF"/>
    <w:rsid w:val="00991F27"/>
    <w:rsid w:val="009B5B72"/>
    <w:rsid w:val="009C4856"/>
    <w:rsid w:val="009D5083"/>
    <w:rsid w:val="00A36EC3"/>
    <w:rsid w:val="00AB626F"/>
    <w:rsid w:val="00B01186"/>
    <w:rsid w:val="00B47630"/>
    <w:rsid w:val="00BA625A"/>
    <w:rsid w:val="00C3008C"/>
    <w:rsid w:val="00C3683D"/>
    <w:rsid w:val="00C76D7F"/>
    <w:rsid w:val="00C96F2F"/>
    <w:rsid w:val="00CB3490"/>
    <w:rsid w:val="00CB3ABC"/>
    <w:rsid w:val="00CD1EB9"/>
    <w:rsid w:val="00CF078C"/>
    <w:rsid w:val="00D1668C"/>
    <w:rsid w:val="00D3433E"/>
    <w:rsid w:val="00D803DB"/>
    <w:rsid w:val="00DC713E"/>
    <w:rsid w:val="00DF1665"/>
    <w:rsid w:val="00E55BAC"/>
    <w:rsid w:val="00E606C1"/>
    <w:rsid w:val="00EF21F1"/>
    <w:rsid w:val="00EF2812"/>
    <w:rsid w:val="00F3089F"/>
    <w:rsid w:val="00FE2ED2"/>
    <w:rsid w:val="00FF54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19291-FDDD-44D5-971B-400C44FD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80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st">
    <w:name w:val="test"/>
    <w:basedOn w:val="berschrift1"/>
    <w:link w:val="testZchn"/>
    <w:autoRedefine/>
    <w:qFormat/>
    <w:rsid w:val="00D803DB"/>
    <w:pPr>
      <w:numPr>
        <w:numId w:val="1"/>
      </w:numPr>
    </w:pPr>
    <w:rPr>
      <w:sz w:val="48"/>
    </w:rPr>
  </w:style>
  <w:style w:type="character" w:customStyle="1" w:styleId="testZchn">
    <w:name w:val="test Zchn"/>
    <w:basedOn w:val="berschrift1Zchn"/>
    <w:link w:val="test"/>
    <w:rsid w:val="00D803DB"/>
    <w:rPr>
      <w:rFonts w:asciiTheme="majorHAnsi" w:eastAsiaTheme="majorEastAsia" w:hAnsiTheme="majorHAnsi" w:cstheme="majorBidi"/>
      <w:color w:val="2E74B5" w:themeColor="accent1" w:themeShade="BF"/>
      <w:sz w:val="48"/>
      <w:szCs w:val="32"/>
    </w:rPr>
  </w:style>
  <w:style w:type="character" w:customStyle="1" w:styleId="berschrift1Zchn">
    <w:name w:val="Überschrift 1 Zchn"/>
    <w:basedOn w:val="Absatz-Standardschriftart"/>
    <w:link w:val="berschrift1"/>
    <w:uiPriority w:val="9"/>
    <w:rsid w:val="00D803DB"/>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E3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3FB9"/>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3E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E3F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3FB9"/>
    <w:rPr>
      <w:rFonts w:ascii="Segoe UI" w:hAnsi="Segoe UI" w:cs="Segoe UI"/>
      <w:sz w:val="18"/>
      <w:szCs w:val="18"/>
    </w:rPr>
  </w:style>
  <w:style w:type="table" w:styleId="HelleListe-Akzent3">
    <w:name w:val="Light List Accent 3"/>
    <w:basedOn w:val="NormaleTabelle"/>
    <w:uiPriority w:val="61"/>
    <w:rsid w:val="00CB3ABC"/>
    <w:pPr>
      <w:spacing w:after="0" w:line="240" w:lineRule="auto"/>
    </w:pPr>
    <w:rPr>
      <w:rFonts w:eastAsiaTheme="minorEastAsia"/>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chwacherVerweis">
    <w:name w:val="Subtle Reference"/>
    <w:basedOn w:val="Absatz-Standardschriftart"/>
    <w:uiPriority w:val="31"/>
    <w:qFormat/>
    <w:rsid w:val="0041218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3588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Walter</dc:creator>
  <cp:keywords/>
  <dc:description/>
  <cp:lastModifiedBy>Merlin Walter</cp:lastModifiedBy>
  <cp:revision>59</cp:revision>
  <dcterms:created xsi:type="dcterms:W3CDTF">2015-10-24T12:36:00Z</dcterms:created>
  <dcterms:modified xsi:type="dcterms:W3CDTF">2015-12-14T08:45:00Z</dcterms:modified>
</cp:coreProperties>
</file>