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ascii="仿宋_GB2312" w:hAnsi="仿宋_GB2312" w:eastAsia="仿宋_GB2312"/>
          <w:color w:val="000000"/>
          <w:szCs w:val="21"/>
        </w:rPr>
      </w:pPr>
      <w:r>
        <w:rPr>
          <w:rFonts w:ascii="仿宋_GB2312" w:hAnsi="仿宋_GB2312" w:eastAsia="仿宋_GB2312"/>
          <w:color w:val="000000"/>
          <w:szCs w:val="21"/>
        </w:rPr>
        <w:t>编号：</w:t>
      </w:r>
      <w:r>
        <w:rPr>
          <w:rFonts w:eastAsia="仿宋_GB2312" w:ascii="仿宋_GB2312" w:hAnsi="仿宋_GB2312"/>
          <w:color w:val="000000"/>
          <w:szCs w:val="21"/>
        </w:rPr>
        <w:t>B113C004</w:t>
      </w:r>
    </w:p>
    <w:p>
      <w:pPr>
        <w:pStyle w:val="Normal"/>
        <w:jc w:val="center"/>
        <w:rPr>
          <w:rFonts w:ascii="黑体" w:hAnsi="黑体" w:eastAsia="黑体"/>
          <w:color w:val="000000"/>
          <w:sz w:val="32"/>
          <w:szCs w:val="32"/>
        </w:rPr>
      </w:pPr>
      <w:r>
        <w:rPr>
          <w:rFonts w:ascii="黑体" w:hAnsi="黑体" w:eastAsia="黑体"/>
          <w:color w:val="000000"/>
          <w:sz w:val="32"/>
          <w:szCs w:val="32"/>
        </w:rPr>
        <w:t>课程名称：量子多体理论</w:t>
      </w:r>
    </w:p>
    <w:p>
      <w:pPr>
        <w:pStyle w:val="Normal"/>
        <w:jc w:val="center"/>
        <w:rPr>
          <w:rFonts w:eastAsia="仿宋_GB2312"/>
          <w:color w:val="000000"/>
          <w:sz w:val="32"/>
          <w:szCs w:val="32"/>
        </w:rPr>
      </w:pPr>
      <w:r>
        <w:rPr>
          <w:rFonts w:eastAsia="仿宋_GB2312"/>
          <w:color w:val="000000"/>
          <w:sz w:val="32"/>
          <w:szCs w:val="32"/>
        </w:rPr>
        <w:t>英文名称：</w:t>
      </w:r>
      <w:r>
        <w:rPr>
          <w:rFonts w:eastAsia="仿宋_GB2312"/>
          <w:color w:val="000000"/>
          <w:sz w:val="32"/>
          <w:szCs w:val="32"/>
        </w:rPr>
        <w:t>Quantum Many-body Theory</w:t>
      </w:r>
    </w:p>
    <w:p>
      <w:pPr>
        <w:pStyle w:val="Normal"/>
        <w:numPr>
          <w:ilvl w:val="0"/>
          <w:numId w:val="1"/>
        </w:numPr>
        <w:jc w:val="left"/>
        <w:rPr>
          <w:rFonts w:ascii="仿宋_GB2312" w:hAnsi="仿宋_GB2312" w:eastAsia="仿宋_GB2312"/>
          <w:szCs w:val="21"/>
        </w:rPr>
      </w:pPr>
      <w:r>
        <w:rPr>
          <w:rFonts w:ascii="仿宋_GB2312" w:hAnsi="仿宋_GB2312" w:eastAsia="仿宋_GB2312"/>
          <w:szCs w:val="21"/>
        </w:rPr>
        <w:t>课程简介</w:t>
      </w:r>
    </w:p>
    <w:p>
      <w:pPr>
        <w:pStyle w:val="Normal"/>
        <w:ind w:firstLine="420"/>
        <w:jc w:val="left"/>
        <w:rPr>
          <w:rFonts w:ascii="仿宋_GB2312" w:hAnsi="仿宋_GB2312" w:eastAsia="仿宋_GB2312"/>
          <w:szCs w:val="21"/>
        </w:rPr>
      </w:pPr>
      <w:r>
        <w:rPr>
          <w:rFonts w:ascii="仿宋_GB2312" w:hAnsi="仿宋_GB2312" w:eastAsia="仿宋_GB2312"/>
          <w:szCs w:val="21"/>
        </w:rPr>
        <w:t>本课程为理论物理及其相关专业研究生的专业核心课。主要内容是用介绍处理量子多体问题的多种理论及其在凝聚态物理中的应用。通过本课程的学习，使学生深入掌握现代量子多体理论的基本知识和处理多体问题的基本方法。</w:t>
      </w:r>
    </w:p>
    <w:p>
      <w:pPr>
        <w:pStyle w:val="Normal"/>
        <w:jc w:val="left"/>
        <w:rPr>
          <w:rFonts w:ascii="宋体" w:hAnsi="宋体" w:cs="宋体"/>
          <w:sz w:val="18"/>
          <w:szCs w:val="18"/>
        </w:rPr>
      </w:pPr>
      <w:r>
        <w:rPr>
          <w:rFonts w:eastAsia="仿宋_GB2312" w:ascii="仿宋_GB2312" w:hAnsi="仿宋_GB2312"/>
          <w:szCs w:val="21"/>
        </w:rPr>
        <w:t xml:space="preserve">  </w:t>
      </w:r>
    </w:p>
    <w:p>
      <w:pPr>
        <w:pStyle w:val="Normal"/>
        <w:numPr>
          <w:ilvl w:val="0"/>
          <w:numId w:val="1"/>
        </w:numPr>
        <w:rPr>
          <w:rFonts w:ascii="仿宋_GB2312" w:hAnsi="仿宋_GB2312" w:eastAsia="仿宋_GB2312"/>
          <w:szCs w:val="21"/>
        </w:rPr>
      </w:pPr>
      <w:r>
        <w:rPr>
          <w:rFonts w:ascii="仿宋_GB2312" w:hAnsi="仿宋_GB2312" w:eastAsia="仿宋_GB2312"/>
          <w:szCs w:val="21"/>
        </w:rPr>
        <w:t>课内学时：</w:t>
      </w:r>
      <w:r>
        <w:rPr>
          <w:rFonts w:ascii="仿宋_GB2312" w:hAnsi="仿宋_GB2312" w:eastAsia="仿宋_GB2312"/>
          <w:szCs w:val="21"/>
          <w:u w:val="single"/>
        </w:rPr>
        <w:t xml:space="preserve">  </w:t>
      </w:r>
      <w:r>
        <w:rPr>
          <w:rFonts w:eastAsia="仿宋_GB2312" w:ascii="仿宋_GB2312" w:hAnsi="仿宋_GB2312"/>
          <w:szCs w:val="21"/>
          <w:u w:val="single"/>
        </w:rPr>
        <w:t xml:space="preserve">32  </w:t>
      </w:r>
      <w:r>
        <w:rPr>
          <w:rFonts w:ascii="仿宋_GB2312" w:hAnsi="仿宋_GB2312" w:eastAsia="仿宋_GB2312"/>
          <w:szCs w:val="21"/>
        </w:rPr>
        <w:t>学分：</w:t>
      </w:r>
      <w:r>
        <w:rPr>
          <w:rFonts w:ascii="仿宋_GB2312" w:hAnsi="仿宋_GB2312" w:eastAsia="仿宋_GB2312"/>
          <w:szCs w:val="21"/>
          <w:u w:val="single"/>
        </w:rPr>
        <w:t xml:space="preserve">  </w:t>
      </w:r>
      <w:r>
        <w:rPr>
          <w:rFonts w:eastAsia="仿宋_GB2312" w:ascii="仿宋_GB2312" w:hAnsi="仿宋_GB2312"/>
          <w:szCs w:val="21"/>
          <w:u w:val="single"/>
        </w:rPr>
        <w:t xml:space="preserve">2  </w:t>
      </w:r>
      <w:r>
        <w:rPr>
          <w:rFonts w:eastAsia="仿宋_GB2312" w:ascii="仿宋_GB2312" w:hAnsi="仿宋_GB2312"/>
          <w:szCs w:val="21"/>
        </w:rPr>
        <w:t xml:space="preserve">  </w:t>
      </w:r>
      <w:r>
        <w:rPr>
          <w:rFonts w:ascii="仿宋_GB2312" w:hAnsi="仿宋_GB2312" w:eastAsia="仿宋_GB2312"/>
          <w:szCs w:val="21"/>
        </w:rPr>
        <w:t>（此处分别填学时数、学分数）</w:t>
      </w:r>
    </w:p>
    <w:p>
      <w:pPr>
        <w:pStyle w:val="Normal"/>
        <w:rPr>
          <w:rFonts w:ascii="仿宋_GB2312" w:hAnsi="仿宋_GB2312" w:eastAsia="仿宋_GB2312"/>
          <w:szCs w:val="21"/>
        </w:rPr>
      </w:pPr>
      <w:r>
        <w:rPr>
          <w:rFonts w:ascii="仿宋_GB2312" w:hAnsi="仿宋_GB2312" w:eastAsia="仿宋_GB2312"/>
          <w:szCs w:val="21"/>
        </w:rPr>
        <w:t>三、适用专业：</w:t>
      </w:r>
    </w:p>
    <w:p>
      <w:pPr>
        <w:pStyle w:val="Normal"/>
        <w:rPr>
          <w:rFonts w:ascii="仿宋_GB2312" w:hAnsi="仿宋_GB2312" w:eastAsia="仿宋_GB2312"/>
          <w:szCs w:val="21"/>
        </w:rPr>
      </w:pPr>
      <w:r>
        <w:rPr>
          <w:rFonts w:eastAsia="仿宋_GB2312" w:ascii="仿宋_GB2312" w:hAnsi="仿宋_GB2312"/>
          <w:szCs w:val="21"/>
        </w:rPr>
        <w:t xml:space="preserve">        </w:t>
      </w:r>
      <w:r>
        <w:rPr>
          <w:rFonts w:ascii="仿宋_GB2312" w:hAnsi="仿宋_GB2312" w:eastAsia="仿宋_GB2312"/>
          <w:szCs w:val="21"/>
        </w:rPr>
        <w:t>应用物理专业、理论物理专业</w:t>
      </w:r>
    </w:p>
    <w:p>
      <w:pPr>
        <w:pStyle w:val="Normal"/>
        <w:rPr>
          <w:rFonts w:ascii="仿宋_GB2312" w:hAnsi="仿宋_GB2312" w:eastAsia="仿宋_GB2312"/>
          <w:szCs w:val="21"/>
        </w:rPr>
      </w:pPr>
      <w:r>
        <w:rPr>
          <w:rFonts w:ascii="仿宋_GB2312" w:hAnsi="仿宋_GB2312" w:eastAsia="仿宋_GB2312"/>
          <w:szCs w:val="21"/>
        </w:rPr>
        <w:t>四、预修课程：</w:t>
      </w:r>
    </w:p>
    <w:p>
      <w:pPr>
        <w:pStyle w:val="Normal"/>
        <w:rPr>
          <w:rFonts w:ascii="仿宋_GB2312" w:hAnsi="仿宋_GB2312" w:eastAsia="仿宋_GB2312"/>
          <w:szCs w:val="21"/>
        </w:rPr>
      </w:pPr>
      <w:r>
        <w:rPr>
          <w:rFonts w:eastAsia="仿宋_GB2312" w:ascii="仿宋_GB2312" w:hAnsi="仿宋_GB2312"/>
          <w:szCs w:val="21"/>
        </w:rPr>
        <w:t xml:space="preserve">        </w:t>
      </w:r>
      <w:r>
        <w:rPr>
          <w:rFonts w:ascii="仿宋_GB2312" w:hAnsi="仿宋_GB2312" w:eastAsia="仿宋_GB2312"/>
          <w:szCs w:val="21"/>
        </w:rPr>
        <w:t>量子力学、统计物理、固体物理</w:t>
      </w:r>
    </w:p>
    <w:p>
      <w:pPr>
        <w:pStyle w:val="Normal"/>
        <w:rPr>
          <w:rFonts w:ascii="仿宋_GB2312" w:hAnsi="仿宋_GB2312" w:eastAsia="仿宋_GB2312"/>
          <w:szCs w:val="21"/>
        </w:rPr>
      </w:pPr>
      <w:r>
        <w:rPr>
          <w:rFonts w:ascii="仿宋_GB2312" w:hAnsi="仿宋_GB2312" w:eastAsia="仿宋_GB2312"/>
          <w:szCs w:val="21"/>
        </w:rPr>
        <w:t>五、教学目的：</w:t>
      </w:r>
    </w:p>
    <w:p>
      <w:pPr>
        <w:pStyle w:val="Normal"/>
        <w:rPr>
          <w:rFonts w:ascii="仿宋_GB2312" w:hAnsi="仿宋_GB2312" w:eastAsia="仿宋_GB2312"/>
          <w:szCs w:val="21"/>
        </w:rPr>
      </w:pPr>
      <w:r>
        <w:rPr>
          <w:rFonts w:eastAsia="仿宋_GB2312" w:ascii="仿宋_GB2312" w:hAnsi="仿宋_GB2312"/>
          <w:szCs w:val="21"/>
        </w:rPr>
        <w:t xml:space="preserve">        </w:t>
      </w:r>
      <w:r>
        <w:rPr>
          <w:rFonts w:ascii="仿宋_GB2312" w:hAnsi="仿宋_GB2312" w:eastAsia="仿宋_GB2312"/>
          <w:szCs w:val="21"/>
        </w:rPr>
        <w:t>增加学生多体物理的基本知识和基本规律，增强学生利用多体理论解决物理问题的能力，帮助学生建立凝聚态物理直觉和图像，培养学生参与科学研究的兴趣。</w:t>
      </w:r>
    </w:p>
    <w:p>
      <w:pPr>
        <w:pStyle w:val="Normal"/>
        <w:rPr>
          <w:rFonts w:ascii="仿宋_GB2312" w:hAnsi="仿宋_GB2312" w:eastAsia="仿宋_GB2312"/>
          <w:szCs w:val="21"/>
        </w:rPr>
      </w:pPr>
      <w:r>
        <w:rPr>
          <w:rFonts w:ascii="仿宋_GB2312" w:hAnsi="仿宋_GB2312" w:eastAsia="仿宋_GB2312"/>
          <w:szCs w:val="21"/>
        </w:rPr>
        <w:t>六、德育目标：</w:t>
      </w:r>
    </w:p>
    <w:p>
      <w:pPr>
        <w:pStyle w:val="Normal"/>
        <w:ind w:hanging="0"/>
        <w:rPr>
          <w:rFonts w:ascii="仿宋_GB2312" w:hAnsi="仿宋_GB2312" w:eastAsia="仿宋_GB2312"/>
          <w:szCs w:val="21"/>
        </w:rPr>
      </w:pPr>
      <w:r>
        <w:rPr>
          <w:rFonts w:eastAsia="仿宋_GB2312" w:ascii="仿宋_GB2312" w:hAnsi="仿宋_GB2312"/>
          <w:szCs w:val="21"/>
        </w:rPr>
        <w:tab/>
      </w:r>
      <w:r>
        <w:rPr>
          <w:rFonts w:ascii="仿宋_GB2312" w:hAnsi="仿宋_GB2312" w:eastAsia="仿宋_GB2312"/>
          <w:szCs w:val="21"/>
        </w:rPr>
        <w:t>树立严谨规范的科学态度和用发展的思维去看待理论的演变。</w:t>
      </w:r>
    </w:p>
    <w:p>
      <w:pPr>
        <w:pStyle w:val="Normal"/>
        <w:rPr>
          <w:rFonts w:ascii="仿宋_GB2312" w:hAnsi="仿宋_GB2312" w:eastAsia="仿宋_GB2312"/>
          <w:szCs w:val="21"/>
        </w:rPr>
      </w:pPr>
      <w:r>
        <w:rPr>
          <w:rFonts w:ascii="仿宋_GB2312" w:hAnsi="仿宋_GB2312" w:eastAsia="仿宋_GB2312"/>
          <w:szCs w:val="21"/>
        </w:rPr>
        <w:t>七、教学方式及考核方式：</w:t>
      </w:r>
    </w:p>
    <w:p>
      <w:pPr>
        <w:pStyle w:val="Normal"/>
        <w:rPr>
          <w:rFonts w:ascii="仿宋_GB2312" w:hAnsi="仿宋_GB2312" w:eastAsia="仿宋_GB2312"/>
          <w:szCs w:val="21"/>
        </w:rPr>
      </w:pPr>
      <w:r>
        <w:rPr/>
        <w:tab/>
      </w:r>
      <w:r>
        <w:rPr>
          <w:rFonts w:ascii="仿宋_GB2312" w:hAnsi="仿宋_GB2312" w:eastAsia="仿宋_GB2312"/>
          <w:szCs w:val="21"/>
        </w:rPr>
        <w:t>教学方式分为</w:t>
      </w:r>
      <w:r>
        <w:rPr/>
        <w:t>课堂讲授和课程实践，考核方式为平时作业和综合项目。</w:t>
      </w:r>
    </w:p>
    <w:p>
      <w:pPr>
        <w:pStyle w:val="Normal"/>
        <w:rPr>
          <w:rFonts w:ascii="仿宋_GB2312" w:hAnsi="仿宋_GB2312" w:eastAsia="仿宋_GB2312"/>
          <w:color w:val="000000"/>
          <w:szCs w:val="21"/>
        </w:rPr>
      </w:pPr>
      <w:r>
        <w:rPr>
          <w:rFonts w:ascii="仿宋_GB2312" w:hAnsi="仿宋_GB2312" w:eastAsia="仿宋_GB2312"/>
          <w:szCs w:val="21"/>
        </w:rPr>
        <w:t>八、教学主要内容：</w:t>
      </w:r>
    </w:p>
    <w:p>
      <w:pPr>
        <w:pStyle w:val="ListParagraph"/>
        <w:numPr>
          <w:ilvl w:val="0"/>
          <w:numId w:val="2"/>
        </w:numPr>
        <w:rPr>
          <w:rFonts w:eastAsia="仿宋_GB2312"/>
          <w:color w:val="000000"/>
          <w:szCs w:val="21"/>
        </w:rPr>
      </w:pPr>
      <w:r>
        <w:rPr/>
        <w:t>绪论（</w:t>
      </w:r>
      <w:r>
        <w:rPr/>
        <w:t>2</w:t>
      </w:r>
      <w:r>
        <w:rPr/>
        <w:t>学时）</w:t>
      </w:r>
    </w:p>
    <w:p>
      <w:pPr>
        <w:pStyle w:val="ListParagraph"/>
        <w:numPr>
          <w:ilvl w:val="1"/>
          <w:numId w:val="2"/>
        </w:numPr>
        <w:rPr>
          <w:rFonts w:eastAsia="仿宋_GB2312"/>
          <w:color w:val="000000"/>
          <w:szCs w:val="21"/>
        </w:rPr>
      </w:pPr>
      <w:r>
        <w:rPr>
          <w:rFonts w:eastAsia="仿宋_GB2312"/>
          <w:color w:val="000000"/>
          <w:szCs w:val="21"/>
        </w:rPr>
        <w:t>量子多体问题概述</w:t>
      </w:r>
      <w:r>
        <w:rPr>
          <w:rFonts w:eastAsia="仿宋_GB2312"/>
          <w:color w:val="000000"/>
          <w:szCs w:val="21"/>
        </w:rPr>
        <w:br/>
      </w:r>
      <w:r>
        <w:rPr>
          <w:rFonts w:eastAsia="仿宋_GB2312"/>
          <w:color w:val="000000"/>
          <w:szCs w:val="21"/>
        </w:rPr>
        <w:t>（思政融入点</w:t>
      </w:r>
      <w:r>
        <w:rPr>
          <w:rFonts w:ascii="Cambria Math" w:hAnsi="Cambria Math" w:cs="Cambria Math" w:eastAsia="仿宋_GB2312"/>
          <w:color w:val="000000"/>
          <w:szCs w:val="21"/>
        </w:rPr>
        <w:t>△</w:t>
      </w:r>
      <w:r>
        <w:rPr>
          <w:rFonts w:eastAsia="仿宋_GB2312"/>
          <w:color w:val="000000"/>
          <w:szCs w:val="21"/>
        </w:rPr>
        <w:t>：介绍科学家的生平和贡献，培养学生追求真理、献身科学的精神。）</w:t>
      </w:r>
    </w:p>
    <w:p>
      <w:pPr>
        <w:pStyle w:val="ListParagraph"/>
        <w:numPr>
          <w:ilvl w:val="1"/>
          <w:numId w:val="2"/>
        </w:numPr>
        <w:rPr>
          <w:rFonts w:eastAsia="仿宋_GB2312"/>
          <w:color w:val="000000"/>
          <w:szCs w:val="21"/>
        </w:rPr>
      </w:pPr>
      <w:r>
        <w:rPr>
          <w:rFonts w:eastAsia="仿宋_GB2312"/>
          <w:color w:val="000000"/>
          <w:szCs w:val="21"/>
        </w:rPr>
        <w:t>量子多体物理理论的发展</w:t>
      </w:r>
      <w:r>
        <w:rPr>
          <w:rFonts w:ascii="Segoe UI Symbol" w:hAnsi="Segoe UI Symbol" w:cs="Segoe UI Symbol" w:eastAsia="仿宋_GB2312"/>
          <w:szCs w:val="21"/>
          <w:vertAlign w:val="superscript"/>
        </w:rPr>
        <w:t>★</w:t>
      </w:r>
    </w:p>
    <w:p>
      <w:pPr>
        <w:pStyle w:val="ListParagraph"/>
        <w:numPr>
          <w:ilvl w:val="0"/>
          <w:numId w:val="2"/>
        </w:numPr>
        <w:rPr>
          <w:rFonts w:eastAsia="仿宋_GB2312"/>
          <w:color w:val="000000"/>
          <w:szCs w:val="21"/>
        </w:rPr>
      </w:pPr>
      <w:r>
        <w:rPr>
          <w:rFonts w:eastAsia="仿宋_GB2312"/>
          <w:color w:val="000000"/>
          <w:szCs w:val="21"/>
        </w:rPr>
        <w:t>二次量子化 （</w:t>
      </w:r>
      <w:r>
        <w:rPr>
          <w:rFonts w:eastAsia="仿宋_GB2312"/>
          <w:color w:val="000000"/>
          <w:szCs w:val="21"/>
        </w:rPr>
        <w:t>4</w:t>
      </w:r>
      <w:r>
        <w:rPr>
          <w:rFonts w:eastAsia="仿宋_GB2312"/>
          <w:color w:val="000000"/>
          <w:szCs w:val="21"/>
        </w:rPr>
        <w:t>学时）</w:t>
      </w:r>
    </w:p>
    <w:p>
      <w:pPr>
        <w:pStyle w:val="ListParagraph"/>
        <w:numPr>
          <w:ilvl w:val="1"/>
          <w:numId w:val="2"/>
        </w:numPr>
        <w:rPr>
          <w:rFonts w:eastAsia="仿宋_GB2312"/>
          <w:color w:val="000000"/>
          <w:szCs w:val="21"/>
        </w:rPr>
      </w:pPr>
      <w:r>
        <w:rPr>
          <w:rFonts w:eastAsia="仿宋_GB2312"/>
          <w:color w:val="000000"/>
          <w:szCs w:val="21"/>
        </w:rPr>
        <w:t>量子力学和算符</w:t>
      </w:r>
      <w:r>
        <w:rPr>
          <w:rFonts w:eastAsia="仿宋_GB2312"/>
          <w:szCs w:val="21"/>
          <w:vertAlign w:val="superscript"/>
        </w:rPr>
        <w:t>*</w:t>
      </w:r>
    </w:p>
    <w:p>
      <w:pPr>
        <w:pStyle w:val="ListParagraph"/>
        <w:numPr>
          <w:ilvl w:val="1"/>
          <w:numId w:val="2"/>
        </w:numPr>
        <w:rPr>
          <w:rFonts w:eastAsia="仿宋_GB2312"/>
          <w:color w:val="000000"/>
          <w:szCs w:val="21"/>
        </w:rPr>
      </w:pPr>
      <w:r>
        <w:rPr>
          <w:rFonts w:eastAsia="仿宋_GB2312"/>
          <w:color w:val="000000"/>
          <w:szCs w:val="21"/>
        </w:rPr>
        <w:t>全同粒子</w:t>
      </w:r>
    </w:p>
    <w:p>
      <w:pPr>
        <w:pStyle w:val="ListParagraph"/>
        <w:numPr>
          <w:ilvl w:val="1"/>
          <w:numId w:val="2"/>
        </w:numPr>
        <w:rPr>
          <w:rFonts w:eastAsia="仿宋_GB2312"/>
          <w:color w:val="000000"/>
          <w:szCs w:val="21"/>
        </w:rPr>
      </w:pPr>
      <w:r>
        <w:rPr>
          <w:rFonts w:eastAsia="仿宋_GB2312"/>
          <w:color w:val="000000"/>
          <w:szCs w:val="21"/>
        </w:rPr>
        <w:t>产生湮灭算符和基本性质</w:t>
      </w:r>
      <w:r>
        <w:rPr>
          <w:rFonts w:eastAsia="仿宋_GB2312"/>
          <w:szCs w:val="21"/>
          <w:vertAlign w:val="superscript"/>
        </w:rPr>
        <w:t>*</w:t>
      </w:r>
    </w:p>
    <w:p>
      <w:pPr>
        <w:pStyle w:val="ListParagraph"/>
        <w:numPr>
          <w:ilvl w:val="1"/>
          <w:numId w:val="2"/>
        </w:numPr>
        <w:rPr>
          <w:rFonts w:eastAsia="仿宋_GB2312"/>
          <w:color w:val="000000"/>
          <w:szCs w:val="21"/>
        </w:rPr>
      </w:pPr>
      <w:r>
        <w:rPr>
          <w:rFonts w:eastAsia="仿宋_GB2312"/>
          <w:color w:val="000000"/>
          <w:szCs w:val="21"/>
        </w:rPr>
        <w:t>电子声子耦合</w:t>
      </w:r>
    </w:p>
    <w:p>
      <w:pPr>
        <w:pStyle w:val="ListParagraph"/>
        <w:numPr>
          <w:ilvl w:val="0"/>
          <w:numId w:val="2"/>
        </w:numPr>
        <w:rPr>
          <w:rFonts w:eastAsia="仿宋_GB2312"/>
          <w:color w:val="000000"/>
          <w:szCs w:val="21"/>
        </w:rPr>
      </w:pPr>
      <w:r>
        <w:rPr>
          <w:rFonts w:eastAsia="仿宋_GB2312"/>
          <w:color w:val="000000"/>
          <w:szCs w:val="21"/>
        </w:rPr>
        <w:t>格林函数（</w:t>
      </w:r>
      <w:r>
        <w:rPr>
          <w:rFonts w:eastAsia="仿宋_GB2312"/>
          <w:color w:val="000000"/>
          <w:szCs w:val="21"/>
        </w:rPr>
        <w:t>6</w:t>
      </w:r>
      <w:r>
        <w:rPr>
          <w:rFonts w:eastAsia="仿宋_GB2312"/>
          <w:color w:val="000000"/>
          <w:szCs w:val="21"/>
        </w:rPr>
        <w:t>学时）</w:t>
      </w:r>
    </w:p>
    <w:p>
      <w:pPr>
        <w:pStyle w:val="ListParagraph"/>
        <w:numPr>
          <w:ilvl w:val="1"/>
          <w:numId w:val="2"/>
        </w:numPr>
        <w:rPr>
          <w:rFonts w:eastAsia="仿宋_GB2312"/>
          <w:color w:val="000000"/>
          <w:szCs w:val="21"/>
        </w:rPr>
      </w:pPr>
      <w:r>
        <w:rPr>
          <w:rFonts w:eastAsia="仿宋_GB2312"/>
          <w:color w:val="000000"/>
          <w:szCs w:val="21"/>
        </w:rPr>
        <w:t>格林函数</w:t>
      </w:r>
    </w:p>
    <w:p>
      <w:pPr>
        <w:pStyle w:val="ListParagraph"/>
        <w:numPr>
          <w:ilvl w:val="1"/>
          <w:numId w:val="2"/>
        </w:numPr>
        <w:rPr>
          <w:rFonts w:eastAsia="仿宋_GB2312"/>
          <w:color w:val="000000"/>
          <w:szCs w:val="21"/>
        </w:rPr>
      </w:pPr>
      <w:r>
        <w:rPr>
          <w:rFonts w:eastAsia="仿宋_GB2312"/>
          <w:color w:val="000000"/>
          <w:szCs w:val="21"/>
        </w:rPr>
        <w:t>涨落耗散定理</w:t>
      </w:r>
    </w:p>
    <w:p>
      <w:pPr>
        <w:pStyle w:val="ListParagraph"/>
        <w:numPr>
          <w:ilvl w:val="1"/>
          <w:numId w:val="2"/>
        </w:numPr>
        <w:rPr>
          <w:rFonts w:eastAsia="仿宋_GB2312"/>
          <w:color w:val="000000"/>
          <w:szCs w:val="21"/>
        </w:rPr>
      </w:pPr>
      <w:r>
        <w:rPr>
          <w:rFonts w:eastAsia="仿宋_GB2312"/>
          <w:color w:val="000000"/>
          <w:szCs w:val="21"/>
        </w:rPr>
        <w:t>Wick</w:t>
      </w:r>
      <w:r>
        <w:rPr>
          <w:rFonts w:eastAsia="仿宋_GB2312"/>
          <w:color w:val="000000"/>
          <w:szCs w:val="21"/>
        </w:rPr>
        <w:t>定理</w:t>
      </w:r>
      <w:r>
        <w:rPr>
          <w:rFonts w:eastAsia="仿宋_GB2312"/>
          <w:szCs w:val="21"/>
          <w:vertAlign w:val="superscript"/>
        </w:rPr>
        <w:t>#</w:t>
      </w:r>
    </w:p>
    <w:p>
      <w:pPr>
        <w:pStyle w:val="ListParagraph"/>
        <w:numPr>
          <w:ilvl w:val="1"/>
          <w:numId w:val="2"/>
        </w:numPr>
        <w:rPr>
          <w:rFonts w:eastAsia="仿宋_GB2312"/>
          <w:color w:val="000000"/>
          <w:szCs w:val="21"/>
        </w:rPr>
      </w:pPr>
      <w:r>
        <w:rPr>
          <w:rFonts w:eastAsia="仿宋_GB2312"/>
          <w:color w:val="000000"/>
          <w:szCs w:val="21"/>
        </w:rPr>
        <w:t>Feynman</w:t>
      </w:r>
      <w:r>
        <w:rPr>
          <w:rFonts w:eastAsia="仿宋_GB2312"/>
          <w:color w:val="000000"/>
          <w:szCs w:val="21"/>
        </w:rPr>
        <w:t>图</w:t>
      </w:r>
    </w:p>
    <w:p>
      <w:pPr>
        <w:pStyle w:val="ListParagraph"/>
        <w:numPr>
          <w:ilvl w:val="1"/>
          <w:numId w:val="2"/>
        </w:numPr>
        <w:rPr>
          <w:rFonts w:eastAsia="仿宋_GB2312"/>
          <w:color w:val="000000"/>
          <w:szCs w:val="21"/>
        </w:rPr>
      </w:pPr>
      <w:r>
        <w:rPr>
          <w:rFonts w:eastAsia="仿宋_GB2312"/>
          <w:color w:val="000000"/>
          <w:szCs w:val="21"/>
        </w:rPr>
        <w:t>Dyson</w:t>
      </w:r>
      <w:r>
        <w:rPr>
          <w:rFonts w:eastAsia="仿宋_GB2312"/>
          <w:color w:val="000000"/>
          <w:szCs w:val="21"/>
        </w:rPr>
        <w:t>方程</w:t>
      </w:r>
    </w:p>
    <w:p>
      <w:pPr>
        <w:pStyle w:val="ListParagraph"/>
        <w:numPr>
          <w:ilvl w:val="0"/>
          <w:numId w:val="2"/>
        </w:numPr>
        <w:rPr>
          <w:rFonts w:eastAsia="仿宋_GB2312"/>
          <w:color w:val="000000"/>
          <w:szCs w:val="21"/>
        </w:rPr>
      </w:pPr>
      <w:r>
        <w:rPr>
          <w:rFonts w:eastAsia="仿宋_GB2312"/>
          <w:color w:val="000000"/>
          <w:szCs w:val="21"/>
        </w:rPr>
        <w:t>Hartree-Fock</w:t>
      </w:r>
      <w:r>
        <w:rPr>
          <w:rFonts w:eastAsia="仿宋_GB2312"/>
          <w:color w:val="000000"/>
          <w:szCs w:val="21"/>
        </w:rPr>
        <w:t>和密度泛函理论</w:t>
      </w:r>
      <w:r>
        <w:rPr>
          <w:rFonts w:eastAsia="仿宋_GB2312"/>
          <w:szCs w:val="21"/>
          <w:vertAlign w:val="superscript"/>
        </w:rPr>
        <w:t>*</w:t>
      </w:r>
      <w:r>
        <w:rPr>
          <w:rFonts w:eastAsia="仿宋_GB2312"/>
          <w:szCs w:val="21"/>
        </w:rPr>
        <w:t>（</w:t>
      </w:r>
      <w:r>
        <w:rPr>
          <w:rFonts w:eastAsia="仿宋_GB2312"/>
          <w:szCs w:val="21"/>
        </w:rPr>
        <w:t>10</w:t>
      </w:r>
      <w:r>
        <w:rPr>
          <w:rFonts w:eastAsia="仿宋_GB2312"/>
          <w:szCs w:val="21"/>
        </w:rPr>
        <w:t>学时）</w:t>
      </w:r>
    </w:p>
    <w:p>
      <w:pPr>
        <w:pStyle w:val="ListParagraph"/>
        <w:numPr>
          <w:ilvl w:val="1"/>
          <w:numId w:val="2"/>
        </w:numPr>
        <w:rPr>
          <w:rFonts w:eastAsia="仿宋_GB2312"/>
          <w:color w:val="000000"/>
          <w:szCs w:val="21"/>
        </w:rPr>
      </w:pPr>
      <w:r>
        <w:rPr>
          <w:rFonts w:eastAsia="仿宋_GB2312"/>
          <w:color w:val="000000"/>
          <w:szCs w:val="21"/>
        </w:rPr>
        <w:t>简介</w:t>
      </w:r>
    </w:p>
    <w:p>
      <w:pPr>
        <w:pStyle w:val="ListParagraph"/>
        <w:numPr>
          <w:ilvl w:val="1"/>
          <w:numId w:val="2"/>
        </w:numPr>
        <w:rPr>
          <w:rFonts w:eastAsia="仿宋_GB2312"/>
          <w:color w:val="000000"/>
          <w:szCs w:val="21"/>
        </w:rPr>
      </w:pPr>
      <w:r>
        <w:rPr>
          <w:rFonts w:eastAsia="仿宋_GB2312"/>
          <w:color w:val="000000"/>
          <w:szCs w:val="21"/>
        </w:rPr>
        <w:t>Hartree-Fock</w:t>
      </w:r>
      <w:r>
        <w:rPr>
          <w:rFonts w:eastAsia="仿宋_GB2312"/>
          <w:color w:val="000000"/>
          <w:szCs w:val="21"/>
        </w:rPr>
        <w:t>方程</w:t>
      </w:r>
    </w:p>
    <w:p>
      <w:pPr>
        <w:pStyle w:val="ListParagraph"/>
        <w:numPr>
          <w:ilvl w:val="1"/>
          <w:numId w:val="2"/>
        </w:numPr>
        <w:rPr>
          <w:rFonts w:eastAsia="仿宋_GB2312"/>
          <w:color w:val="000000"/>
          <w:szCs w:val="21"/>
        </w:rPr>
      </w:pPr>
      <w:r>
        <w:rPr>
          <w:rFonts w:eastAsia="仿宋_GB2312"/>
          <w:color w:val="000000"/>
          <w:szCs w:val="21"/>
        </w:rPr>
        <w:t>交换作用和关联作用</w:t>
      </w:r>
    </w:p>
    <w:p>
      <w:pPr>
        <w:pStyle w:val="ListParagraph"/>
        <w:numPr>
          <w:ilvl w:val="1"/>
          <w:numId w:val="2"/>
        </w:numPr>
        <w:rPr>
          <w:rFonts w:eastAsia="仿宋_GB2312"/>
          <w:color w:val="000000"/>
          <w:szCs w:val="21"/>
        </w:rPr>
      </w:pPr>
      <w:r>
        <w:rPr>
          <w:rFonts w:eastAsia="仿宋_GB2312"/>
          <w:color w:val="000000"/>
          <w:szCs w:val="21"/>
        </w:rPr>
        <w:t>密度泛函理论基本定理</w:t>
      </w:r>
    </w:p>
    <w:p>
      <w:pPr>
        <w:pStyle w:val="ListParagraph"/>
        <w:numPr>
          <w:ilvl w:val="1"/>
          <w:numId w:val="2"/>
        </w:numPr>
        <w:rPr>
          <w:rFonts w:eastAsia="仿宋_GB2312"/>
          <w:color w:val="000000"/>
          <w:szCs w:val="21"/>
        </w:rPr>
      </w:pPr>
      <w:r>
        <w:rPr>
          <w:rFonts w:eastAsia="仿宋_GB2312"/>
          <w:color w:val="000000"/>
          <w:szCs w:val="21"/>
        </w:rPr>
        <w:t>Kohn-Sham</w:t>
      </w:r>
      <w:r>
        <w:rPr>
          <w:rFonts w:eastAsia="仿宋_GB2312"/>
          <w:color w:val="000000"/>
          <w:szCs w:val="21"/>
        </w:rPr>
        <w:t>方程（思政融入点</w:t>
      </w:r>
      <w:r>
        <w:rPr>
          <w:rFonts w:ascii="Cambria Math" w:hAnsi="Cambria Math" w:cs="Cambria Math" w:eastAsia="仿宋_GB2312"/>
          <w:color w:val="000000"/>
          <w:szCs w:val="21"/>
        </w:rPr>
        <w:t>△</w:t>
      </w:r>
      <w:r>
        <w:rPr>
          <w:rFonts w:eastAsia="仿宋_GB2312"/>
          <w:color w:val="000000"/>
          <w:szCs w:val="21"/>
        </w:rPr>
        <w:t>：介绍理论应用实际，中国科学家成就，发扬爱国主义精神。）</w:t>
      </w:r>
    </w:p>
    <w:p>
      <w:pPr>
        <w:pStyle w:val="ListParagraph"/>
        <w:numPr>
          <w:ilvl w:val="1"/>
          <w:numId w:val="2"/>
        </w:numPr>
        <w:rPr>
          <w:rFonts w:eastAsia="仿宋_GB2312"/>
          <w:color w:val="000000"/>
          <w:szCs w:val="21"/>
        </w:rPr>
      </w:pPr>
      <w:r>
        <w:rPr>
          <w:rFonts w:eastAsia="仿宋_GB2312"/>
          <w:color w:val="000000"/>
          <w:szCs w:val="21"/>
        </w:rPr>
        <w:t>局域密度近似和广义梯度近似</w:t>
      </w:r>
      <w:r>
        <w:rPr>
          <w:rFonts w:ascii="Segoe UI Symbol" w:hAnsi="Segoe UI Symbol" w:cs="Segoe UI Symbol" w:eastAsia="仿宋_GB2312"/>
          <w:szCs w:val="21"/>
          <w:vertAlign w:val="superscript"/>
        </w:rPr>
        <w:t>★</w:t>
      </w:r>
    </w:p>
    <w:p>
      <w:pPr>
        <w:pStyle w:val="ListParagraph"/>
        <w:numPr>
          <w:ilvl w:val="0"/>
          <w:numId w:val="2"/>
        </w:numPr>
        <w:rPr>
          <w:rFonts w:eastAsia="仿宋_GB2312"/>
          <w:color w:val="000000"/>
          <w:szCs w:val="21"/>
        </w:rPr>
      </w:pPr>
      <w:r>
        <w:rPr>
          <w:rFonts w:eastAsia="仿宋_GB2312"/>
          <w:color w:val="000000"/>
          <w:szCs w:val="21"/>
        </w:rPr>
        <w:t>线性响应理论（</w:t>
      </w:r>
      <w:r>
        <w:rPr>
          <w:rFonts w:eastAsia="仿宋_GB2312"/>
          <w:color w:val="000000"/>
          <w:szCs w:val="21"/>
        </w:rPr>
        <w:t>10</w:t>
      </w:r>
      <w:r>
        <w:rPr>
          <w:rFonts w:eastAsia="仿宋_GB2312"/>
          <w:color w:val="000000"/>
          <w:szCs w:val="21"/>
        </w:rPr>
        <w:t>学时）</w:t>
      </w:r>
    </w:p>
    <w:p>
      <w:pPr>
        <w:pStyle w:val="ListParagraph"/>
        <w:numPr>
          <w:ilvl w:val="1"/>
          <w:numId w:val="2"/>
        </w:numPr>
        <w:rPr>
          <w:rFonts w:eastAsia="仿宋_GB2312"/>
          <w:color w:val="000000"/>
          <w:szCs w:val="21"/>
        </w:rPr>
      </w:pPr>
      <w:r>
        <w:rPr>
          <w:rFonts w:eastAsia="仿宋_GB2312"/>
          <w:color w:val="000000"/>
          <w:szCs w:val="21"/>
        </w:rPr>
        <w:t>微扰论和线性响应</w:t>
      </w:r>
      <w:r>
        <w:rPr>
          <w:rFonts w:eastAsia="仿宋_GB2312"/>
          <w:szCs w:val="21"/>
          <w:vertAlign w:val="superscript"/>
        </w:rPr>
        <w:t>*</w:t>
      </w:r>
    </w:p>
    <w:p>
      <w:pPr>
        <w:pStyle w:val="ListParagraph"/>
        <w:numPr>
          <w:ilvl w:val="1"/>
          <w:numId w:val="2"/>
        </w:numPr>
        <w:rPr>
          <w:rFonts w:eastAsia="仿宋_GB2312"/>
          <w:color w:val="000000"/>
          <w:szCs w:val="21"/>
        </w:rPr>
      </w:pPr>
      <w:r>
        <w:rPr>
          <w:rFonts w:eastAsia="仿宋_GB2312"/>
          <w:color w:val="000000"/>
          <w:szCs w:val="21"/>
        </w:rPr>
        <w:t>线性响应函数</w:t>
      </w:r>
      <w:r>
        <w:rPr>
          <w:rFonts w:eastAsia="仿宋_GB2312"/>
          <w:szCs w:val="21"/>
          <w:vertAlign w:val="superscript"/>
        </w:rPr>
        <w:t>#</w:t>
      </w:r>
    </w:p>
    <w:p>
      <w:pPr>
        <w:pStyle w:val="ListParagraph"/>
        <w:numPr>
          <w:ilvl w:val="1"/>
          <w:numId w:val="2"/>
        </w:numPr>
        <w:rPr>
          <w:rFonts w:eastAsia="仿宋_GB2312"/>
          <w:color w:val="000000"/>
          <w:szCs w:val="21"/>
        </w:rPr>
      </w:pPr>
      <w:r>
        <w:rPr>
          <w:rFonts w:eastAsia="仿宋_GB2312"/>
          <w:color w:val="000000"/>
          <w:szCs w:val="21"/>
        </w:rPr>
        <w:t>周期性微扰</w:t>
      </w:r>
    </w:p>
    <w:p>
      <w:pPr>
        <w:pStyle w:val="ListParagraph"/>
        <w:numPr>
          <w:ilvl w:val="1"/>
          <w:numId w:val="2"/>
        </w:numPr>
        <w:rPr>
          <w:rFonts w:eastAsia="仿宋_GB2312"/>
          <w:color w:val="000000"/>
          <w:szCs w:val="21"/>
        </w:rPr>
      </w:pPr>
      <w:r>
        <w:rPr>
          <w:rFonts w:eastAsia="仿宋_GB2312"/>
          <w:color w:val="000000"/>
          <w:szCs w:val="21"/>
        </w:rPr>
        <w:t>谱函数表示</w:t>
      </w:r>
    </w:p>
    <w:p>
      <w:pPr>
        <w:pStyle w:val="ListParagraph"/>
        <w:numPr>
          <w:ilvl w:val="1"/>
          <w:numId w:val="2"/>
        </w:numPr>
        <w:rPr>
          <w:rFonts w:eastAsia="仿宋_GB2312"/>
          <w:color w:val="000000"/>
          <w:szCs w:val="21"/>
        </w:rPr>
      </w:pPr>
      <w:r>
        <w:rPr>
          <w:rFonts w:eastAsia="仿宋_GB2312"/>
          <w:color w:val="000000"/>
          <w:szCs w:val="21"/>
        </w:rPr>
        <w:t>密度响应函</w:t>
      </w:r>
    </w:p>
    <w:p>
      <w:pPr>
        <w:pStyle w:val="ListParagraph"/>
        <w:numPr>
          <w:ilvl w:val="1"/>
          <w:numId w:val="2"/>
        </w:numPr>
        <w:rPr>
          <w:rFonts w:eastAsia="仿宋_GB2312"/>
          <w:color w:val="000000"/>
          <w:szCs w:val="21"/>
        </w:rPr>
      </w:pPr>
      <w:r>
        <w:rPr>
          <w:rFonts w:eastAsia="仿宋_GB2312" w:ascii="仿宋_GB2312" w:hAnsi="仿宋_GB2312"/>
          <w:color w:val="000000"/>
          <w:szCs w:val="21"/>
        </w:rPr>
        <w:t>Lindhard</w:t>
      </w:r>
      <w:r>
        <w:rPr>
          <w:rFonts w:ascii="仿宋_GB2312" w:hAnsi="仿宋_GB2312" w:eastAsia="仿宋_GB2312"/>
          <w:color w:val="000000"/>
          <w:szCs w:val="21"/>
        </w:rPr>
        <w:t>函数</w:t>
      </w:r>
      <w:r>
        <w:rPr>
          <w:rFonts w:eastAsia="仿宋_GB2312" w:ascii="仿宋_GB2312" w:hAnsi="仿宋_GB2312"/>
          <w:color w:val="000000"/>
          <w:szCs w:val="21"/>
          <w:vertAlign w:val="superscript"/>
        </w:rPr>
        <w:t>*</w:t>
      </w:r>
    </w:p>
    <w:p>
      <w:pPr>
        <w:pStyle w:val="Normal"/>
        <w:rPr>
          <w:rFonts w:ascii="仿宋_GB2312" w:hAnsi="仿宋_GB2312" w:eastAsia="仿宋_GB2312"/>
          <w:color w:val="000000"/>
          <w:szCs w:val="21"/>
        </w:rPr>
      </w:pPr>
      <w:r>
        <w:rPr>
          <w:rFonts w:eastAsia="仿宋_GB2312" w:ascii="仿宋_GB2312" w:hAnsi="仿宋_GB2312"/>
          <w:color w:val="000000"/>
          <w:szCs w:val="21"/>
        </w:rPr>
      </w:r>
    </w:p>
    <w:p>
      <w:pPr>
        <w:pStyle w:val="Normal"/>
        <w:rPr>
          <w:rFonts w:ascii="仿宋_GB2312" w:hAnsi="仿宋_GB2312" w:eastAsia="仿宋_GB2312"/>
          <w:color w:val="000000"/>
          <w:szCs w:val="21"/>
        </w:rPr>
      </w:pPr>
      <w:r>
        <w:rPr>
          <w:rFonts w:ascii="仿宋_GB2312" w:hAnsi="仿宋_GB2312" w:eastAsia="仿宋_GB2312"/>
          <w:color w:val="000000"/>
          <w:szCs w:val="21"/>
        </w:rPr>
        <w:t>九、教材、参考书及学生必读参考资料：</w:t>
      </w:r>
    </w:p>
    <w:p>
      <w:pPr>
        <w:pStyle w:val="Normal"/>
        <w:rPr>
          <w:rFonts w:ascii="Times New Roman" w:hAnsi="Times New Roman" w:eastAsia="Times New Roman"/>
          <w:color w:val="000000"/>
          <w:szCs w:val="21"/>
        </w:rPr>
      </w:pPr>
      <w:r>
        <w:rPr>
          <w:rFonts w:eastAsia="Times New Roman"/>
          <w:color w:val="000000"/>
          <w:szCs w:val="21"/>
        </w:rPr>
        <w:tab/>
      </w:r>
      <w:r>
        <w:rPr>
          <w:rFonts w:ascii="Times New Roman" w:hAnsi="Times New Roman" w:eastAsia="Times New Roman"/>
          <w:color w:val="000000"/>
          <w:szCs w:val="21"/>
        </w:rPr>
        <w:t>教材：</w:t>
      </w:r>
      <w:r>
        <w:rPr>
          <w:rFonts w:eastAsia="Times New Roman"/>
          <w:color w:val="000000"/>
          <w:szCs w:val="21"/>
        </w:rPr>
        <w:t>Fabrizio, Michele. A course in quantum many-body theory. Springer, 2022.</w:t>
      </w:r>
    </w:p>
    <w:p>
      <w:pPr>
        <w:pStyle w:val="Normal"/>
        <w:ind w:hanging="0"/>
        <w:rPr>
          <w:rFonts w:ascii="Times New Roman" w:hAnsi="Times New Roman" w:eastAsia="Times New Roman"/>
          <w:color w:val="000000"/>
          <w:szCs w:val="21"/>
        </w:rPr>
      </w:pPr>
      <w:r>
        <w:rPr>
          <w:rFonts w:eastAsia="Times New Roman"/>
          <w:color w:val="000000"/>
          <w:szCs w:val="21"/>
        </w:rPr>
        <w:tab/>
      </w:r>
      <w:r>
        <w:rPr>
          <w:rFonts w:ascii="Times New Roman" w:hAnsi="Times New Roman" w:eastAsia="Times New Roman"/>
          <w:color w:val="000000"/>
          <w:szCs w:val="21"/>
        </w:rPr>
        <w:t>参考书：</w:t>
      </w:r>
    </w:p>
    <w:p>
      <w:pPr>
        <w:pStyle w:val="Normal"/>
        <w:numPr>
          <w:ilvl w:val="0"/>
          <w:numId w:val="3"/>
        </w:numPr>
        <w:rPr>
          <w:rFonts w:ascii="Times New Roman" w:hAnsi="Times New Roman" w:eastAsia="Times New Roman"/>
        </w:rPr>
      </w:pPr>
      <w:r>
        <w:rPr>
          <w:rFonts w:eastAsia="Times New Roman"/>
          <w:color w:val="000000"/>
          <w:szCs w:val="21"/>
        </w:rPr>
        <w:t>Gabriele Giuliani and Giovanni Vignale, Quantum Theory of Electron Liquid,</w:t>
      </w:r>
      <w:r>
        <w:rPr>
          <w:rFonts w:eastAsia="Times New Roman"/>
        </w:rPr>
        <w:t xml:space="preserve"> </w:t>
      </w:r>
      <w:r>
        <w:rPr>
          <w:rFonts w:eastAsia="Times New Roman"/>
          <w:color w:val="000000"/>
          <w:szCs w:val="21"/>
        </w:rPr>
        <w:t>Cambridge University Press,  2005</w:t>
      </w:r>
    </w:p>
    <w:p>
      <w:pPr>
        <w:pStyle w:val="Normal"/>
        <w:numPr>
          <w:ilvl w:val="0"/>
          <w:numId w:val="3"/>
        </w:numPr>
        <w:rPr>
          <w:rFonts w:ascii="Times New Roman" w:hAnsi="Times New Roman" w:eastAsia="Times New Roman"/>
          <w:b w:val="false"/>
          <w:bCs w:val="false"/>
          <w:sz w:val="22"/>
          <w:szCs w:val="22"/>
          <w:u w:val="none"/>
        </w:rPr>
      </w:pPr>
      <w:r>
        <w:rPr>
          <w:rFonts w:eastAsia="Times New Roman"/>
          <w:b w:val="false"/>
          <w:bCs w:val="false"/>
          <w:sz w:val="22"/>
          <w:szCs w:val="22"/>
          <w:u w:val="none"/>
        </w:rPr>
        <w:t>Eberhard K.U. Gross, E. Runge, O. Heinonen, Many-Particle Theory, Taylor &amp; Francis, 1991</w:t>
      </w:r>
    </w:p>
    <w:p>
      <w:pPr>
        <w:pStyle w:val="Normal"/>
        <w:numPr>
          <w:ilvl w:val="0"/>
          <w:numId w:val="3"/>
        </w:numPr>
        <w:rPr>
          <w:rFonts w:ascii="Times New Roman" w:hAnsi="Times New Roman" w:eastAsia="Times New Roman"/>
          <w:color w:val="000000"/>
          <w:szCs w:val="21"/>
        </w:rPr>
      </w:pPr>
      <w:r>
        <w:rPr>
          <w:color w:val="000000"/>
          <w:szCs w:val="21"/>
        </w:rPr>
        <w:t>Gerald D. Mahan, Many-Particle Physics, Springer, 2008</w:t>
      </w:r>
    </w:p>
    <w:p>
      <w:pPr>
        <w:pStyle w:val="Normal"/>
        <w:ind w:hanging="0"/>
        <w:rPr>
          <w:rFonts w:ascii="Times New Roman" w:hAnsi="Times New Roman" w:eastAsia="Times New Roman"/>
          <w:color w:val="000000"/>
          <w:szCs w:val="21"/>
        </w:rPr>
      </w:pPr>
      <w:r>
        <w:rPr>
          <w:rFonts w:eastAsia="Times New Roman"/>
          <w:color w:val="000000"/>
          <w:szCs w:val="21"/>
        </w:rPr>
      </w:r>
    </w:p>
    <w:p>
      <w:pPr>
        <w:pStyle w:val="Normal"/>
        <w:rPr>
          <w:rFonts w:ascii="Times New Roman" w:hAnsi="Times New Roman" w:eastAsia="Times New Roman"/>
          <w:color w:val="000000"/>
          <w:szCs w:val="21"/>
        </w:rPr>
      </w:pPr>
      <w:r>
        <w:rPr>
          <w:rFonts w:eastAsia="Times New Roman"/>
          <w:color w:val="000000"/>
          <w:szCs w:val="21"/>
        </w:rPr>
        <w:tab/>
      </w:r>
      <w:r>
        <w:rPr>
          <w:rFonts w:ascii="Times New Roman" w:hAnsi="Times New Roman" w:eastAsia="Times New Roman"/>
          <w:color w:val="000000"/>
          <w:szCs w:val="21"/>
        </w:rPr>
        <w:t>必读参考资料：</w:t>
      </w:r>
    </w:p>
    <w:p>
      <w:pPr>
        <w:pStyle w:val="Normal"/>
        <w:rPr>
          <w:rFonts w:ascii="Times New Roman" w:hAnsi="Times New Roman" w:eastAsia="Times New Roman"/>
          <w:color w:val="000000"/>
          <w:szCs w:val="21"/>
        </w:rPr>
      </w:pPr>
      <w:r>
        <w:rPr>
          <w:rFonts w:eastAsia="Times New Roman"/>
          <w:color w:val="000000"/>
          <w:szCs w:val="21"/>
        </w:rPr>
        <w:tab/>
        <w:t>Nobel Lecture: Electronic Structure of Matter-Wave Functions and Density Functionals, Revs. of Mod. Phys.,71, No.5, 1253 (Oct.1999)</w:t>
      </w:r>
    </w:p>
    <w:p>
      <w:pPr>
        <w:pStyle w:val="Normal"/>
        <w:rPr>
          <w:rFonts w:ascii="仿宋_GB2312" w:hAnsi="仿宋_GB2312" w:eastAsia="仿宋_GB2312"/>
          <w:color w:val="000000"/>
          <w:szCs w:val="21"/>
        </w:rPr>
      </w:pPr>
      <w:r>
        <w:rPr>
          <w:rFonts w:eastAsia="仿宋_GB2312" w:ascii="仿宋_GB2312" w:hAnsi="仿宋_GB2312"/>
          <w:color w:val="000000"/>
          <w:szCs w:val="21"/>
        </w:rPr>
        <w:tab/>
      </w:r>
    </w:p>
    <w:p>
      <w:pPr>
        <w:pStyle w:val="Normal"/>
        <w:rPr>
          <w:rFonts w:ascii="仿宋_GB2312" w:hAnsi="仿宋_GB2312" w:eastAsia="仿宋_GB2312"/>
          <w:color w:val="000000"/>
          <w:szCs w:val="21"/>
        </w:rPr>
      </w:pPr>
      <w:r>
        <w:rPr>
          <w:rFonts w:eastAsia="仿宋_GB2312" w:ascii="仿宋_GB2312" w:hAnsi="仿宋_GB2312"/>
          <w:color w:val="000000"/>
          <w:szCs w:val="21"/>
        </w:rPr>
      </w:r>
    </w:p>
    <w:p>
      <w:pPr>
        <w:pStyle w:val="Normal"/>
        <w:rPr>
          <w:rFonts w:ascii="仿宋_GB2312" w:hAnsi="仿宋_GB2312" w:eastAsia="仿宋_GB2312"/>
          <w:color w:val="000000"/>
          <w:szCs w:val="21"/>
        </w:rPr>
      </w:pPr>
      <w:r>
        <w:rPr>
          <w:rFonts w:ascii="仿宋_GB2312" w:hAnsi="仿宋_GB2312" w:eastAsia="仿宋_GB2312"/>
          <w:color w:val="000000"/>
          <w:szCs w:val="21"/>
        </w:rPr>
        <w:t>十、大纲撰写人：罗凯</w:t>
      </w:r>
    </w:p>
    <w:p>
      <w:pPr>
        <w:pStyle w:val="Normal"/>
        <w:rPr>
          <w:rFonts w:ascii="仿宋_GB2312" w:hAnsi="仿宋_GB2312" w:eastAsia="仿宋_GB2312"/>
          <w:color w:val="000000"/>
          <w:szCs w:val="21"/>
        </w:rPr>
      </w:pPr>
      <w:r>
        <w:rPr>
          <w:rFonts w:eastAsia="仿宋_GB2312" w:ascii="仿宋_GB2312" w:hAnsi="仿宋_GB2312"/>
          <w:color w:val="000000"/>
          <w:szCs w:val="21"/>
        </w:rPr>
      </w:r>
    </w:p>
    <w:p>
      <w:pPr>
        <w:pStyle w:val="Normal"/>
        <w:rPr>
          <w:rFonts w:ascii="仿宋_GB2312" w:hAnsi="仿宋_GB2312" w:eastAsia="仿宋_GB2312"/>
          <w:color w:val="000000"/>
          <w:szCs w:val="21"/>
        </w:rPr>
      </w:pPr>
      <w:r>
        <w:rPr>
          <w:rFonts w:ascii="仿宋_GB2312" w:hAnsi="仿宋_GB2312" w:eastAsia="仿宋_GB2312"/>
          <w:color w:val="000000"/>
          <w:szCs w:val="21"/>
        </w:rPr>
        <w:t>十一、任课教师：罗凯</w:t>
      </w:r>
    </w:p>
    <w:p>
      <w:pPr>
        <w:pStyle w:val="Normal"/>
        <w:rPr>
          <w:rFonts w:ascii="仿宋_GB2312" w:hAnsi="仿宋_GB2312" w:eastAsia="仿宋_GB2312"/>
          <w:color w:val="000000"/>
          <w:szCs w:val="21"/>
        </w:rPr>
      </w:pPr>
      <w:r>
        <w:rPr>
          <w:rFonts w:eastAsia="仿宋_GB2312" w:ascii="仿宋_GB2312" w:hAnsi="仿宋_GB2312"/>
          <w:color w:val="000000"/>
          <w:szCs w:val="21"/>
        </w:rPr>
      </w:r>
    </w:p>
    <w:p>
      <w:pPr>
        <w:pStyle w:val="Normal"/>
        <w:rPr>
          <w:rFonts w:ascii="仿宋_GB2312" w:hAnsi="仿宋_GB2312" w:eastAsia="仿宋_GB2312"/>
          <w:color w:val="000000"/>
          <w:szCs w:val="21"/>
        </w:rPr>
      </w:pPr>
      <w:r>
        <w:rPr>
          <w:rFonts w:eastAsia="仿宋_GB2312" w:ascii="仿宋_GB2312" w:hAnsi="仿宋_GB2312"/>
          <w:color w:val="000000"/>
          <w:szCs w:val="21"/>
        </w:rPr>
      </w:r>
    </w:p>
    <w:p>
      <w:pPr>
        <w:pStyle w:val="Normal"/>
        <w:rPr>
          <w:rFonts w:ascii="仿宋_GB2312" w:hAnsi="仿宋_GB2312" w:eastAsia="仿宋_GB2312"/>
          <w:color w:val="000000"/>
          <w:szCs w:val="21"/>
        </w:rPr>
      </w:pPr>
      <w:r>
        <w:rPr>
          <w:rFonts w:ascii="仿宋_GB2312" w:hAnsi="仿宋_GB2312" w:eastAsia="仿宋_GB2312"/>
          <w:color w:val="000000"/>
          <w:szCs w:val="21"/>
        </w:rPr>
        <w:t>系、教研室主任：                                         学院分管院长：</w:t>
      </w:r>
    </w:p>
    <w:p>
      <w:pPr>
        <w:pStyle w:val="Normal"/>
        <w:rPr>
          <w:rFonts w:ascii="仿宋_GB2312" w:hAnsi="仿宋_GB2312" w:eastAsia="仿宋_GB2312"/>
          <w:b/>
          <w:color w:val="000000"/>
          <w:szCs w:val="21"/>
        </w:rPr>
      </w:pPr>
      <w:r>
        <w:rPr>
          <w:rFonts w:eastAsia="仿宋_GB2312" w:ascii="仿宋_GB2312" w:hAnsi="仿宋_GB2312"/>
          <w:b/>
          <w:color w:val="000000"/>
          <w:szCs w:val="21"/>
        </w:rPr>
      </w:r>
    </w:p>
    <w:p>
      <w:pPr>
        <w:pStyle w:val="Normal"/>
        <w:rPr>
          <w:rFonts w:ascii="仿宋_GB2312" w:hAnsi="仿宋_GB2312" w:eastAsia="仿宋_GB2312"/>
          <w:b/>
          <w:color w:val="000000"/>
          <w:szCs w:val="21"/>
        </w:rPr>
      </w:pPr>
      <w:r>
        <w:rPr>
          <w:rFonts w:ascii="仿宋_GB2312" w:hAnsi="仿宋_GB2312" w:eastAsia="仿宋_GB2312"/>
          <w:b/>
          <w:color w:val="000000"/>
          <w:szCs w:val="21"/>
        </w:rPr>
        <w:t>注：</w:t>
      </w:r>
      <w:r>
        <w:rPr>
          <w:rFonts w:eastAsia="仿宋_GB2312" w:ascii="仿宋_GB2312" w:hAnsi="仿宋_GB2312"/>
          <w:b/>
          <w:color w:val="000000"/>
          <w:szCs w:val="21"/>
        </w:rPr>
        <w:t>1.</w:t>
      </w:r>
      <w:r>
        <w:rPr>
          <w:rFonts w:ascii="仿宋_GB2312" w:hAnsi="仿宋_GB2312" w:eastAsia="仿宋_GB2312"/>
          <w:b/>
          <w:color w:val="000000"/>
          <w:szCs w:val="21"/>
        </w:rPr>
        <w:t>除注明外，数字、符号用</w:t>
      </w:r>
      <w:r>
        <w:rPr>
          <w:rFonts w:eastAsia="仿宋_GB2312" w:ascii="仿宋_GB2312" w:hAnsi="仿宋_GB2312"/>
          <w:b/>
          <w:color w:val="000000"/>
          <w:szCs w:val="21"/>
        </w:rPr>
        <w:t>Times New Roman</w:t>
      </w:r>
      <w:r>
        <w:rPr>
          <w:rFonts w:ascii="仿宋_GB2312" w:hAnsi="仿宋_GB2312" w:eastAsia="仿宋_GB2312"/>
          <w:b/>
          <w:color w:val="000000"/>
          <w:szCs w:val="21"/>
        </w:rPr>
        <w:t>体，五号字；</w:t>
      </w:r>
    </w:p>
    <w:p>
      <w:pPr>
        <w:pStyle w:val="Normal"/>
        <w:ind w:firstLine="420"/>
        <w:rPr>
          <w:rFonts w:ascii="仿宋_GB2312" w:hAnsi="仿宋_GB2312" w:eastAsia="仿宋_GB2312"/>
          <w:b/>
          <w:color w:val="000000"/>
          <w:szCs w:val="21"/>
        </w:rPr>
      </w:pPr>
      <w:r>
        <w:rPr>
          <w:rFonts w:eastAsia="仿宋_GB2312" w:ascii="仿宋_GB2312" w:hAnsi="仿宋_GB2312"/>
          <w:b/>
          <w:color w:val="000000"/>
          <w:szCs w:val="21"/>
        </w:rPr>
        <w:t>2.</w:t>
      </w:r>
      <w:r>
        <w:rPr>
          <w:rFonts w:ascii="仿宋_GB2312" w:hAnsi="仿宋_GB2312" w:eastAsia="仿宋_GB2312"/>
          <w:b/>
          <w:color w:val="000000"/>
          <w:szCs w:val="21"/>
        </w:rPr>
        <w:t>本大纲每一项内容均不得空缺；</w:t>
      </w:r>
    </w:p>
    <w:p>
      <w:pPr>
        <w:pStyle w:val="Normal"/>
        <w:ind w:firstLine="420"/>
        <w:rPr>
          <w:rFonts w:ascii="仿宋_GB2312" w:hAnsi="仿宋_GB2312" w:eastAsia="仿宋_GB2312"/>
          <w:b/>
          <w:color w:val="000000"/>
          <w:szCs w:val="21"/>
        </w:rPr>
      </w:pPr>
      <w:r>
        <w:rPr>
          <w:rFonts w:eastAsia="仿宋_GB2312" w:ascii="仿宋_GB2312" w:hAnsi="仿宋_GB2312"/>
          <w:b/>
          <w:color w:val="000000"/>
          <w:szCs w:val="21"/>
        </w:rPr>
        <w:t>3.</w:t>
      </w:r>
      <w:r>
        <w:rPr>
          <w:rFonts w:ascii="仿宋_GB2312" w:hAnsi="仿宋_GB2312" w:eastAsia="仿宋_GB2312"/>
          <w:b/>
          <w:color w:val="000000"/>
          <w:szCs w:val="21"/>
        </w:rPr>
        <w:t>本大纲须大纲撰写人、系</w:t>
      </w:r>
      <w:r>
        <w:rPr>
          <w:rFonts w:eastAsia="仿宋_GB2312" w:ascii="仿宋_GB2312" w:hAnsi="仿宋_GB2312"/>
          <w:b/>
          <w:color w:val="000000"/>
          <w:szCs w:val="21"/>
        </w:rPr>
        <w:t>/</w:t>
      </w:r>
      <w:r>
        <w:rPr>
          <w:rFonts w:ascii="仿宋_GB2312" w:hAnsi="仿宋_GB2312" w:eastAsia="仿宋_GB2312"/>
          <w:b/>
          <w:color w:val="000000"/>
          <w:szCs w:val="21"/>
        </w:rPr>
        <w:t>教研室主任、学院主管领导签名后才能上报。</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仿宋_GB2312">
    <w:charset w:val="01"/>
    <w:family w:val="roman"/>
    <w:pitch w:val="variable"/>
  </w:font>
  <w:font w:name="黑体">
    <w:charset w:val="01"/>
    <w:family w:val="roman"/>
    <w:pitch w:val="variable"/>
  </w:font>
  <w:font w:name="宋体">
    <w:charset w:val="01"/>
    <w:family w:val="roman"/>
    <w:pitch w:val="variable"/>
  </w:font>
  <w:font w:name="Cambria Math">
    <w:charset w:val="01"/>
    <w:family w:val="roman"/>
    <w:pitch w:val="variable"/>
  </w:font>
  <w:font w:name="Segoe UI Symbo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425" w:hanging="425"/>
      </w:pPr>
      <w:rPr/>
    </w:lvl>
    <w:lvl w:ilvl="1">
      <w:start w:val="1"/>
      <w:numFmt w:val="decimal"/>
      <w:lvlText w:val="%1.%2"/>
      <w:lvlJc w:val="left"/>
      <w:pPr>
        <w:tabs>
          <w:tab w:val="num" w:pos="0"/>
        </w:tabs>
        <w:ind w:left="992" w:hanging="567"/>
      </w:pPr>
      <w:rPr/>
    </w:lvl>
    <w:lvl w:ilvl="2">
      <w:start w:val="1"/>
      <w:numFmt w:val="decimal"/>
      <w:lvlText w:val="%1.%2.%3"/>
      <w:lvlJc w:val="left"/>
      <w:pPr>
        <w:tabs>
          <w:tab w:val="num" w:pos="0"/>
        </w:tabs>
        <w:ind w:left="1418" w:hanging="567"/>
      </w:pPr>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4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pPr>
    <w:rPr>
      <w:rFonts w:ascii="Times New Roman" w:hAnsi="Times New Roman" w:eastAsia="" w:cs="Times New Roman" w:eastAsiaTheme="minorEastAsia"/>
      <w:color w:val="auto"/>
      <w:kern w:val="2"/>
      <w:sz w:val="21"/>
      <w:szCs w:val="20"/>
      <w:lang w:val="en-US" w:eastAsia="zh-CN" w:bidi="ar-SA"/>
    </w:rPr>
  </w:style>
  <w:style w:type="paragraph" w:styleId="Heading1">
    <w:name w:val="heading 1"/>
    <w:basedOn w:val="Heading"/>
    <w:next w:val="BodyText"/>
    <w:qFormat/>
    <w:pPr>
      <w:spacing w:before="240" w:after="120"/>
      <w:outlineLvl w:val="0"/>
    </w:pPr>
    <w:rPr>
      <w:rFonts w:ascii="Liberation Serif" w:hAnsi="Liberation Serif" w:eastAsia="Noto Serif CJK SC" w:cs="DejaVu Sans"/>
      <w:b/>
      <w:bCs/>
      <w:sz w:val="48"/>
      <w:szCs w:val="48"/>
    </w:rPr>
  </w:style>
  <w:style w:type="character" w:styleId="DefaultParagraphFont" w:default="1">
    <w:name w:val="Default Paragraph Font"/>
    <w:uiPriority w:val="1"/>
    <w:semiHidden/>
    <w:unhideWhenUsed/>
    <w:qFormat/>
    <w:rPr/>
  </w:style>
  <w:style w:type="character" w:styleId="Style13" w:customStyle="1">
    <w:name w:val="页眉 字符"/>
    <w:basedOn w:val="DefaultParagraphFont"/>
    <w:link w:val="Header"/>
    <w:uiPriority w:val="99"/>
    <w:qFormat/>
    <w:rPr>
      <w:rFonts w:ascii="Times New Roman" w:hAnsi="Times New Roman" w:eastAsia="宋体" w:cs="Times New Roman"/>
      <w:sz w:val="18"/>
      <w:szCs w:val="18"/>
    </w:rPr>
  </w:style>
  <w:style w:type="character" w:styleId="Style14" w:customStyle="1">
    <w:name w:val="页脚 字符"/>
    <w:basedOn w:val="DefaultParagraphFont"/>
    <w:link w:val="Footer"/>
    <w:uiPriority w:val="99"/>
    <w:qFormat/>
    <w:rPr>
      <w:rFonts w:ascii="Times New Roman" w:hAnsi="Times New Roman" w:eastAsia="宋体" w:cs="Times New Roman"/>
      <w:sz w:val="18"/>
      <w:szCs w:val="18"/>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Style14"/>
    <w:uiPriority w:val="99"/>
    <w:unhideWhenUsed/>
    <w:pPr>
      <w:tabs>
        <w:tab w:val="clear" w:pos="420"/>
        <w:tab w:val="center" w:pos="4153" w:leader="none"/>
        <w:tab w:val="right" w:pos="8306" w:leader="none"/>
      </w:tabs>
      <w:snapToGrid w:val="false"/>
      <w:jc w:val="left"/>
    </w:pPr>
    <w:rPr>
      <w:sz w:val="18"/>
      <w:szCs w:val="18"/>
    </w:rPr>
  </w:style>
  <w:style w:type="paragraph" w:styleId="Header">
    <w:name w:val="header"/>
    <w:basedOn w:val="Normal"/>
    <w:link w:val="Style13"/>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ListParagraph">
    <w:name w:val="List Paragraph"/>
    <w:basedOn w:val="Normal"/>
    <w:qFormat/>
    <w:pPr>
      <w:ind w:firstLine="420"/>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contractReview xmlns="http://schemas.wps.cn/vas-ai-hub/contract-review">
  <reviewItems>
    <reviewItem>
      <errorID>3aa2f4a3-91ce-4555-9546-f3532795ac09</errorID>
      <errorWord>)</errorWord>
      <group>L1_Format</group>
      <groupName>格式问题</groupName>
      <ability>L2_HalfPunc</ability>
      <abilityName>全半角检查</abilityName>
      <candidateList>
        <item>）</item>
      </candidateList>
      <explain>文本全半角错误。</explain>
      <paraID>22930646</paraID>
      <start>45</start>
      <end>46</end>
      <status>modified</status>
      <modifiedWord>）</modifiedWord>
      <trackRevisions>false</trackRevisions>
    </reviewItem>
    <reviewItem>
      <errorID>d0ab68b0-bfa7-41b6-a54f-e22484c35359</errorID>
      <errorWord>:</errorWord>
      <group>L1_Format</group>
      <groupName>格式问题</groupName>
      <ability>L2_HalfPunc</ability>
      <abilityName>全半角检查</abilityName>
      <candidateList>
        <item>：</item>
      </candidateList>
      <explain>文本全半角错误。</explain>
      <paraID>5169D944</paraID>
      <start>6</start>
      <end>7</end>
      <status>modified</status>
      <modifiedWord>：</modifiedWord>
      <trackRevisions>false</trackRevisions>
    </reviewItem>
    <reviewItem>
      <errorID>fd572cf4-c54f-43a9-bb58-9654db613ed6</errorID>
      <errorWord>(</errorWord>
      <group>L1_Format</group>
      <groupName>格式问题</groupName>
      <ability>L2_HalfPunc</ability>
      <abilityName>全半角检查</abilityName>
      <candidateList>
        <item>（</item>
      </candidateList>
      <explain>文本全半角错误。</explain>
      <paraID>61C4B9B5</paraID>
      <start>9</start>
      <end>10</end>
      <status>modified</status>
      <modifiedWord>（</modifiedWord>
      <trackRevisions>false</trackRevisions>
    </reviewItem>
    <reviewItem>
      <errorID>1d8cc839-8606-4e27-84f0-d4b3aa086991</errorID>
      <errorWord>)</errorWord>
      <group>L1_Format</group>
      <groupName>格式问题</groupName>
      <ability>L2_HalfPunc</ability>
      <abilityName>全半角检查</abilityName>
      <candidateList>
        <item>）</item>
      </candidateList>
      <explain>文本全半角错误。</explain>
      <paraID>61C4B9B5</paraID>
      <start>134</start>
      <end>135</end>
      <status>modified</status>
      <modifiedWord>）</modifiedWord>
      <trackRevisions>false</trackRevisions>
    </reviewItem>
    <reviewItem>
      <errorID>e7171c98-ad69-419e-ab01-d1592706e70e</errorID>
      <errorWord>科学的精神</errorWord>
      <group>L1_Political</group>
      <groupName>政治性问题</groupName>
      <ability>L2_Keyword</ability>
      <abilityName>固定表述</abilityName>
      <candidateList>
        <item>科学家精神</item>
      </candidateList>
      <explain>词汇“科学家精神”在特定场景下为固定表述形式，请确认此处的“科学的精神”是否存在不当。</explain>
      <paraID>487DB2D0</paraID>
      <start>31</start>
      <end>36</end>
      <status>ignored</status>
      <modifiedWord/>
      <trackRevisions>false</trackRevisions>
    </reviewItem>
    <reviewItem>
      <errorID>61dadf36-7e1c-4a74-add9-d12163795b4e</errorID>
      <errorWord>)</errorWord>
      <group>L1_Format</group>
      <groupName>格式问题</groupName>
      <ability>L2_HalfPunc</ability>
      <abilityName>全半角检查</abilityName>
      <candidateList>
        <item>）</item>
      </candidateList>
      <explain>文本全半角错误。</explain>
      <paraID>5DC6FA03</paraID>
      <start>2</start>
      <end>3</end>
      <status>modified</status>
      <modifiedWord>）</modifiedWord>
      <trackRevisions>false</trackRevisions>
    </reviewItem>
    <reviewItem>
      <errorID>0b2d95ad-cda9-4d97-ac87-3bbac0b2e3b2</errorID>
      <errorWord>1．</errorWord>
      <group>L1_Format</group>
      <groupName>格式问题</groupName>
      <ability>L2_Ordinal</ability>
      <abilityName>序号格式</abilityName>
      <candidateList>
        <item>1.</item>
      </candidateList>
      <explain>当前序号格式不规范，建议修改为规范格式[1.]。</explain>
      <paraID>29B02A98</paraID>
      <start>0</start>
      <end>2</end>
      <status>modified</status>
      <modifiedWord>1.</modifiedWord>
      <trackRevisions>false</trackRevisions>
    </reviewItem>
    <reviewItem>
      <errorID>9714eb70-3162-482c-ba65-92b85a714f54</errorID>
      <errorWord>(</errorWord>
      <group>L1_Format</group>
      <groupName>格式问题</groupName>
      <ability>L2_HalfPunc</ability>
      <abilityName>全半角检查</abilityName>
      <candidateList>
        <item>（</item>
      </candidateList>
      <explain>文本全半角错误。</explain>
      <paraID>29B02A98</paraID>
      <start>14</start>
      <end>15</end>
      <status>modified</status>
      <modifiedWord>（</modifiedWord>
      <trackRevisions>false</trackRevisions>
    </reviewItem>
    <reviewItem>
      <errorID>b5b33ca2-ff4f-4a41-9882-32217600c9ad</errorID>
      <errorWord>)</errorWord>
      <group>L1_Format</group>
      <groupName>格式问题</groupName>
      <ability>L2_HalfPunc</ability>
      <abilityName>全半角检查</abilityName>
      <candidateList>
        <item>）</item>
      </candidateList>
      <explain>文本全半角错误。</explain>
      <paraID>29B02A98</paraID>
      <start>19</start>
      <end>20</end>
      <status>modified</status>
      <modifiedWord>）</modifiedWord>
      <trackRevisions>false</trackRevisions>
    </reviewItem>
    <reviewItem>
      <errorID>01992eb8-c23b-40c5-bd67-b9d8f9a7f777</errorID>
      <errorWord>2．</errorWord>
      <group>L1_Format</group>
      <groupName>格式问题</groupName>
      <ability>L2_Ordinal</ability>
      <abilityName>序号格式</abilityName>
      <candidateList>
        <item>2.</item>
      </candidateList>
      <explain>当前序号格式不规范，建议修改为规范格式[2.]。</explain>
      <paraID>665EC29D</paraID>
      <start>0</start>
      <end>2</end>
      <status>modified</status>
      <modifiedWord>2.</modifiedWord>
      <trackRevisions>false</trackRevisions>
    </reviewItem>
    <reviewItem>
      <errorID>f9ec9842-f43f-4fe0-babd-2e03d4710e78</errorID>
      <errorWord>(</errorWord>
      <group>L1_Format</group>
      <groupName>格式问题</groupName>
      <ability>L2_HalfPunc</ability>
      <abilityName>全半角检查</abilityName>
      <candidateList>
        <item>（</item>
      </candidateList>
      <explain>文本全半角错误。</explain>
      <paraID>665EC29D</paraID>
      <start>19</start>
      <end>20</end>
      <status>modified</status>
      <modifiedWord>（</modifiedWord>
      <trackRevisions>false</trackRevisions>
    </reviewItem>
    <reviewItem>
      <errorID>b4be8117-3ce7-42bb-a54c-6b0d2d3a766c</errorID>
      <errorWord>)</errorWord>
      <group>L1_Format</group>
      <groupName>格式问题</groupName>
      <ability>L2_HalfPunc</ability>
      <abilityName>全半角检查</abilityName>
      <candidateList>
        <item>）</item>
      </candidateList>
      <explain>文本全半角错误。</explain>
      <paraID>665EC29D</paraID>
      <start>24</start>
      <end>25</end>
      <status>modified</status>
      <modifiedWord>）</modifiedWord>
      <trackRevisions>false</trackRevisions>
    </reviewItem>
    <reviewItem>
      <errorID>04f63ca5-1b37-4195-baa3-2bd2d879d16a</errorID>
      <errorWord>3．</errorWord>
      <group>L1_Format</group>
      <groupName>格式问题</groupName>
      <ability>L2_Ordinal</ability>
      <abilityName>序号格式</abilityName>
      <candidateList>
        <item>3.</item>
      </candidateList>
      <explain>当前序号格式不规范，建议修改为规范格式[3.]。</explain>
      <paraID>5C5CE01E</paraID>
      <start>0</start>
      <end>2</end>
      <status>modified</status>
      <modifiedWord>3.</modifiedWord>
      <trackRevisions>false</trackRevisions>
    </reviewItem>
    <reviewItem>
      <errorID>f40d8e7e-89ad-44af-b42c-a1675fdf0ded</errorID>
      <errorWord>4．</errorWord>
      <group>L1_Format</group>
      <groupName>格式问题</groupName>
      <ability>L2_Ordinal</ability>
      <abilityName>序号格式</abilityName>
      <candidateList>
        <item>4.</item>
      </candidateList>
      <explain>当前序号格式不规范，建议修改为规范格式[4.]。</explain>
      <paraID>720ECBFE</paraID>
      <start>0</start>
      <end>2</end>
      <status>modified</status>
      <modifiedWord>4.</modifiedWord>
      <trackRevisions>false</trackRevisions>
    </reviewItem>
    <reviewItem>
      <errorID>3b51d06b-590e-4394-90e8-d493486e57af</errorID>
      <errorWord>(</errorWord>
      <group>L1_Format</group>
      <groupName>格式问题</groupName>
      <ability>L2_HalfPunc</ability>
      <abilityName>全半角检查</abilityName>
      <candidateList>
        <item>（</item>
      </candidateList>
      <explain>文本全半角错误。</explain>
      <paraID>720ECBFE</paraID>
      <start>19</start>
      <end>20</end>
      <status>modified</status>
      <modifiedWord>（</modifiedWord>
      <trackRevisions>false</trackRevisions>
    </reviewItem>
    <reviewItem>
      <errorID>6fbb9119-3b9c-4dec-a603-6ccbc4bc2fec</errorID>
      <errorWord>)</errorWord>
      <group>L1_Format</group>
      <groupName>格式问题</groupName>
      <ability>L2_HalfPunc</ability>
      <abilityName>全半角检查</abilityName>
      <candidateList>
        <item>）</item>
      </candidateList>
      <explain>文本全半角错误。</explain>
      <paraID>720ECBFE</paraID>
      <start>24</start>
      <end>25</end>
      <status>modified</status>
      <modifiedWord>）</modifiedWord>
      <trackRevisions>false</trackRevisions>
    </reviewItem>
    <reviewItem>
      <errorID>b6bf78d4-240f-489e-8947-5abfb304ba9f</errorID>
      <errorWord>5．</errorWord>
      <group>L1_Format</group>
      <groupName>格式问题</groupName>
      <ability>L2_Ordinal</ability>
      <abilityName>序号格式</abilityName>
      <candidateList>
        <item>5.</item>
      </candidateList>
      <explain>当前序号格式不规范，建议修改为规范格式[5.]。</explain>
      <paraID>3CB4BB19</paraID>
      <start>0</start>
      <end>2</end>
      <status>modified</status>
      <modifiedWord>5.</modifiedWord>
      <trackRevisions>false</trackRevisions>
    </reviewItem>
    <reviewItem>
      <errorID>659f0cf7-6688-41f6-a0b9-adef06f5e48b</errorID>
      <errorWord>(</errorWord>
      <group>L1_Format</group>
      <groupName>格式问题</groupName>
      <ability>L2_HalfPunc</ability>
      <abilityName>全半角检查</abilityName>
      <candidateList>
        <item>（</item>
      </candidateList>
      <explain>文本全半角错误。</explain>
      <paraID>3CB4BB19</paraID>
      <start>17</start>
      <end>18</end>
      <status>modified</status>
      <modifiedWord>（</modifiedWord>
      <trackRevisions>false</trackRevisions>
    </reviewItem>
    <reviewItem>
      <errorID>cbe11825-72a0-4603-a060-070ea2f530f1</errorID>
      <errorWord>)</errorWord>
      <group>L1_Format</group>
      <groupName>格式问题</groupName>
      <ability>L2_HalfPunc</ability>
      <abilityName>全半角检查</abilityName>
      <candidateList>
        <item>）</item>
      </candidateList>
      <explain>文本全半角错误。</explain>
      <paraID>3CB4BB19</paraID>
      <start>22</start>
      <end>23</end>
      <status>modified</status>
      <modifiedWord>）</modifiedWord>
      <trackRevisions>false</trackRevisions>
    </reviewItem>
    <reviewItem>
      <errorID>3b833ba5-fac4-4e85-8e16-d9e22025239e</errorID>
      <errorWord>6．</errorWord>
      <group>L1_Format</group>
      <groupName>格式问题</groupName>
      <ability>L2_Ordinal</ability>
      <abilityName>序号格式</abilityName>
      <candidateList>
        <item>6.</item>
      </candidateList>
      <explain>当前序号格式不规范，建议修改为规范格式[6.]。</explain>
      <paraID>7C7A703E</paraID>
      <start>0</start>
      <end>2</end>
      <status>modified</status>
      <modifiedWord>6.</modifiedWord>
      <trackRevisions>false</trackRevisions>
    </reviewItem>
    <reviewItem>
      <errorID>39b4004e-2e7a-4460-a7aa-2a7361ef1b7d</errorID>
      <errorWord>(</errorWord>
      <group>L1_Format</group>
      <groupName>格式问题</groupName>
      <ability>L2_HalfPunc</ability>
      <abilityName>全半角检查</abilityName>
      <candidateList>
        <item>（</item>
      </candidateList>
      <explain>文本全半角错误。</explain>
      <paraID>7C7A703E</paraID>
      <start>29</start>
      <end>30</end>
      <status>modified</status>
      <modifiedWord>（</modifiedWord>
      <trackRevisions>false</trackRevisions>
    </reviewItem>
    <reviewItem>
      <errorID>321c96ed-87e6-44fd-81a2-3da0aecce4e2</errorID>
      <errorWord>)</errorWord>
      <group>L1_Format</group>
      <groupName>格式问题</groupName>
      <ability>L2_HalfPunc</ability>
      <abilityName>全半角检查</abilityName>
      <candidateList>
        <item>）</item>
      </candidateList>
      <explain>文本全半角错误。</explain>
      <paraID>7C7A703E</paraID>
      <start>34</start>
      <end>35</end>
      <status>modified</status>
      <modifiedWord>）</modifiedWord>
      <trackRevisions>false</trackRevisions>
    </reviewItem>
    <reviewItem>
      <errorID>fd81cb1b-097f-4df1-985a-55fd1dd12126</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30E347</paraID>
      <start>0</start>
      <end>2</end>
      <status>modified</status>
      <modifiedWord>7.</modifiedWord>
      <trackRevisions>false</trackRevisions>
    </reviewItem>
    <reviewItem>
      <errorID>748e57bd-a09b-45e1-bc94-0069cd86d225</errorID>
      <errorWord>(</errorWord>
      <group>L1_Format</group>
      <groupName>格式问题</groupName>
      <ability>L2_HalfPunc</ability>
      <abilityName>全半角检查</abilityName>
      <candidateList>
        <item>（</item>
      </candidateList>
      <explain>文本全半角错误。</explain>
      <paraID>  30E347</paraID>
      <start>45</start>
      <end>46</end>
      <status>modified</status>
      <modifiedWord>（</modifiedWord>
      <trackRevisions>false</trackRevisions>
    </reviewItem>
    <reviewItem>
      <errorID>c94efb41-3f48-4632-8ff1-8464d6831a90</errorID>
      <errorWord>)</errorWord>
      <group>L1_Format</group>
      <groupName>格式问题</groupName>
      <ability>L2_HalfPunc</ability>
      <abilityName>全半角检查</abilityName>
      <candidateList>
        <item>）</item>
      </candidateList>
      <explain>文本全半角错误。</explain>
      <paraID>  30E347</paraID>
      <start>59</start>
      <end>60</end>
      <status>modified</status>
      <modifiedWord>）</modifiedWord>
      <trackRevisions>false</trackRevisions>
    </reviewItem>
    <reviewItem>
      <errorID>93e8baf7-fe8d-40c3-9ba0-c12658a2effd</errorID>
      <errorWord>8．</errorWord>
      <group>L1_Format</group>
      <groupName>格式问题</groupName>
      <ability>L2_Ordinal</ability>
      <abilityName>序号格式</abilityName>
      <candidateList>
        <item>8.</item>
      </candidateList>
      <explain>当前序号格式不规范，建议修改为规范格式[8.]。</explain>
      <paraID> 2E78E1F</paraID>
      <start>0</start>
      <end>2</end>
      <status>modified</status>
      <modifiedWord>8.</modifiedWord>
      <trackRevisions>false</trackRevisions>
    </reviewItem>
    <reviewItem>
      <errorID>d41fd872-7c78-41bc-a92c-cd9c5b300e4f</errorID>
      <errorWord>(</errorWord>
      <group>L1_Format</group>
      <groupName>格式问题</groupName>
      <ability>L2_HalfPunc</ability>
      <abilityName>全半角检查</abilityName>
      <candidateList>
        <item>（</item>
      </candidateList>
      <explain>文本全半角错误。</explain>
      <paraID> 2E78E1F</paraID>
      <start>61</start>
      <end>62</end>
      <status>modified</status>
      <modifiedWord>（</modifiedWord>
      <trackRevisions>false</trackRevisions>
    </reviewItem>
    <reviewItem>
      <errorID>76fa3974-5aa7-42e6-ae13-9ad0436939ba</errorID>
      <errorWord>)</errorWord>
      <group>L1_Format</group>
      <groupName>格式问题</groupName>
      <ability>L2_HalfPunc</ability>
      <abilityName>全半角检查</abilityName>
      <candidateList>
        <item>）</item>
      </candidateList>
      <explain>文本全半角错误。</explain>
      <paraID> 2E78E1F</paraID>
      <start>74</start>
      <end>75</end>
      <status>modified</status>
      <modifiedWord>）</modifiedWord>
      <trackRevisions>false</trackRevisions>
    </reviewItem>
    <reviewItem>
      <errorID>63135d6e-05f7-4a73-a6ee-da963541c20f</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843F39D</paraID>
      <start>0</start>
      <end>2</end>
      <status>modified</status>
      <modifiedWord>9.</modifiedWord>
      <trackRevisions>false</trackRevisions>
    </reviewItem>
    <reviewItem>
      <errorID>18d04d6b-e2a8-4c28-adc3-9f21f2ad48ca</errorID>
      <errorWord>(</errorWord>
      <group>L1_Format</group>
      <groupName>格式问题</groupName>
      <ability>L2_HalfPunc</ability>
      <abilityName>全半角检查</abilityName>
      <candidateList>
        <item>（</item>
      </candidateList>
      <explain>文本全半角错误。</explain>
      <paraID> 843F39D</paraID>
      <start>9</start>
      <end>10</end>
      <status>modified</status>
      <modifiedWord>（</modifiedWord>
      <trackRevisions>false</trackRevisions>
    </reviewItem>
    <reviewItem>
      <errorID>f04a7e81-e339-4189-bbca-65139657322b</errorID>
      <errorWord>)</errorWord>
      <group>L1_Format</group>
      <groupName>格式问题</groupName>
      <ability>L2_HalfPunc</ability>
      <abilityName>全半角检查</abilityName>
      <candidateList>
        <item>）</item>
      </candidateList>
      <explain>文本全半角错误。</explain>
      <paraID> 843F39D</paraID>
      <start>15</start>
      <end>16</end>
      <status>modified</status>
      <modifiedWord>）</modifiedWord>
      <trackRevisions>false</trackRevisions>
    </reviewItem>
    <reviewItem>
      <errorID>276261e4-9a67-4f14-9134-18451dbe0689</errorID>
      <errorWord>10．</errorWord>
      <group>L1_Format</group>
      <groupName>格式问题</groupName>
      <ability>L2_Ordinal</ability>
      <abilityName>序号格式</abilityName>
      <candidateList>
        <item>10.</item>
      </candidateList>
      <explain>当前序号格式不规范，建议修改为规范格式[10.]。</explain>
      <paraID>31E571EE</paraID>
      <start>0</start>
      <end>3</end>
      <status>modified</status>
      <modifiedWord>10.</modifiedWord>
      <trackRevisions>false</trackRevisions>
    </reviewItem>
    <reviewItem>
      <errorID>ef066a71-21fc-4312-b39a-3566639cfac3</errorID>
      <errorWord>(</errorWord>
      <group>L1_Format</group>
      <groupName>格式问题</groupName>
      <ability>L2_HalfPunc</ability>
      <abilityName>全半角检查</abilityName>
      <candidateList>
        <item>（</item>
      </candidateList>
      <explain>文本全半角错误。</explain>
      <paraID>31E571EE</paraID>
      <start>11</start>
      <end>12</end>
      <status>modified</status>
      <modifiedWord>（</modifiedWord>
      <trackRevisions>false</trackRevisions>
    </reviewItem>
    <reviewItem>
      <errorID>09806f80-3c31-4db3-9b17-3930692660ba</errorID>
      <errorWord>)</errorWord>
      <group>L1_Format</group>
      <groupName>格式问题</groupName>
      <ability>L2_HalfPunc</ability>
      <abilityName>全半角检查</abilityName>
      <candidateList>
        <item>）</item>
      </candidateList>
      <explain>文本全半角错误。</explain>
      <paraID>31E571EE</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D22C0766-75C2-4A67-80B4-310E4B41EBCE}">
  <ds:schemaRefs/>
</ds:datastoreItem>
</file>

<file path=docProps/app.xml><?xml version="1.0" encoding="utf-8"?>
<Properties xmlns="http://schemas.openxmlformats.org/officeDocument/2006/extended-properties" xmlns:vt="http://schemas.openxmlformats.org/officeDocument/2006/docPropsVTypes">
  <Template>Normal</Template>
  <TotalTime>401</TotalTime>
  <Application>LibreOffice/25.2.3.2$Linux_X86_64 LibreOffice_project/520$Build-2</Application>
  <AppVersion>15.0000</AppVersion>
  <Pages>2</Pages>
  <Words>858</Words>
  <Characters>1337</Characters>
  <CharactersWithSpaces>1484</CharactersWithSpaces>
  <Paragraphs>61</Paragraphs>
  <Company>MS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2022-01-03T02:40:00Z</dcterms:created>
  <dc:creator>USER-</dc:creator>
  <dc:description/>
  <dc:language>en-US</dc:language>
  <cp:lastModifiedBy/>
  <dcterms:modified xsi:type="dcterms:W3CDTF">2026-05-25T09:56:21Z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216014FC60D744EAA4CF21A7A591A6A4</vt:lpwstr>
  </property>
  <property fmtid="{D5CDD505-2E9C-101B-9397-08002B2CF9AE}" pid="3" name="KSOProductBuildVer">
    <vt:lpwstr>2052-12.1.0.23542</vt:lpwstr>
  </property>
  <property fmtid="{D5CDD505-2E9C-101B-9397-08002B2CF9AE}" pid="4" name="KSOTemplateDocerSaveRecord">
    <vt:lpwstr>eyJoZGlkIjoiMTQ3ZTI2NTE2ZDVmY2MwN2ZiY2EwZWY0NWViYTg1ZjQiLCJ1c2VySWQiOiI0ODE2OTUzODMifQ==</vt:lpwstr>
  </property>
</Properties>
</file>