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Invoice Extractor</w:t>
      </w:r>
    </w:p>
    <w:p>
      <w:pPr>
        <w:spacing w:after="240"/>
      </w:pPr>
      <w:r>
        <w:rPr>
          <w:i/>
          <w:iCs/>
          <w:color w:val="595959"/>
          <w:sz w:val="26"/>
          <w:szCs w:val="26"/>
        </w:rPr>
        <w:t xml:space="preserve">Mode de fonctionnement de l'outil d'extraction automatique de factures</w:t>
      </w:r>
    </w:p>
    <w:p>
      <w:pPr>
        <w:tabs>
          <w:tab w:val="right" w:pos="9026"/>
        </w:tabs>
        <w:spacing w:after="360"/>
      </w:pPr>
      <w:r>
        <w:rPr>
          <w:color w:val="595959"/>
        </w:rPr>
        <w:t xml:space="preserve">Document de présentation — </w:t>
      </w:r>
      <w:r>
        <w:rPr>
          <w:b/>
          <w:bCs/>
          <w:color w:val="595959"/>
        </w:rPr>
        <w:t xml:space="preserve">avril 2026</w:t>
      </w:r>
    </w:p>
    <w:p>
      <w:pPr>
        <w:pStyle w:val="Heading1"/>
      </w:pPr>
      <w:r>
        <w:t xml:space="preserve">1. Objectif de l'outil</w:t>
      </w:r>
    </w:p>
    <w:p>
      <w:pPr>
        <w:spacing w:after="120"/>
        <w:jc w:val="both"/>
      </w:pPr>
      <w:r>
        <w:t xml:space="preserve">Invoice Extractor est un outil interne destiné à automatiser la saisie des factures fournisseurs. Au lieu de relire chaque PDF et de recopier manuellement les informations dans un tableur, l'outil lit la facture, en extrait les champs comptables clés (fournisseur, montant, date, numéro, période de couverture, chrono) et les stocke dans une base centrale, prête à être consultée ou exportée vers Excel.</w:t>
      </w:r>
    </w:p>
    <w:p>
      <w:pPr>
        <w:spacing w:after="120"/>
        <w:jc w:val="both"/>
      </w:pPr>
      <w:r>
        <w:t xml:space="preserve">L'objectif est triple : faire gagner du temps aux équipes administratives et financières, fiabiliser les données saisies en supprimant les erreurs de recopie, et offrir une vue centralisée et requêtable de l'ensemble des factures reçues.</w:t>
      </w:r>
    </w:p>
    <w:p>
      <w:pPr>
        <w:pStyle w:val="Heading1"/>
      </w:pPr>
      <w:r>
        <w:t xml:space="preserve">2. Vue d'ensemble du fonctionnement</w:t>
      </w:r>
    </w:p>
    <w:p>
      <w:pPr>
        <w:spacing w:after="120"/>
        <w:jc w:val="both"/>
      </w:pPr>
      <w:r>
        <w:t xml:space="preserve">Le principe est simple : un utilisateur dépose un PDF de facture, l'outil le traite automatiquement en quelques secondes, et la facture apparaît dans l'interface de consultation, déjà structurée. Aucune intervention manuelle n'est requise entre le dépôt et la disponibilité de la donnée.</w:t>
      </w:r>
    </w:p>
    <w:p>
      <w:pPr>
        <w:spacing w:after="120"/>
        <w:jc w:val="left"/>
      </w:pPr>
      <w:r>
        <w:t xml:space="preserve">Le traitement repose sur quatre étapes enchaînées :</w:t>
      </w:r>
    </w:p>
    <w:p>
      <w:pPr>
        <w:pStyle w:val="ListParagraph"/>
        <w:numPr>
          <w:ilvl w:val="0"/>
          <w:numId w:val="2"/>
        </w:numPr>
        <w:spacing w:after="80"/>
      </w:pPr>
      <w:r>
        <w:rPr>
          <w:b/>
          <w:bCs/>
        </w:rPr>
        <w:t xml:space="preserve">Dépôt du PDF </w:t>
      </w:r>
      <w:r>
        <w:t xml:space="preserve">— l'utilisateur charge la facture via l'interface graphique ou la dépose directement dans un dossier de stockage cloud (Amazon S3).</w:t>
      </w:r>
    </w:p>
    <w:p>
      <w:pPr>
        <w:pStyle w:val="ListParagraph"/>
        <w:numPr>
          <w:ilvl w:val="0"/>
          <w:numId w:val="2"/>
        </w:numPr>
        <w:spacing w:after="80"/>
      </w:pPr>
      <w:r>
        <w:rPr>
          <w:b/>
          <w:bCs/>
        </w:rPr>
        <w:t xml:space="preserve">Lecture du PDF </w:t>
      </w:r>
      <w:r>
        <w:t xml:space="preserve">— une fonction serverless récupère le fichier, en extrait le texte brut et prépare une requête à destination du modèle d'intelligence artificielle.</w:t>
      </w:r>
    </w:p>
    <w:p>
      <w:pPr>
        <w:pStyle w:val="ListParagraph"/>
        <w:numPr>
          <w:ilvl w:val="0"/>
          <w:numId w:val="2"/>
        </w:numPr>
        <w:spacing w:after="80"/>
      </w:pPr>
      <w:r>
        <w:rPr>
          <w:b/>
          <w:bCs/>
        </w:rPr>
        <w:t xml:space="preserve">Analyse par IA </w:t>
      </w:r>
      <w:r>
        <w:t xml:space="preserve">— le service AWS Bedrock interroge un modèle de langage (Llama 3.1 70B ou Claude) qui identifie chaque champ utile et renvoie un JSON structuré.</w:t>
      </w:r>
    </w:p>
    <w:p>
      <w:pPr>
        <w:pStyle w:val="ListParagraph"/>
        <w:numPr>
          <w:ilvl w:val="0"/>
          <w:numId w:val="2"/>
        </w:numPr>
        <w:spacing w:after="200"/>
      </w:pPr>
      <w:r>
        <w:rPr>
          <w:b/>
          <w:bCs/>
        </w:rPr>
        <w:t xml:space="preserve">Stockage et consultation </w:t>
      </w:r>
      <w:r>
        <w:t xml:space="preserve">— les données sont enregistrées dans une base DynamoDB et immédiatement disponibles dans l'interface web et le CLI, avec export Excel à la demande.</w:t>
      </w:r>
    </w:p>
    <w:p>
      <w:pPr>
        <w:pStyle w:val="Heading1"/>
      </w:pPr>
      <w:r>
        <w:t xml:space="preserve">3. Architecture technique</w:t>
      </w:r>
    </w:p>
    <w:p>
      <w:pPr>
        <w:spacing w:after="120"/>
        <w:jc w:val="both"/>
      </w:pPr>
      <w:r>
        <w:t xml:space="preserve">L'outil est entièrement serverless et hébergé sur AWS. Il n'y a aucun serveur à maintenir : les ressources sont activées à la demande lors du dépôt d'une facture, ce qui maintient les coûts au plus bas et simplifie l'exploitation.</w:t>
      </w:r>
    </w:p>
    <w:p>
      <w:pPr>
        <w:pStyle w:val="Heading2"/>
      </w:pPr>
      <w:r>
        <w:t xml:space="preserve">Composants AWS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760"/>
      </w:tblGrid>
      <w:tr>
        <w:trPr>
          <w:tblHeader/>
        </w:trPr>
        <w:tc>
          <w:tcPr>
            <w:tcW w:type="dxa" w:w="22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r>
              <w:rPr>
                <w:b/>
                <w:bCs/>
                <w:color w:val="FFFFFF"/>
              </w:rPr>
              <w:t xml:space="preserve">Service AWS</w:t>
            </w:r>
          </w:p>
        </w:tc>
        <w:tc>
          <w:tcPr>
            <w:tcW w:type="dxa" w:w="24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r>
              <w:rPr>
                <w:b/>
                <w:bCs/>
                <w:color w:val="FFFFFF"/>
              </w:rPr>
              <w:t xml:space="preserve">Ressource</w:t>
            </w:r>
          </w:p>
        </w:tc>
        <w:tc>
          <w:tcPr>
            <w:tcW w:type="dxa" w:w="476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r>
              <w:rPr>
                <w:b/>
                <w:bCs/>
                <w:color w:val="FFFFFF"/>
              </w:rPr>
              <w:t xml:space="preserve">Rôle dans la chaîne</w:t>
            </w:r>
          </w:p>
        </w:tc>
      </w:tr>
      <w:tr>
        <w:tc>
          <w:tcPr>
            <w:tcW w:type="dxa" w:w="22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b/>
                <w:bCs/>
              </w:rPr>
              <w:t xml:space="preserve">Amazon S3</w:t>
            </w:r>
          </w:p>
        </w:tc>
        <w:tc>
          <w:tcPr>
            <w:tcW w:type="dxa" w:w="24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b w:val="false"/>
                <w:bCs w:val="false"/>
              </w:rPr>
              <w:t xml:space="preserve">invoice-input-…</w:t>
            </w:r>
          </w:p>
        </w:tc>
        <w:tc>
          <w:tcPr>
            <w:tcW w:type="dxa" w:w="476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b w:val="false"/>
                <w:bCs w:val="false"/>
              </w:rPr>
              <w:t xml:space="preserve">Bucket d'entrée. Le dépôt d'un PDF déclenche la chaîne d'extraction.</w:t>
            </w:r>
          </w:p>
        </w:tc>
      </w:tr>
      <w:tr>
        <w:tc>
          <w:tcPr>
            <w:tcW w:type="dxa" w:w="22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r>
              <w:rPr>
                <w:b/>
                <w:bCs/>
              </w:rPr>
              <w:t xml:space="preserve">AWS Lambda</w:t>
            </w:r>
          </w:p>
        </w:tc>
        <w:tc>
          <w:tcPr>
            <w:tcW w:type="dxa" w:w="24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r>
              <w:rPr>
                <w:b w:val="false"/>
                <w:bCs w:val="false"/>
              </w:rPr>
              <w:t xml:space="preserve">invoice-extractor-prod</w:t>
            </w:r>
          </w:p>
        </w:tc>
        <w:tc>
          <w:tcPr>
            <w:tcW w:type="dxa" w:w="476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r>
              <w:rPr>
                <w:b w:val="false"/>
                <w:bCs w:val="false"/>
              </w:rPr>
              <w:t xml:space="preserve">Fonction serverless qui orchestre l'extraction (Python 3.11, 1024 Mo, timeout 5 min).</w:t>
            </w:r>
          </w:p>
        </w:tc>
      </w:tr>
      <w:tr>
        <w:tc>
          <w:tcPr>
            <w:tcW w:type="dxa" w:w="22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b/>
                <w:bCs/>
              </w:rPr>
              <w:t xml:space="preserve">Amazon Bedrock</w:t>
            </w:r>
          </w:p>
        </w:tc>
        <w:tc>
          <w:tcPr>
            <w:tcW w:type="dxa" w:w="24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b w:val="false"/>
                <w:bCs w:val="false"/>
              </w:rPr>
              <w:t xml:space="preserve">Modèle Llama 3.1 70B / Claude</w:t>
            </w:r>
          </w:p>
        </w:tc>
        <w:tc>
          <w:tcPr>
            <w:tcW w:type="dxa" w:w="476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b w:val="false"/>
                <w:bCs w:val="false"/>
              </w:rPr>
              <w:t xml:space="preserve">Modèle de langage qui interprète le texte de la facture et renvoie un JSON structuré.</w:t>
            </w:r>
          </w:p>
        </w:tc>
      </w:tr>
      <w:tr>
        <w:tc>
          <w:tcPr>
            <w:tcW w:type="dxa" w:w="22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r>
              <w:rPr>
                <w:b/>
                <w:bCs/>
              </w:rPr>
              <w:t xml:space="preserve">Amazon DynamoDB</w:t>
            </w:r>
          </w:p>
        </w:tc>
        <w:tc>
          <w:tcPr>
            <w:tcW w:type="dxa" w:w="24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r>
              <w:rPr>
                <w:b w:val="false"/>
                <w:bCs w:val="false"/>
              </w:rPr>
              <w:t xml:space="preserve">invoices-extractor</w:t>
            </w:r>
          </w:p>
        </w:tc>
        <w:tc>
          <w:tcPr>
            <w:tcW w:type="dxa" w:w="476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r>
              <w:rPr>
                <w:b w:val="false"/>
                <w:bCs w:val="false"/>
              </w:rPr>
              <w:t xml:space="preserve">Base NoSQL qui stocke les données structurées avec index par fournisseur, date et numéro.</w:t>
            </w:r>
          </w:p>
        </w:tc>
      </w:tr>
      <w:tr>
        <w:tc>
          <w:tcPr>
            <w:tcW w:type="dxa" w:w="22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b/>
                <w:bCs/>
              </w:rPr>
              <w:t xml:space="preserve">CloudWatch</w:t>
            </w:r>
          </w:p>
        </w:tc>
        <w:tc>
          <w:tcPr>
            <w:tcW w:type="dxa" w:w="24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b w:val="false"/>
                <w:bCs w:val="false"/>
              </w:rPr>
              <w:t xml:space="preserve">/aws/lambda/invoice-extractor-prod</w:t>
            </w:r>
          </w:p>
        </w:tc>
        <w:tc>
          <w:tcPr>
            <w:tcW w:type="dxa" w:w="476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b w:val="false"/>
                <w:bCs w:val="false"/>
              </w:rPr>
              <w:t xml:space="preserve">Logs d'exécution, supervision et alertes (rétention 30 jours).</w:t>
            </w:r>
          </w:p>
        </w:tc>
      </w:tr>
      <w:tr>
        <w:tc>
          <w:tcPr>
            <w:tcW w:type="dxa" w:w="22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r>
              <w:rPr>
                <w:b/>
                <w:bCs/>
              </w:rPr>
              <w:t xml:space="preserve">CloudFormation</w:t>
            </w:r>
          </w:p>
        </w:tc>
        <w:tc>
          <w:tcPr>
            <w:tcW w:type="dxa" w:w="24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r>
              <w:rPr>
                <w:b w:val="false"/>
                <w:bCs w:val="false"/>
              </w:rPr>
              <w:t xml:space="preserve">Stack invoice-extractor</w:t>
            </w:r>
          </w:p>
        </w:tc>
        <w:tc>
          <w:tcPr>
            <w:tcW w:type="dxa" w:w="476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r>
              <w:rPr>
                <w:b w:val="false"/>
                <w:bCs w:val="false"/>
              </w:rPr>
              <w:t xml:space="preserve">Infrastructure as Code : provisionne et met à jour l'ensemble en une commande.</w:t>
            </w:r>
          </w:p>
        </w:tc>
      </w:tr>
    </w:tbl>
    <w:p>
      <w:pPr>
        <w:spacing w:after="200"/>
      </w:pPr>
      <w:r>
        <w:t xml:space="preserve"/>
      </w:r>
    </w:p>
    <w:p>
      <w:pPr>
        <w:pStyle w:val="Heading2"/>
      </w:pPr>
      <w:r>
        <w:t xml:space="preserve">Schéma simplifié</w:t>
      </w:r>
    </w:p>
    <w:p>
      <w:pPr>
        <w:spacing w:after="120"/>
        <w:jc w:val="left"/>
      </w:pPr>
      <w:r>
        <w:rPr>
          <w:i/>
          <w:iCs/>
        </w:rPr>
        <w:t xml:space="preserve">Dépôt PDF → S3 → Lambda → Bedrock (LLM) → DynamoDB → Interface utilisateur (web ou CLI).</w:t>
      </w:r>
    </w:p>
    <w:p>
      <w:pPr>
        <w:pStyle w:val="Heading1"/>
      </w:pPr>
      <w:r>
        <w:t xml:space="preserve">4. Cycle de traitement d'une facture</w:t>
      </w:r>
    </w:p>
    <w:p>
      <w:pPr>
        <w:spacing w:after="120"/>
        <w:jc w:val="both"/>
      </w:pPr>
      <w:r>
        <w:t xml:space="preserve">Lorsqu'un PDF est déposé, la chaîne suivante s'exécute, sans intervention humaine :</w:t>
      </w:r>
    </w:p>
    <w:p>
      <w:pPr>
        <w:pStyle w:val="ListParagraph"/>
        <w:numPr>
          <w:ilvl w:val="0"/>
          <w:numId w:val="3"/>
        </w:numPr>
        <w:spacing w:after="80"/>
      </w:pPr>
      <w:r>
        <w:rPr>
          <w:b/>
          <w:bCs/>
        </w:rPr>
        <w:t xml:space="preserve">Déclenchement automatique. </w:t>
      </w:r>
      <w:r>
        <w:t xml:space="preserve">Le bucket S3 est configuré pour réagir à toute arrivée de fichier .pdf ou .PDF. Cette règle est définie dans le modèle CloudFormation et garantit que rien ne passe à travers les mailles du filet.</w:t>
      </w:r>
    </w:p>
    <w:p>
      <w:pPr>
        <w:pStyle w:val="ListParagraph"/>
        <w:numPr>
          <w:ilvl w:val="0"/>
          <w:numId w:val="3"/>
        </w:numPr>
        <w:spacing w:after="80"/>
      </w:pPr>
      <w:r>
        <w:rPr>
          <w:b/>
          <w:bCs/>
        </w:rPr>
        <w:t xml:space="preserve">Extraction du texte. </w:t>
      </w:r>
      <w:r>
        <w:t xml:space="preserve">La Lambda télécharge le PDF dans son espace temporaire, en extrait le texte avec PyPDF2 et tronque le contenu à 10 000 caractères afin de respecter les limites du modèle.</w:t>
      </w:r>
    </w:p>
    <w:p>
      <w:pPr>
        <w:pStyle w:val="ListParagraph"/>
        <w:numPr>
          <w:ilvl w:val="0"/>
          <w:numId w:val="3"/>
        </w:numPr>
        <w:spacing w:after="80"/>
      </w:pPr>
      <w:r>
        <w:rPr>
          <w:b/>
          <w:bCs/>
        </w:rPr>
        <w:t xml:space="preserve">Appel au modèle de langage. </w:t>
      </w:r>
      <w:r>
        <w:t xml:space="preserve">Un prompt expert comptable est construit. Il précise au modèle la distinction entre fournisseur (émetteur) et client (destinataire) et lui demande un JSON strict, sans markdown.</w:t>
      </w:r>
    </w:p>
    <w:p>
      <w:pPr>
        <w:pStyle w:val="ListParagraph"/>
        <w:numPr>
          <w:ilvl w:val="0"/>
          <w:numId w:val="3"/>
        </w:numPr>
        <w:spacing w:after="80"/>
      </w:pPr>
      <w:r>
        <w:rPr>
          <w:b/>
          <w:bCs/>
        </w:rPr>
        <w:t xml:space="preserve">Post-traitement et règles métier. </w:t>
      </w:r>
      <w:r>
        <w:t xml:space="preserve">Une logique de correction vérifie que le « fournisseur » identifié n'est pas en fait un client connu (BOARDRIDERS, QUIKSILVER, etc.). Si c'est le cas, l'outil tente d'extraire le vrai fournisseur depuis le nom du fichier (ORANGE, SFR, OVH…).</w:t>
      </w:r>
    </w:p>
    <w:p>
      <w:pPr>
        <w:pStyle w:val="ListParagraph"/>
        <w:numPr>
          <w:ilvl w:val="0"/>
          <w:numId w:val="3"/>
        </w:numPr>
        <w:spacing w:after="80"/>
      </w:pPr>
      <w:r>
        <w:rPr>
          <w:b/>
          <w:bCs/>
        </w:rPr>
        <w:t xml:space="preserve">Enrichissement et stockage. </w:t>
      </w:r>
      <w:r>
        <w:t xml:space="preserve">La date d'extraction et le chemin du PDF sont ajoutés. L'enregistrement est inséré dans DynamoDB, indexé par fournisseur, date et numéro de facture.</w:t>
      </w:r>
    </w:p>
    <w:p>
      <w:pPr>
        <w:pStyle w:val="ListParagraph"/>
        <w:numPr>
          <w:ilvl w:val="0"/>
          <w:numId w:val="3"/>
        </w:numPr>
        <w:spacing w:after="80"/>
      </w:pPr>
      <w:r>
        <w:rPr>
          <w:b/>
          <w:bCs/>
        </w:rPr>
        <w:t xml:space="preserve">Disponibilité immédiate. </w:t>
      </w:r>
      <w:r>
        <w:t xml:space="preserve">La facture apparaît dans le tableau de bord ; elle peut être filtrée, exportée ou supprimée.</w:t>
      </w:r>
    </w:p>
    <w:p>
      <w:pPr>
        <w:pStyle w:val="Heading1"/>
      </w:pPr>
      <w:r>
        <w:t xml:space="preserve">5. Données extraites par l'outil</w:t>
      </w:r>
    </w:p>
    <w:p>
      <w:pPr>
        <w:spacing w:after="120"/>
        <w:jc w:val="both"/>
      </w:pPr>
      <w:r>
        <w:t xml:space="preserve">Pour chaque facture, l'outil renseigne un jeu de huit champs structurés. Ce sont les informations dont les équipes comptables ont besoin pour intégrer la facture dans leur système de gestion.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rPr>
          <w:tblHeader/>
        </w:trPr>
        <w:tc>
          <w:tcPr>
            <w:tcW w:type="dxa" w:w="24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r>
              <w:rPr>
                <w:b/>
                <w:bCs/>
                <w:color w:val="FFFFFF"/>
              </w:rPr>
              <w:t xml:space="preserve">Champ</w:t>
            </w:r>
          </w:p>
        </w:tc>
        <w:tc>
          <w:tcPr>
            <w:tcW w:type="dxa" w:w="18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r>
              <w:rPr>
                <w:b/>
                <w:bCs/>
                <w:color w:val="FFFFFF"/>
              </w:rPr>
              <w:t xml:space="preserve">Type</w:t>
            </w:r>
          </w:p>
        </w:tc>
        <w:tc>
          <w:tcPr>
            <w:tcW w:type="dxa" w:w="516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r>
              <w:rPr>
                <w:b/>
                <w:bCs/>
                <w:color w:val="FFFFFF"/>
              </w:rPr>
              <w:t xml:space="preserve">Description</w:t>
            </w:r>
          </w:p>
        </w:tc>
      </w:tr>
      <w:tr>
        <w:tc>
          <w:tcPr>
            <w:tcW w:type="dxa" w:w="24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b/>
                <w:bCs/>
              </w:rPr>
              <w:t xml:space="preserve">fournisseur</w:t>
            </w:r>
          </w:p>
        </w:tc>
        <w:tc>
          <w:tcPr>
            <w:tcW w:type="dxa" w:w="18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b w:val="false"/>
                <w:bCs w:val="false"/>
              </w:rPr>
              <w:t xml:space="preserve">Texte</w:t>
            </w:r>
          </w:p>
        </w:tc>
        <w:tc>
          <w:tcPr>
            <w:tcW w:type="dxa" w:w="516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b w:val="false"/>
                <w:bCs w:val="false"/>
              </w:rPr>
              <w:t xml:space="preserve">Société émettrice de la facture (vendeur)</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r>
              <w:rPr>
                <w:b/>
                <w:bCs/>
              </w:rPr>
              <w:t xml:space="preserve">numero_facture</w:t>
            </w:r>
          </w:p>
        </w:tc>
        <w:tc>
          <w:tcPr>
            <w:tcW w:type="dxa" w:w="18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r>
              <w:rPr>
                <w:b w:val="false"/>
                <w:bCs w:val="false"/>
              </w:rPr>
              <w:t xml:space="preserve">Texte</w:t>
            </w:r>
          </w:p>
        </w:tc>
        <w:tc>
          <w:tcPr>
            <w:tcW w:type="dxa" w:w="516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r>
              <w:rPr>
                <w:b w:val="false"/>
                <w:bCs w:val="false"/>
              </w:rPr>
              <w:t xml:space="preserve">Numéro de facture tel qu'inscrit sur le document</w:t>
            </w:r>
          </w:p>
        </w:tc>
      </w:tr>
      <w:tr>
        <w:tc>
          <w:tcPr>
            <w:tcW w:type="dxa" w:w="24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b/>
                <w:bCs/>
              </w:rPr>
              <w:t xml:space="preserve">date_facture</w:t>
            </w:r>
          </w:p>
        </w:tc>
        <w:tc>
          <w:tcPr>
            <w:tcW w:type="dxa" w:w="18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b w:val="false"/>
                <w:bCs w:val="false"/>
              </w:rPr>
              <w:t xml:space="preserve">Date (YYYY-MM-DD)</w:t>
            </w:r>
          </w:p>
        </w:tc>
        <w:tc>
          <w:tcPr>
            <w:tcW w:type="dxa" w:w="516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b w:val="false"/>
                <w:bCs w:val="false"/>
              </w:rPr>
              <w:t xml:space="preserve">Date d'émission, normalisée au format ISO</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r>
              <w:rPr>
                <w:b/>
                <w:bCs/>
              </w:rPr>
              <w:t xml:space="preserve">montant_ht</w:t>
            </w:r>
          </w:p>
        </w:tc>
        <w:tc>
          <w:tcPr>
            <w:tcW w:type="dxa" w:w="18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r>
              <w:rPr>
                <w:b w:val="false"/>
                <w:bCs w:val="false"/>
              </w:rPr>
              <w:t xml:space="preserve">Nombre</w:t>
            </w:r>
          </w:p>
        </w:tc>
        <w:tc>
          <w:tcPr>
            <w:tcW w:type="dxa" w:w="516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r>
              <w:rPr>
                <w:b w:val="false"/>
                <w:bCs w:val="false"/>
              </w:rPr>
              <w:t xml:space="preserve">Montant hors taxes</w:t>
            </w:r>
          </w:p>
        </w:tc>
      </w:tr>
      <w:tr>
        <w:tc>
          <w:tcPr>
            <w:tcW w:type="dxa" w:w="24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b/>
                <w:bCs/>
              </w:rPr>
              <w:t xml:space="preserve">devise</w:t>
            </w:r>
          </w:p>
        </w:tc>
        <w:tc>
          <w:tcPr>
            <w:tcW w:type="dxa" w:w="18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b w:val="false"/>
                <w:bCs w:val="false"/>
              </w:rPr>
              <w:t xml:space="preserve">Texte (ISO 4217)</w:t>
            </w:r>
          </w:p>
        </w:tc>
        <w:tc>
          <w:tcPr>
            <w:tcW w:type="dxa" w:w="516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b w:val="false"/>
                <w:bCs w:val="false"/>
              </w:rPr>
              <w:t xml:space="preserve">Code devise (EUR, USD, GBP…)</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r>
              <w:rPr>
                <w:b/>
                <w:bCs/>
              </w:rPr>
              <w:t xml:space="preserve">chrono</w:t>
            </w:r>
          </w:p>
        </w:tc>
        <w:tc>
          <w:tcPr>
            <w:tcW w:type="dxa" w:w="18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r>
              <w:rPr>
                <w:b w:val="false"/>
                <w:bCs w:val="false"/>
              </w:rPr>
              <w:t xml:space="preserve">Texte</w:t>
            </w:r>
          </w:p>
        </w:tc>
        <w:tc>
          <w:tcPr>
            <w:tcW w:type="dxa" w:w="516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r>
              <w:rPr>
                <w:b w:val="false"/>
                <w:bCs w:val="false"/>
              </w:rPr>
              <w:t xml:space="preserve">Numéro chrono interne s'il est présent</w:t>
            </w:r>
          </w:p>
        </w:tc>
      </w:tr>
      <w:tr>
        <w:tc>
          <w:tcPr>
            <w:tcW w:type="dxa" w:w="24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b/>
                <w:bCs/>
              </w:rPr>
              <w:t xml:space="preserve">couverture</w:t>
            </w:r>
          </w:p>
        </w:tc>
        <w:tc>
          <w:tcPr>
            <w:tcW w:type="dxa" w:w="18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b w:val="false"/>
                <w:bCs w:val="false"/>
              </w:rPr>
              <w:t xml:space="preserve">Texte</w:t>
            </w:r>
          </w:p>
        </w:tc>
        <w:tc>
          <w:tcPr>
            <w:tcW w:type="dxa" w:w="516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b w:val="false"/>
                <w:bCs w:val="false"/>
              </w:rPr>
              <w:t xml:space="preserve">Période de facturation (ex. 01/12/2025 au 31/12/2025)</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r>
              <w:rPr>
                <w:b/>
                <w:bCs/>
              </w:rPr>
              <w:t xml:space="preserve">nom_fichier</w:t>
            </w:r>
          </w:p>
        </w:tc>
        <w:tc>
          <w:tcPr>
            <w:tcW w:type="dxa" w:w="18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r>
              <w:rPr>
                <w:b w:val="false"/>
                <w:bCs w:val="false"/>
              </w:rPr>
              <w:t xml:space="preserve">Texte</w:t>
            </w:r>
          </w:p>
        </w:tc>
        <w:tc>
          <w:tcPr>
            <w:tcW w:type="dxa" w:w="516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r>
              <w:rPr>
                <w:b w:val="false"/>
                <w:bCs w:val="false"/>
              </w:rPr>
              <w:t xml:space="preserve">Nom du PDF source, conservé pour traçabilité</w:t>
            </w:r>
          </w:p>
        </w:tc>
      </w:tr>
    </w:tbl>
    <w:p>
      <w:pPr>
        <w:spacing w:after="100"/>
      </w:pPr>
      <w:r>
        <w:t xml:space="preserve"/>
      </w:r>
    </w:p>
    <w:p>
      <w:pPr>
        <w:spacing w:after="120"/>
        <w:jc w:val="left"/>
      </w:pPr>
      <w:r>
        <w:rPr>
          <w:i/>
          <w:iCs/>
        </w:rPr>
        <w:t xml:space="preserve">Lorsqu'une donnée n'est pas présente dans la facture, le champ est laissé à null plutôt qu'inventé : la fiabilité prime sur l'exhaustivité.</w:t>
      </w:r>
    </w:p>
    <w:p>
      <w:pPr>
        <w:pStyle w:val="Heading1"/>
      </w:pPr>
      <w:r>
        <w:t xml:space="preserve">6. Interfaces utilisateur</w:t>
      </w:r>
    </w:p>
    <w:p>
      <w:pPr>
        <w:spacing w:after="120"/>
        <w:jc w:val="both"/>
      </w:pPr>
      <w:r>
        <w:t xml:space="preserve">Deux interfaces complémentaires sont fournies, selon le profil de l'utilisateur.</w:t>
      </w:r>
    </w:p>
    <w:p>
      <w:pPr>
        <w:pStyle w:val="Heading2"/>
      </w:pPr>
      <w:r>
        <w:t xml:space="preserve">Interface graphique web</w:t>
      </w:r>
    </w:p>
    <w:p>
      <w:pPr>
        <w:spacing w:after="120"/>
        <w:jc w:val="both"/>
      </w:pPr>
      <w:r>
        <w:t xml:space="preserve">Accessible via un navigateur (NiceGUI, http://localhost:8080), elle est conçue pour les utilisateurs métier. Elle permet de :</w:t>
      </w:r>
    </w:p>
    <w:p>
      <w:pPr>
        <w:pStyle w:val="ListParagraph"/>
        <w:numPr>
          <w:ilvl w:val="0"/>
          <w:numId w:val="3"/>
        </w:numPr>
        <w:spacing w:after="80"/>
      </w:pPr>
      <w:r>
        <w:t xml:space="preserve">Téléverser des PDF par glisser-déposer ou par sélection de fichiers.</w:t>
      </w:r>
    </w:p>
    <w:p>
      <w:pPr>
        <w:pStyle w:val="ListParagraph"/>
        <w:numPr>
          <w:ilvl w:val="0"/>
          <w:numId w:val="3"/>
        </w:numPr>
        <w:spacing w:after="80"/>
      </w:pPr>
      <w:r>
        <w:t xml:space="preserve">Consulter le tableau des factures, triable par colonne.</w:t>
      </w:r>
    </w:p>
    <w:p>
      <w:pPr>
        <w:pStyle w:val="ListParagraph"/>
        <w:numPr>
          <w:ilvl w:val="0"/>
          <w:numId w:val="3"/>
        </w:numPr>
        <w:spacing w:after="80"/>
      </w:pPr>
      <w:r>
        <w:t xml:space="preserve">Filtrer par fournisseur ou par plage de dates.</w:t>
      </w:r>
    </w:p>
    <w:p>
      <w:pPr>
        <w:pStyle w:val="ListParagraph"/>
        <w:numPr>
          <w:ilvl w:val="0"/>
          <w:numId w:val="3"/>
        </w:numPr>
        <w:spacing w:after="80"/>
      </w:pPr>
      <w:r>
        <w:t xml:space="preserve">Exporter une sélection ou la totalité du tableau au format Excel (.xlsx) avec dates, nombres et filtres natifs.</w:t>
      </w:r>
    </w:p>
    <w:p>
      <w:pPr>
        <w:pStyle w:val="ListParagraph"/>
        <w:numPr>
          <w:ilvl w:val="0"/>
          <w:numId w:val="3"/>
        </w:numPr>
        <w:spacing w:after="80"/>
      </w:pPr>
      <w:r>
        <w:t xml:space="preserve">Supprimer des entrées de manière sélective ou globale, avec confirmation.</w:t>
      </w:r>
    </w:p>
    <w:p>
      <w:pPr>
        <w:pStyle w:val="Heading2"/>
      </w:pPr>
      <w:r>
        <w:t xml:space="preserve">Outil en ligne de commande</w:t>
      </w:r>
    </w:p>
    <w:p>
      <w:pPr>
        <w:spacing w:after="120"/>
        <w:jc w:val="both"/>
      </w:pPr>
      <w:r>
        <w:t xml:space="preserve">Destiné aux profils techniques et à l'automatisation, il permet d'afficher, filtrer et exporter les factures depuis un terminal, par exemple dans un script planifié.</w:t>
      </w:r>
    </w:p>
    <w:p>
      <w:pPr>
        <w:pStyle w:val="Heading1"/>
      </w:pPr>
      <w:r>
        <w:t xml:space="preserve">7. Sécurité, supervision et exploitation</w:t>
      </w:r>
    </w:p>
    <w:p>
      <w:pPr>
        <w:pStyle w:val="ListParagraph"/>
        <w:numPr>
          <w:ilvl w:val="0"/>
          <w:numId w:val="3"/>
        </w:numPr>
        <w:spacing w:after="80"/>
      </w:pPr>
      <w:r>
        <w:rPr>
          <w:b/>
          <w:bCs/>
        </w:rPr>
        <w:t xml:space="preserve">Permissions minimales. </w:t>
      </w:r>
      <w:r>
        <w:t xml:space="preserve">Le rôle IAM de la Lambda n'autorise que les actions strictement nécessaires sur S3, DynamoDB et Bedrock.</w:t>
      </w:r>
    </w:p>
    <w:p>
      <w:pPr>
        <w:pStyle w:val="ListParagraph"/>
        <w:numPr>
          <w:ilvl w:val="0"/>
          <w:numId w:val="3"/>
        </w:numPr>
        <w:spacing w:after="80"/>
      </w:pPr>
      <w:r>
        <w:rPr>
          <w:b/>
          <w:bCs/>
        </w:rPr>
        <w:t xml:space="preserve">Données isolées. </w:t>
      </w:r>
      <w:r>
        <w:t xml:space="preserve">Le bucket S3 est dédié à l'outil et n'est pas exposé publiquement. Les fichiers temporaires de la Lambda sont effacés après chaque exécution.</w:t>
      </w:r>
    </w:p>
    <w:p>
      <w:pPr>
        <w:pStyle w:val="ListParagraph"/>
        <w:numPr>
          <w:ilvl w:val="0"/>
          <w:numId w:val="3"/>
        </w:numPr>
        <w:spacing w:after="80"/>
      </w:pPr>
      <w:r>
        <w:rPr>
          <w:b/>
          <w:bCs/>
        </w:rPr>
        <w:t xml:space="preserve">Logs centralisés. </w:t>
      </w:r>
      <w:r>
        <w:t xml:space="preserve">Toutes les exécutions sont tracées dans CloudWatch (rétention 30 jours), ce qui permet d'auditer et de diagnostiquer rapidement les anomalies éventuelles.</w:t>
      </w:r>
    </w:p>
    <w:p>
      <w:pPr>
        <w:pStyle w:val="ListParagraph"/>
        <w:numPr>
          <w:ilvl w:val="0"/>
          <w:numId w:val="3"/>
        </w:numPr>
        <w:spacing w:after="80"/>
      </w:pPr>
      <w:r>
        <w:rPr>
          <w:b/>
          <w:bCs/>
        </w:rPr>
        <w:t xml:space="preserve">Infrastructure reproductible. </w:t>
      </w:r>
      <w:r>
        <w:t xml:space="preserve">L'ensemble est décrit dans un fichier CloudFormation versionné. Un déploiement, une mise à jour ou un nettoyage complet se font via une seule commande.</w:t>
      </w:r>
    </w:p>
    <w:p>
      <w:pPr>
        <w:pStyle w:val="ListParagraph"/>
        <w:numPr>
          <w:ilvl w:val="0"/>
          <w:numId w:val="3"/>
        </w:numPr>
        <w:spacing w:after="80"/>
      </w:pPr>
      <w:r>
        <w:rPr>
          <w:b/>
          <w:bCs/>
        </w:rPr>
        <w:t xml:space="preserve">Modèles interchangeables. </w:t>
      </w:r>
      <w:r>
        <w:t xml:space="preserve">Le modèle de langage utilisé (Claude, Llama) est paramétrable via une variable d'environnement, sans modifier le code.</w:t>
      </w:r>
    </w:p>
    <w:p>
      <w:pPr>
        <w:pStyle w:val="Heading1"/>
      </w:pPr>
      <w:r>
        <w:t xml:space="preserve">8. Bénéfices attendus</w:t>
      </w:r>
    </w:p>
    <w:p>
      <w:pPr>
        <w:pStyle w:val="ListParagraph"/>
        <w:numPr>
          <w:ilvl w:val="0"/>
          <w:numId w:val="3"/>
        </w:numPr>
        <w:spacing w:after="80"/>
      </w:pPr>
      <w:r>
        <w:rPr>
          <w:b/>
          <w:bCs/>
        </w:rPr>
        <w:t xml:space="preserve">Gain de temps. </w:t>
      </w:r>
      <w:r>
        <w:t xml:space="preserve">La saisie manuelle d'une facture est remplacée par un dépôt de fichier ; le traitement complet prend quelques secondes.</w:t>
      </w:r>
    </w:p>
    <w:p>
      <w:pPr>
        <w:pStyle w:val="ListParagraph"/>
        <w:numPr>
          <w:ilvl w:val="0"/>
          <w:numId w:val="3"/>
        </w:numPr>
        <w:spacing w:after="80"/>
      </w:pPr>
      <w:r>
        <w:rPr>
          <w:b/>
          <w:bCs/>
        </w:rPr>
        <w:t xml:space="preserve">Fiabilité. </w:t>
      </w:r>
      <w:r>
        <w:t xml:space="preserve">Les règles métier intégrées (distinction client/fournisseur, normalisation des dates et devises) suppriment les erreurs de saisie les plus courantes.</w:t>
      </w:r>
    </w:p>
    <w:p>
      <w:pPr>
        <w:pStyle w:val="ListParagraph"/>
        <w:numPr>
          <w:ilvl w:val="0"/>
          <w:numId w:val="3"/>
        </w:numPr>
        <w:spacing w:after="80"/>
      </w:pPr>
      <w:r>
        <w:rPr>
          <w:b/>
          <w:bCs/>
        </w:rPr>
        <w:t xml:space="preserve">Visibilité. </w:t>
      </w:r>
      <w:r>
        <w:t xml:space="preserve">Toutes les factures sont centralisées et requêtables. L'export Excel facilite la transmission aux équipes comptables et l'intégration dans les outils existants.</w:t>
      </w:r>
    </w:p>
    <w:p>
      <w:pPr>
        <w:pStyle w:val="ListParagraph"/>
        <w:numPr>
          <w:ilvl w:val="0"/>
          <w:numId w:val="3"/>
        </w:numPr>
        <w:spacing w:after="80"/>
      </w:pPr>
      <w:r>
        <w:rPr>
          <w:b/>
          <w:bCs/>
        </w:rPr>
        <w:t xml:space="preserve">Évolutivité. </w:t>
      </w:r>
      <w:r>
        <w:t xml:space="preserve">L'architecture serverless absorbe les pics d'activité (clôtures de mois) sans configuration particulière, et les coûts restent proportionnels à l'usage.</w:t>
      </w:r>
    </w:p>
    <w:p>
      <w:pPr>
        <w:pStyle w:val="Heading1"/>
      </w:pPr>
      <w:r>
        <w:t xml:space="preserve">9. Pour aller plus loin</w:t>
      </w:r>
    </w:p>
    <w:p>
      <w:pPr>
        <w:spacing w:after="120"/>
        <w:jc w:val="both"/>
      </w:pPr>
      <w:r>
        <w:t xml:space="preserve">La documentation technique complète est disponible à la racine du projet :</w:t>
      </w:r>
    </w:p>
    <w:p>
      <w:pPr>
        <w:pStyle w:val="ListParagraph"/>
        <w:numPr>
          <w:ilvl w:val="0"/>
          <w:numId w:val="3"/>
        </w:numPr>
        <w:spacing w:after="80"/>
      </w:pPr>
      <w:r>
        <w:rPr>
          <w:b/>
          <w:bCs/>
        </w:rPr>
        <w:t xml:space="preserve">README.md </w:t>
      </w:r>
      <w:r>
        <w:t xml:space="preserve">— installation, déploiement et utilisation au quotidien.</w:t>
      </w:r>
    </w:p>
    <w:p>
      <w:pPr>
        <w:pStyle w:val="ListParagraph"/>
        <w:numPr>
          <w:ilvl w:val="0"/>
          <w:numId w:val="3"/>
        </w:numPr>
        <w:spacing w:after="80"/>
      </w:pPr>
      <w:r>
        <w:rPr>
          <w:b/>
          <w:bCs/>
        </w:rPr>
        <w:t xml:space="preserve">CONFIGURATION.md </w:t>
      </w:r>
      <w:r>
        <w:t xml:space="preserve">— variables d'environnement, modèles Bedrock supportés, schéma DynamoDB et permissions IAM.</w:t>
      </w:r>
    </w:p>
    <w:p>
      <w:pPr>
        <w:pStyle w:val="ListParagraph"/>
        <w:numPr>
          <w:ilvl w:val="0"/>
          <w:numId w:val="3"/>
        </w:numPr>
        <w:spacing w:after="80"/>
      </w:pPr>
      <w:r>
        <w:rPr>
          <w:b/>
          <w:bCs/>
        </w:rPr>
        <w:t xml:space="preserve">DEPLOY.md </w:t>
      </w:r>
      <w:r>
        <w:t xml:space="preserve">— procédure de déploiement et de mise à jour de la stack AWS.</w:t>
      </w:r>
    </w:p>
    <w:p>
      <w:pPr>
        <w:pStyle w:val="ListParagraph"/>
        <w:numPr>
          <w:ilvl w:val="0"/>
          <w:numId w:val="3"/>
        </w:numPr>
        <w:spacing w:after="80"/>
      </w:pPr>
      <w:r>
        <w:rPr>
          <w:b/>
          <w:bCs/>
        </w:rPr>
        <w:t xml:space="preserve">CHANGELOG.md </w:t>
      </w:r>
      <w:r>
        <w:t xml:space="preserve">— historique des évolutions de l'outil.</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t xml:space="preserve">Page </w:t>
    </w:r>
    <w:r>
      <w:rPr>
        <w:color w:val="808080"/>
        <w:sz w:val="18"/>
        <w:szCs w:val="18"/>
      </w:rPr>
      <w:fldChar w:fldCharType="begin"/>
      <w:instrText xml:space="preserve">PAGE</w:instrText>
      <w:fldChar w:fldCharType="separate"/>
      <w:fldChar w:fldCharType="end"/>
    </w:r>
    <w:r>
      <w:rPr>
        <w:color w:val="808080"/>
        <w:sz w:val="18"/>
        <w:szCs w:val="18"/>
      </w:rPr>
      <w:t xml:space="preserve"> / </w:t>
    </w:r>
    <w:r>
      <w:rPr>
        <w:color w:val="8080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808080"/>
        <w:sz w:val="18"/>
        <w:szCs w:val="18"/>
      </w:rPr>
      <w:t xml:space="preserve">Invoice Extractor — Mode de fonctionnement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240"/>
      <w:jc w:val="left"/>
    </w:pPr>
    <w:rPr>
      <w:rFonts w:ascii="Calibri" w:cs="Calibri" w:eastAsia="Calibri" w:hAnsi="Calibri"/>
      <w:b/>
      <w:bCs/>
      <w:color w:val="1F4E79"/>
      <w:sz w:val="44"/>
      <w:szCs w:val="44"/>
    </w:rPr>
  </w:style>
  <w:style w:type="paragraph" w:styleId="Heading1">
    <w:name w:val="Heading 1"/>
    <w:basedOn w:val="Normal"/>
    <w:next w:val="Normal"/>
    <w:qFormat/>
    <w:pPr>
      <w:spacing w:after="160" w:before="320"/>
      <w:outlineLvl w:val="0"/>
    </w:pPr>
    <w:rPr>
      <w:rFonts w:ascii="Calibri" w:cs="Calibri" w:eastAsia="Calibri" w:hAnsi="Calibri"/>
      <w:b/>
      <w:bCs/>
      <w:color w:val="1F4E79"/>
      <w:sz w:val="32"/>
      <w:szCs w:val="32"/>
    </w:rPr>
  </w:style>
  <w:style w:type="paragraph" w:styleId="Heading2">
    <w:name w:val="Heading 2"/>
    <w:basedOn w:val="Normal"/>
    <w:next w:val="Normal"/>
    <w:qFormat/>
    <w:pPr>
      <w:spacing w:after="100" w:before="200"/>
      <w:outlineLvl w:val="1"/>
    </w:pPr>
    <w:rPr>
      <w:rFonts w:ascii="Calibri" w:cs="Calibri" w:eastAsia="Calibri" w:hAnsi="Calibri"/>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Invoice Extractor — Mode de fonctionnement</dc:title>
  <dc:creator>Beaumanoir</dc:creator>
  <cp:lastModifiedBy>Un-named</cp:lastModifiedBy>
  <cp:revision>1</cp:revision>
  <dcterms:created xsi:type="dcterms:W3CDTF">2026-04-28T09:55:34.682Z</dcterms:created>
  <dcterms:modified xsi:type="dcterms:W3CDTF">2026-04-28T09:55:34.682Z</dcterms:modified>
</cp:coreProperties>
</file>

<file path=docProps/custom.xml><?xml version="1.0" encoding="utf-8"?>
<Properties xmlns="http://schemas.openxmlformats.org/officeDocument/2006/custom-properties" xmlns:vt="http://schemas.openxmlformats.org/officeDocument/2006/docPropsVTypes"/>
</file>