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003366"/>
          <w:sz w:val="36"/>
        </w:rPr>
        <w:t>NETZWERKKONZEPT &amp; IP-ADRESSIERUNGSPLAN</w:t>
      </w:r>
    </w:p>
    <w:p>
      <w:pPr>
        <w:spacing w:after="300"/>
      </w:pPr>
      <w:r>
        <w:rPr>
          <w:rFonts w:ascii="Calibri" w:hAnsi="Calibri"/>
          <w:i/>
          <w:color w:val="222222"/>
          <w:sz w:val="22"/>
        </w:rPr>
        <w:t>Strukturierte Verkabelung, VLAN-Segmentierung, Switchport-Matrix und Sicherheitsrichtlinien für die VektorPlan GmbH</w:t>
      </w:r>
    </w:p>
    <w:p>
      <w:pPr>
        <w:spacing w:before="200" w:after="80"/>
      </w:pPr>
      <w:r>
        <w:rPr>
          <w:b/>
          <w:color w:val="003366"/>
          <w:sz w:val="26"/>
        </w:rPr>
        <w:t>1. Ausgangssituation &amp; Netzwerkanforderungen</w:t>
      </w:r>
    </w:p>
    <w:p>
      <w:r>
        <w:t>Die VektorPlan GmbH bezieht zwei Großraumbüros und richtet eine zentrale Plotter- und Scanstation ein. Alle 16 Arbeitsplätze (12 Büro-PCs, 4 CAD-Workstations) sowie der zentrale A3/A4-Multifunktionsdrucker werden über ein strukturiertes Gigabit-LAN angebunden. Laut Aufgabenstellung sind Switchports im bauseits vorhandenen Rack ausreichend vorhanden; die benötigten Cat.6a S/FTP Patchkabel (16 Stück à 3 m) wurden im Angebot berücksichtigt.</w:t>
      </w:r>
    </w:p>
    <w:p>
      <w:pPr>
        <w:spacing w:before="200" w:after="80"/>
      </w:pPr>
      <w:r>
        <w:rPr>
          <w:b/>
          <w:color w:val="003366"/>
          <w:sz w:val="26"/>
        </w:rPr>
        <w:t>2. Strukturierte Verkabelung nach DIN EN 50173</w:t>
      </w:r>
    </w:p>
    <w:p>
      <w:r>
        <w:t>Die passive Netzwerk-Infrastruktur basiert auf einer Stern-Topologie mit Cat.6a S/FTP-Verkabelung (Frequenzen bis 500 MHz, 10-Gigabit-Ethernet tauglich bis 100 m). Jeder Doppelarbeitsplatz verfügt über zwei RJ-45 Netzwerkdosen (Port A für PC/Workstation, Port B als Reserve / IP-Telefonie).</w:t>
      </w:r>
    </w:p>
    <w:p>
      <w:pPr>
        <w:spacing w:before="200" w:after="80"/>
      </w:pPr>
      <w:r>
        <w:rPr>
          <w:b/>
          <w:color w:val="003366"/>
          <w:sz w:val="26"/>
        </w:rPr>
        <w:t>3. Logische Netzwerktrennung (VLAN-Segmentierung nach IEEE 802.1Q)</w:t>
      </w:r>
    </w:p>
    <w:p>
      <w:r>
        <w:t>Um Broadcast-Domänen zu trennen, Performance-Einbrüche durch CAD-Massendaten zu verhindern und die IT-Sicherheit zu gewährleisten, wird das Netzwerk in folgende virtuelle Netze (VLANs) segmentiert: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6" w:space="0" w:color="003366"/>
          <w:right w:val="none"/>
          <w:insideH w:val="single" w:sz="4" w:space="0" w:color="D0D5DD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/>
        </w:trPr>
        <w:tc>
          <w:tcPr>
            <w:tcW w:type="dxa" w:w="115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VLAN-ID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Name / Zweck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Netzwerk / CIDR</w:t>
            </w:r>
          </w:p>
        </w:tc>
        <w:tc>
          <w:tcPr>
            <w:tcW w:type="dxa" w:w="15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Subnetzmaske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Gateway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Beschreibung &amp; Firewall-Regel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VLAN_MGMT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192.168.10.0/24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255.255.255.0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192.168.10.1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Switches, Router, USV, PDU (nur Zugriff via IT-Admin)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20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VLAN_OFFICE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192.168.20.0/24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255.255.255.0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192.168.20.1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12 Standard-Büroarbeitsplätze (Office, Mail, Internet)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30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VLAN_CAD_BIM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192.168.30.0/24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255.255.255.0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192.168.30.1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 CAD-Workstations (High-Performance Zugriff auf Fileserver)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40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VLAN_PRINT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192.168.40.0/24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255.255.255.0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192.168.40.1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Lexmark A3 MFP-Drucker (Druckdaten &amp; Scan-to-Share)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50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VLAN_STORAGE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192.168.50.0/24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255.255.255.0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192.168.50.1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Zentraler Fileserver &amp; Backup-NAS (SMB 3.1.1 Shares)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003366"/>
          <w:sz w:val="26"/>
        </w:rPr>
        <w:t>4. IP-Adressierungs- und DHCP-Konzept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6" w:space="0" w:color="003366"/>
          <w:right w:val="none"/>
          <w:insideH w:val="single" w:sz="4" w:space="0" w:color="D0D5DD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/>
        </w:trPr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Geräte- / Endpunkttyp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Host-Name Schema</w:t>
            </w:r>
          </w:p>
        </w:tc>
        <w:tc>
          <w:tcPr>
            <w:tcW w:type="dxa" w:w="230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IP-Adressbereich</w:t>
            </w:r>
          </w:p>
        </w:tc>
        <w:tc>
          <w:tcPr>
            <w:tcW w:type="dxa" w:w="172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Vergabeart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DNS &amp; Domain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12 Standard-Büro-PCs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VP-PC-01 bis 12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192.168.20.10 – 192.168.20.21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DHCP (statische Lease)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vektorplan.local / 192.168.50.10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 CAD-Workstations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VP-CAD-01 bis 04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192.168.30.10 – 192.168.30.13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DHCP (statische Lease)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vektorplan.local / 192.168.50.10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 Lexmark CX930dse MFP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VP-MFP-01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192.168.40.10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Feste statische IP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vektorplan.local / 192.168.50.10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Zentraler Fileserver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VP-SRV-FILE01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192.168.50.10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Feste statische IP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Primary DNS &amp; Domain Controller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DHCP-Pool für Clients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Dynamisch (Gäste)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.100 bis .199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DHCP (Lease 8 Tage)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Standard Internet-Gateway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003366"/>
          <w:sz w:val="26"/>
        </w:rPr>
        <w:t>5. Switchport-Belegungsplan (48-Port Managed Switch)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6" w:space="0" w:color="003366"/>
          <w:right w:val="none"/>
          <w:insideH w:val="single" w:sz="4" w:space="0" w:color="D0D5DD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/>
        </w:trPr>
        <w:tc>
          <w:tcPr>
            <w:tcW w:type="dxa" w:w="15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Switch-Port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Raum / Standort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Angeschlossenes Gerät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VLAN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Link-Speed / Duplex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 01 – 06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Großraumbüro 1 (Arbeitsplätze 1–6)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VP-PC-01 bis VP-PC-06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 20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1.000 Mbit/s Full Duplex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 07 – 12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Großraumbüro 2 (Arbeitsplätze 7–12)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VP-PC-07 bis VP-PC-12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 20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1.000 Mbit/s Full Duplex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 13 – 16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Großraumbüro 2 (CAD-Insel 1–4)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VP-CAD-01 bis VP-CAD-04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 30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1.000 Mbit/s Full Duplex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 17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Zentrale Plotter- und Scanstation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Lexmark CX930dse MFP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 40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1.000 Mbit/s Full Duplex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 18 – 19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Serverrack / Patchfeld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Fileserver (LACP Trunk / Teaming)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VLAN 50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2× 1.000 Mbit/s (2 Gbit/s LACP)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 23 – 24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Serverrack / Patchfeld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Firewall / Gateway Uplink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Trunk (alle)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1.000 Mbit/s Full Duplex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 25 – 48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Patchfeld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Reserve für zukünftige Erweiterung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Deaktiviert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Port-Security: Shutdown if unused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003366"/>
          <w:sz w:val="26"/>
        </w:rPr>
        <w:t>6. Quality of Service (QoS) &amp; Netzwerksicherheit</w:t>
      </w:r>
    </w:p>
    <w:p>
      <w:r>
        <w:t>Um Antwortzeiten bei gleichzeitigen Renderings und großen CAD-Dateiübertragungen (Revit/BIM bis zu 2 GB Dateigröße) zu garantieren, wird auf dem Switch 802.1p Quality of Service (QoS) aktiviert:</w:t>
      </w:r>
    </w:p>
    <w:p>
      <w:pPr>
        <w:pStyle w:val="ListBullet"/>
      </w:pPr>
      <w:r>
        <w:rPr>
          <w:b/>
        </w:rPr>
        <w:t xml:space="preserve">Priorisierung (DSCP 46 / EF): </w:t>
      </w:r>
      <w:r>
        <w:t>Höchste Priorität für SMB-Dateitransfers zwischen VLAN 30 (CAD) und VLAN 50 (Fileserver).</w:t>
      </w:r>
    </w:p>
    <w:p>
      <w:pPr>
        <w:pStyle w:val="ListBullet"/>
      </w:pPr>
      <w:r>
        <w:rPr>
          <w:b/>
        </w:rPr>
        <w:t xml:space="preserve">Port-Security (MAC-Limiting): </w:t>
      </w:r>
      <w:r>
        <w:t>Jeder Switchport lernt maximal 1 MAC-Adresse. Das unbefugte Anstecken privater Laptops (Bring Your Own Device) führt zur automatischen Port-Deaktivierung (Err-Disable).</w:t>
      </w:r>
    </w:p>
    <w:p>
      <w:pPr>
        <w:pStyle w:val="ListBullet"/>
      </w:pPr>
      <w:r>
        <w:rPr>
          <w:b/>
        </w:rPr>
        <w:t xml:space="preserve">Kabelmanagement: </w:t>
      </w:r>
      <w:r>
        <w:t>Farbcodierte Patchkabel im Serverschrank (Blau = Office-PCs, Rot = CAD-Workstations, Gelb = MFP-Drucker, Grün = Server/Uplinks).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646E78"/>
        <w:sz w:val="17"/>
      </w:rPr>
      <w:t>Anlage zu Aufgabe 2: Anforderungsanalyse &amp; Lastenheft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NextLevel IT Solutions | Netzwerkkonzept &amp; IP-Plan: VektorPlan 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