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line="276" w:lineRule="auto"/>
      </w:pPr>
      <w:r>
        <w:rPr>
          <w:rFonts w:ascii="Calibri" w:hAnsi="Calibri"/>
          <w:b/>
          <w:color w:val="006699"/>
          <w:sz w:val="22"/>
        </w:rPr>
        <w:t>IT-SYSTEMHAUS NEXTLEVEL IT SOLUTIONS GMBH</w:t>
        <w:br/>
        <w:t>BERUFLICHE HANDLUNGSAUFGABE – DOKUMENTATION</w:t>
      </w:r>
    </w:p>
    <w:p>
      <w:pPr>
        <w:spacing w:before="300" w:after="200" w:line="276" w:lineRule="auto"/>
      </w:pPr>
      <w:r>
        <w:rPr>
          <w:rFonts w:ascii="Calibri" w:hAnsi="Calibri"/>
          <w:b/>
          <w:color w:val="003366"/>
          <w:sz w:val="44"/>
        </w:rPr>
        <w:t>PROJEKTDOKUMENTATION</w:t>
        <w:br/>
        <w:t>Ausstattung eines Planungs- und Konstruktionsbüros</w:t>
      </w:r>
    </w:p>
    <w:p>
      <w:pPr>
        <w:spacing w:before="0" w:after="500" w:line="276" w:lineRule="auto"/>
      </w:pPr>
      <w:r>
        <w:rPr>
          <w:rFonts w:ascii="Calibri" w:hAnsi="Calibri"/>
          <w:i/>
          <w:color w:val="222222"/>
          <w:sz w:val="24"/>
        </w:rPr>
        <w:t>Ganzheitliche Konzeption, wirtschaftliche Kalkulation, Systemauswahl, rechtssichere Beschaffung und Rollout-Planung für die VektorPlan GmbH</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4896"/>
        <w:gridCol w:w="4896"/>
      </w:tblGrid>
      <w:tr>
        <w:trPr>
          <w:tblHeader/>
        </w:trPr>
        <w:tc>
          <w:tcPr>
            <w:tcW w:type="dxa" w:w="3168"/>
            <w:shd w:fill="003366"/>
            <w:tcMar>
              <w:top w:w="100" w:type="dxa"/>
              <w:bottom w:w="100" w:type="dxa"/>
              <w:left w:w="120" w:type="dxa"/>
              <w:right w:w="120" w:type="dxa"/>
            </w:tcMar>
          </w:tcPr>
          <w:p>
            <w:pPr>
              <w:spacing w:before="0" w:after="0" w:line="276" w:lineRule="auto"/>
            </w:pPr>
            <w:r>
              <w:rPr>
                <w:rFonts w:ascii="Calibri" w:hAnsi="Calibri"/>
                <w:b/>
                <w:color w:val="FFFFFF"/>
                <w:sz w:val="19"/>
              </w:rPr>
              <w:t>Projekt-Stammdaten</w:t>
            </w:r>
          </w:p>
        </w:tc>
        <w:tc>
          <w:tcPr>
            <w:tcW w:type="dxa" w:w="6624"/>
            <w:shd w:fill="003366"/>
            <w:tcMar>
              <w:top w:w="100" w:type="dxa"/>
              <w:bottom w:w="100" w:type="dxa"/>
              <w:left w:w="120" w:type="dxa"/>
              <w:right w:w="120" w:type="dxa"/>
            </w:tcMar>
          </w:tcPr>
          <w:p>
            <w:pPr>
              <w:spacing w:before="0" w:after="0" w:line="276" w:lineRule="auto"/>
            </w:pPr>
            <w:r>
              <w:rPr>
                <w:rFonts w:ascii="Calibri" w:hAnsi="Calibri"/>
                <w:b/>
                <w:color w:val="FFFFFF"/>
                <w:sz w:val="19"/>
              </w:rPr>
              <w:t>Details / Festlegungen</w:t>
            </w:r>
          </w:p>
        </w:tc>
      </w:tr>
      <w:tr>
        <w:tc>
          <w:tcPr>
            <w:tcW w:type="dxa" w:w="3168"/>
            <w:tcMar>
              <w:top w:w="80" w:type="dxa"/>
              <w:bottom w:w="80" w:type="dxa"/>
              <w:left w:w="120" w:type="dxa"/>
              <w:right w:w="120" w:type="dxa"/>
            </w:tcMar>
          </w:tcPr>
          <w:p>
            <w:pPr>
              <w:spacing w:before="0" w:after="0" w:line="276" w:lineRule="auto"/>
            </w:pPr>
            <w:r>
              <w:rPr>
                <w:rFonts w:ascii="Calibri" w:hAnsi="Calibri"/>
                <w:color w:val="222222"/>
                <w:sz w:val="18"/>
              </w:rPr>
              <w:t>Auftraggeber / Kunde</w:t>
            </w:r>
          </w:p>
        </w:tc>
        <w:tc>
          <w:tcPr>
            <w:tcW w:type="dxa" w:w="6624"/>
            <w:tcMar>
              <w:top w:w="80" w:type="dxa"/>
              <w:bottom w:w="80" w:type="dxa"/>
              <w:left w:w="120" w:type="dxa"/>
              <w:right w:w="120" w:type="dxa"/>
            </w:tcMar>
          </w:tcPr>
          <w:p>
            <w:pPr>
              <w:spacing w:before="0" w:after="0" w:line="276" w:lineRule="auto"/>
            </w:pPr>
            <w:r>
              <w:rPr>
                <w:rFonts w:ascii="Calibri" w:hAnsi="Calibri"/>
                <w:color w:val="222222"/>
                <w:sz w:val="18"/>
              </w:rPr>
              <w:t>VektorPlan GmbH (Architektur- und Ingenieurgesellschaft, Düsseldorf)</w:t>
            </w:r>
          </w:p>
        </w:tc>
      </w:tr>
      <w:tr>
        <w:tc>
          <w:tcPr>
            <w:tcW w:type="dxa" w:w="3168"/>
            <w:shd w:fill="F4F6F9"/>
            <w:tcMar>
              <w:top w:w="80" w:type="dxa"/>
              <w:bottom w:w="80" w:type="dxa"/>
              <w:left w:w="120" w:type="dxa"/>
              <w:right w:w="120" w:type="dxa"/>
            </w:tcMar>
          </w:tcPr>
          <w:p>
            <w:pPr>
              <w:spacing w:before="0" w:after="0" w:line="276" w:lineRule="auto"/>
            </w:pPr>
            <w:r>
              <w:rPr>
                <w:rFonts w:ascii="Calibri" w:hAnsi="Calibri"/>
                <w:color w:val="222222"/>
                <w:sz w:val="18"/>
              </w:rPr>
              <w:t>Auftragnehmer</w:t>
            </w:r>
          </w:p>
        </w:tc>
        <w:tc>
          <w:tcPr>
            <w:tcW w:type="dxa" w:w="6624"/>
            <w:shd w:fill="F4F6F9"/>
            <w:tcMar>
              <w:top w:w="80" w:type="dxa"/>
              <w:bottom w:w="80" w:type="dxa"/>
              <w:left w:w="120" w:type="dxa"/>
              <w:right w:w="120" w:type="dxa"/>
            </w:tcMar>
          </w:tcPr>
          <w:p>
            <w:pPr>
              <w:spacing w:before="0" w:after="0" w:line="276" w:lineRule="auto"/>
            </w:pPr>
            <w:r>
              <w:rPr>
                <w:rFonts w:ascii="Calibri" w:hAnsi="Calibri"/>
                <w:color w:val="222222"/>
                <w:sz w:val="18"/>
              </w:rPr>
              <w:t>NextLevel IT Solutions GmbH (Technikstraße 42, 50667 Köln)</w:t>
            </w:r>
          </w:p>
        </w:tc>
      </w:tr>
      <w:tr>
        <w:tc>
          <w:tcPr>
            <w:tcW w:type="dxa" w:w="3168"/>
            <w:tcMar>
              <w:top w:w="80" w:type="dxa"/>
              <w:bottom w:w="80" w:type="dxa"/>
              <w:left w:w="120" w:type="dxa"/>
              <w:right w:w="120" w:type="dxa"/>
            </w:tcMar>
          </w:tcPr>
          <w:p>
            <w:pPr>
              <w:spacing w:before="0" w:after="0" w:line="276" w:lineRule="auto"/>
            </w:pPr>
            <w:r>
              <w:rPr>
                <w:rFonts w:ascii="Calibri" w:hAnsi="Calibri"/>
                <w:color w:val="222222"/>
                <w:sz w:val="18"/>
              </w:rPr>
              <w:t>Projektleitung</w:t>
            </w:r>
          </w:p>
        </w:tc>
        <w:tc>
          <w:tcPr>
            <w:tcW w:type="dxa" w:w="6624"/>
            <w:tcMar>
              <w:top w:w="80" w:type="dxa"/>
              <w:bottom w:w="80" w:type="dxa"/>
              <w:left w:w="120" w:type="dxa"/>
              <w:right w:w="120" w:type="dxa"/>
            </w:tcMar>
          </w:tcPr>
          <w:p>
            <w:pPr>
              <w:spacing w:before="0" w:after="0" w:line="276" w:lineRule="auto"/>
            </w:pPr>
            <w:r>
              <w:rPr>
                <w:rFonts w:ascii="Calibri" w:hAnsi="Calibri"/>
                <w:color w:val="222222"/>
                <w:sz w:val="18"/>
              </w:rPr>
              <w:t>Jan Kluth (Auszubildender / Projektleiter)</w:t>
            </w:r>
          </w:p>
        </w:tc>
      </w:tr>
      <w:tr>
        <w:tc>
          <w:tcPr>
            <w:tcW w:type="dxa" w:w="3168"/>
            <w:shd w:fill="F4F6F9"/>
            <w:tcMar>
              <w:top w:w="80" w:type="dxa"/>
              <w:bottom w:w="80" w:type="dxa"/>
              <w:left w:w="120" w:type="dxa"/>
              <w:right w:w="120" w:type="dxa"/>
            </w:tcMar>
          </w:tcPr>
          <w:p>
            <w:pPr>
              <w:spacing w:before="0" w:after="0" w:line="276" w:lineRule="auto"/>
            </w:pPr>
            <w:r>
              <w:rPr>
                <w:rFonts w:ascii="Calibri" w:hAnsi="Calibri"/>
                <w:color w:val="222222"/>
                <w:sz w:val="18"/>
              </w:rPr>
              <w:t>Projektteam &amp; Rollen</w:t>
            </w:r>
          </w:p>
        </w:tc>
        <w:tc>
          <w:tcPr>
            <w:tcW w:type="dxa" w:w="6624"/>
            <w:shd w:fill="F4F6F9"/>
            <w:tcMar>
              <w:top w:w="80" w:type="dxa"/>
              <w:bottom w:w="80" w:type="dxa"/>
              <w:left w:w="120" w:type="dxa"/>
              <w:right w:w="120" w:type="dxa"/>
            </w:tcMar>
          </w:tcPr>
          <w:p>
            <w:pPr>
              <w:spacing w:before="0" w:after="0" w:line="276" w:lineRule="auto"/>
            </w:pPr>
            <w:r>
              <w:rPr>
                <w:rFonts w:ascii="Calibri" w:hAnsi="Calibri"/>
                <w:color w:val="222222"/>
                <w:sz w:val="18"/>
              </w:rPr>
              <w:t>Jan Kluth (PL), Mathias Vonau (Technik), Marian Bolecke (Kalkulation),</w:t>
              <w:br/>
              <w:t>Marco Schmidt (Qualitätsmanagement/Recht), Siyar (Controlling/Berechnungen)</w:t>
            </w:r>
          </w:p>
        </w:tc>
      </w:tr>
      <w:tr>
        <w:tc>
          <w:tcPr>
            <w:tcW w:type="dxa" w:w="3168"/>
            <w:tcMar>
              <w:top w:w="80" w:type="dxa"/>
              <w:bottom w:w="80" w:type="dxa"/>
              <w:left w:w="120" w:type="dxa"/>
              <w:right w:w="120" w:type="dxa"/>
            </w:tcMar>
          </w:tcPr>
          <w:p>
            <w:pPr>
              <w:spacing w:before="0" w:after="0" w:line="276" w:lineRule="auto"/>
            </w:pPr>
            <w:r>
              <w:rPr>
                <w:rFonts w:ascii="Calibri" w:hAnsi="Calibri"/>
                <w:color w:val="222222"/>
                <w:sz w:val="18"/>
              </w:rPr>
              <w:t>Projektzeitraum &amp; Dauer</w:t>
            </w:r>
          </w:p>
        </w:tc>
        <w:tc>
          <w:tcPr>
            <w:tcW w:type="dxa" w:w="6624"/>
            <w:tcMar>
              <w:top w:w="80" w:type="dxa"/>
              <w:bottom w:w="80" w:type="dxa"/>
              <w:left w:w="120" w:type="dxa"/>
              <w:right w:w="120" w:type="dxa"/>
            </w:tcMar>
          </w:tcPr>
          <w:p>
            <w:pPr>
              <w:spacing w:before="0" w:after="0" w:line="276" w:lineRule="auto"/>
            </w:pPr>
            <w:r>
              <w:rPr>
                <w:rFonts w:ascii="Calibri" w:hAnsi="Calibri"/>
                <w:color w:val="222222"/>
                <w:sz w:val="18"/>
              </w:rPr>
              <w:t>46 Arbeitstage Gesamtprojektdauer (DIN 69900 Netzplan)</w:t>
            </w:r>
          </w:p>
        </w:tc>
      </w:tr>
      <w:tr>
        <w:tc>
          <w:tcPr>
            <w:tcW w:type="dxa" w:w="3168"/>
            <w:shd w:fill="F4F6F9"/>
            <w:tcMar>
              <w:top w:w="80" w:type="dxa"/>
              <w:bottom w:w="80" w:type="dxa"/>
              <w:left w:w="120" w:type="dxa"/>
              <w:right w:w="120" w:type="dxa"/>
            </w:tcMar>
          </w:tcPr>
          <w:p>
            <w:pPr>
              <w:spacing w:before="0" w:after="0" w:line="276" w:lineRule="auto"/>
            </w:pPr>
            <w:r>
              <w:rPr>
                <w:rFonts w:ascii="Calibri" w:hAnsi="Calibri"/>
                <w:color w:val="222222"/>
                <w:sz w:val="18"/>
              </w:rPr>
              <w:t>Gesamtangebotssumme</w:t>
            </w:r>
          </w:p>
        </w:tc>
        <w:tc>
          <w:tcPr>
            <w:tcW w:type="dxa" w:w="6624"/>
            <w:shd w:fill="F4F6F9"/>
            <w:tcMar>
              <w:top w:w="80" w:type="dxa"/>
              <w:bottom w:w="80" w:type="dxa"/>
              <w:left w:w="120" w:type="dxa"/>
              <w:right w:w="120" w:type="dxa"/>
            </w:tcMar>
          </w:tcPr>
          <w:p>
            <w:pPr>
              <w:spacing w:before="0" w:after="0" w:line="276" w:lineRule="auto"/>
            </w:pPr>
            <w:r>
              <w:rPr>
                <w:rFonts w:ascii="Calibri" w:hAnsi="Calibri"/>
                <w:color w:val="222222"/>
                <w:sz w:val="18"/>
              </w:rPr>
              <w:t>67.179,32 € netto (79.943,39 € inkl. 19 % USt.)</w:t>
            </w:r>
          </w:p>
        </w:tc>
      </w:tr>
      <w:tr>
        <w:tc>
          <w:tcPr>
            <w:tcW w:type="dxa" w:w="3168"/>
            <w:tcMar>
              <w:top w:w="80" w:type="dxa"/>
              <w:bottom w:w="80" w:type="dxa"/>
              <w:left w:w="120" w:type="dxa"/>
              <w:right w:w="120" w:type="dxa"/>
            </w:tcMar>
          </w:tcPr>
          <w:p>
            <w:pPr>
              <w:spacing w:before="0" w:after="0" w:line="276" w:lineRule="auto"/>
            </w:pPr>
            <w:r>
              <w:rPr>
                <w:rFonts w:ascii="Calibri" w:hAnsi="Calibri"/>
                <w:color w:val="222222"/>
                <w:sz w:val="18"/>
              </w:rPr>
              <w:t>Version &amp; Bearbeitungsstand</w:t>
            </w:r>
          </w:p>
        </w:tc>
        <w:tc>
          <w:tcPr>
            <w:tcW w:type="dxa" w:w="6624"/>
            <w:tcMar>
              <w:top w:w="80" w:type="dxa"/>
              <w:bottom w:w="80" w:type="dxa"/>
              <w:left w:w="120" w:type="dxa"/>
              <w:right w:w="120" w:type="dxa"/>
            </w:tcMar>
          </w:tcPr>
          <w:p>
            <w:pPr>
              <w:spacing w:before="0" w:after="0" w:line="276" w:lineRule="auto"/>
            </w:pPr>
            <w:r>
              <w:rPr>
                <w:rFonts w:ascii="Calibri" w:hAnsi="Calibri"/>
                <w:color w:val="222222"/>
                <w:sz w:val="18"/>
              </w:rPr>
              <w:t>Version 1.0 (Endfassung zur Abnahme und Bewertung) | September 2026</w:t>
            </w:r>
          </w:p>
        </w:tc>
      </w:tr>
      <w:tr>
        <w:tc>
          <w:tcPr>
            <w:tcW w:type="dxa" w:w="3168"/>
            <w:shd w:fill="F4F6F9"/>
            <w:tcMar>
              <w:top w:w="80" w:type="dxa"/>
              <w:bottom w:w="80" w:type="dxa"/>
              <w:left w:w="120" w:type="dxa"/>
              <w:right w:w="120" w:type="dxa"/>
            </w:tcMar>
          </w:tcPr>
          <w:p>
            <w:pPr>
              <w:spacing w:before="0" w:after="0" w:line="276" w:lineRule="auto"/>
            </w:pPr>
            <w:r>
              <w:rPr>
                <w:rFonts w:ascii="Calibri" w:hAnsi="Calibri"/>
                <w:color w:val="222222"/>
                <w:sz w:val="18"/>
              </w:rPr>
              <w:t>Repository &amp; digitale Ablage</w:t>
            </w:r>
          </w:p>
        </w:tc>
        <w:tc>
          <w:tcPr>
            <w:tcW w:type="dxa" w:w="6624"/>
            <w:shd w:fill="F4F6F9"/>
            <w:tcMar>
              <w:top w:w="80" w:type="dxa"/>
              <w:bottom w:w="80" w:type="dxa"/>
              <w:left w:w="120" w:type="dxa"/>
              <w:right w:w="120" w:type="dxa"/>
            </w:tcMar>
          </w:tcPr>
          <w:p>
            <w:pPr>
              <w:spacing w:before="0" w:after="0" w:line="276" w:lineRule="auto"/>
            </w:pPr>
            <w:r>
              <w:rPr>
                <w:rFonts w:ascii="Calibri" w:hAnsi="Calibri"/>
                <w:color w:val="222222"/>
                <w:sz w:val="18"/>
              </w:rPr>
              <w:t>https://github.com/kluthjan/projekt_handlungsaufgabe.git</w:t>
            </w:r>
          </w:p>
        </w:tc>
      </w:tr>
    </w:tbl>
    <w:p>
      <w:pPr>
        <w:spacing w:after="120"/>
      </w:pPr>
    </w:p>
    <w:tbl>
      <w:tblPr>
        <w:tblW w:type="auto" w:w="0"/>
        <w:jc w:val="center"/>
        <w:tblLook w:firstColumn="1" w:firstRow="1" w:lastColumn="0" w:lastRow="0" w:noHBand="0" w:noVBand="1" w:val="04A0"/>
      </w:tblPr>
      <w:tblGrid>
        <w:gridCol w:w="9792"/>
      </w:tblGrid>
      <w:tr>
        <w:tc>
          <w:tcPr>
            <w:tcW w:type="dxa" w:w="9792"/>
            <w:shd w:fill="EBF3FB"/>
            <w:tcMar>
              <w:top w:w="140" w:type="dxa"/>
              <w:bottom w:w="140" w:type="dxa"/>
              <w:left w:w="200" w:type="dxa"/>
              <w:right w:w="180" w:type="dxa"/>
            </w:tcMar>
            <w:tcBorders>
              <w:left w:val="single" w:sz="24" w:space="0" w:color="003366"/>
              <w:top w:val="none"/>
              <w:bottom w:val="none"/>
              <w:right w:val="none"/>
            </w:tcBorders>
          </w:tcPr>
          <w:p>
            <w:pPr>
              <w:spacing w:before="40" w:after="60" w:line="276" w:lineRule="auto"/>
            </w:pPr>
            <w:r>
              <w:rPr>
                <w:rFonts w:ascii="Calibri" w:hAnsi="Calibri"/>
                <w:b/>
                <w:color w:val="003366"/>
                <w:sz w:val="20"/>
              </w:rPr>
              <w:t>📌 Management Summary &amp; Status</w:t>
              <w:br/>
            </w:r>
            <w:r>
              <w:rPr>
                <w:rFonts w:ascii="Calibri" w:hAnsi="Calibri"/>
                <w:color w:val="222222"/>
                <w:sz w:val="19"/>
              </w:rPr>
              <w:t>Dieses Dokument bildet die offizielle Gesamtdokumentation zur Handlungsaufgabe. Es fasst alle Teilaufgaben (Aufgaben A bis C, inklusive Aufgaben B.1 &amp; B.2 sowie C.1 bis C.8) lückenlos zusammen.</w:t>
              <w:br/>
            </w:r>
            <w:r>
              <w:rPr>
                <w:rFonts w:ascii="Calibri" w:hAnsi="Calibri"/>
                <w:color w:val="222222"/>
                <w:sz w:val="19"/>
              </w:rPr>
              <w:t>Alle Detailberechnungen, Excel-Kalkulationen, kaufmännischen Belege, Lastenheft-Definitionen und vertiefenden Rechtsgutachten sind kapitelweise aufbereitet und mit Querverweisen zu den Projektdateien versehen.</w:t>
            </w:r>
          </w:p>
        </w:tc>
      </w:tr>
    </w:tbl>
    <w:p>
      <w:pPr>
        <w:spacing w:after="120"/>
      </w:pPr>
    </w:p>
    <w:p>
      <w:r>
        <w:br w:type="page"/>
      </w:r>
    </w:p>
    <w:p>
      <w:pPr>
        <w:spacing w:before="280" w:after="120" w:line="276" w:lineRule="auto"/>
      </w:pPr>
      <w:r>
        <w:rPr>
          <w:rFonts w:ascii="Calibri" w:hAnsi="Calibri"/>
          <w:b/>
          <w:color w:val="003366"/>
          <w:sz w:val="30"/>
        </w:rPr>
        <w:t>Inhaltsverzeichnis</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3264"/>
        <w:gridCol w:w="3264"/>
        <w:gridCol w:w="3264"/>
      </w:tblGrid>
      <w:tr>
        <w:trPr>
          <w:tblHeader/>
        </w:trPr>
        <w:tc>
          <w:tcPr>
            <w:tcW w:type="dxa" w:w="1152"/>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Kapitel</w:t>
            </w:r>
          </w:p>
        </w:tc>
        <w:tc>
          <w:tcPr>
            <w:tcW w:type="dxa" w:w="7488"/>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Inhalt / Themenschwerpunkt</w:t>
            </w:r>
          </w:p>
        </w:tc>
        <w:tc>
          <w:tcPr>
            <w:tcW w:type="dxa" w:w="1152"/>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Seite</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t>1.</w:t>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Ausgangssituation, Kundenprofil und Zielsetzung (Aufgabe A)</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3</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t>2.</w:t>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Spezifische Kundenberechnungen (Aufgabe B)</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4</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2.1 B.1 Speicherplatzbedarf auf dem zentralen Fileserver (Binärberechnung &amp; Puffer)</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4</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2.2 B.2 Energiekosten-Kalkulation (PC- vs. Workstation-Verbrauch)</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5</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t>3.</w:t>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Projektorganisation, Ablauf- und Terminplanung (Aufgabe 1)</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6</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3.1 Vorgehensmodell &amp; Rollenverteilung im Team</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6</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3.2 Vorgangsliste &amp; Ablaufstruktur (14 Vorgänge)</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7</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3.3 DIN 69900 Netzplantechnik (Kritischer Pfad: 46 Tage)</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7</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3.4 DIN 69901 Projektstrukturplan (5 Phasen, 30 Arbeitspakete)</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8</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3.5 Tabellarische Risikoanalyse &amp; Risikomatrix</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9</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t>4.</w:t>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Anforderungsanalyse &amp; Lastenheft (Aufgabe 2)</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10</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4.1 Technische Profile: 12 Standard-PCs vs. 4 CAD/BIM-Workstations</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10</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4.2 Ergonomie &amp; Peripherie: 32 Monitore, MFP-Plotterstation, Software</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11</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t>5.</w:t>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Marktrecherche &amp; Nutzwertanalysen (Aufgabe 3)</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12</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5.1 Nutzwertanalyse CAD-Workstations (Sieger: Lenovo ThinkStation P3)</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12</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5.2 Nutzwertanalyse Monitore (Sieger: Dell UltraSharp U2724D)</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13</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t>6.</w:t>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Kaufmännische Preiskalkulation &amp; Angebot (Aufgabe 4)</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14</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6.1 Vorwärtskalkulationsschema (LEP bis LVP)</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14</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6.2 Kaufmännisches Angebot (67.179,32 € netto)</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15</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6.3 Finanzierungsberatung: IT-Leasing vs. Direktkauf (CAPEX vs. OPEX)</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15</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t>7.</w:t>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Wareneingangsprüfung &amp; Störungsmanagement (Aufgabe 5)</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16</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7.1 Gesetzliche Grundlagen der Rügepflicht nach § 377 HGB</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16</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7.2 Fallbeispiel Transportschaden &amp; Muster-Mängelrüge an den Distributor</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17</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t>8.</w:t>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Umwelt- &amp; Datenschutzgerechte Entsorgung (Aufgabe 6)</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18</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8.1 ElektroG, WEEE-Richtlinie und Toner-Recycling</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18</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8.2 BSI-konforme Datenlöschung &amp; physische Festplattenzerstörung</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18</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t>9.</w:t>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Rollout, Montage &amp; Inbetriebnahme vor Ort (Aufgabe 7)</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19</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9.1 Inbetriebnahme-Checkliste nach Bildschirmarbeitsverordnung (ArbStättV)</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19</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9.2 Rechtssicheres Abnahme- und Übergabeprotokoll</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20</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t>10.</w:t>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Projektabschluss, Lessons Learned &amp; Selbstreflexion (Aufgabe 8)</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21</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10.1 Soll-Ist-Vergleich (Termintreue, Kostenbudget, Qualitätskriterien)</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21</w:t>
            </w:r>
          </w:p>
        </w:tc>
      </w:tr>
      <w:tr>
        <w:tc>
          <w:tcPr>
            <w:tcW w:type="dxa" w:w="1152"/>
            <w:shd w:fill="F4F6F9"/>
            <w:tcMar>
              <w:top w:w="80" w:type="dxa"/>
              <w:bottom w:w="80" w:type="dxa"/>
              <w:left w:w="120" w:type="dxa"/>
              <w:right w:w="120" w:type="dxa"/>
            </w:tcMar>
          </w:tcPr>
          <w:p>
            <w:pPr>
              <w:spacing w:before="0" w:after="0" w:line="276" w:lineRule="auto"/>
              <w:jc w:val="left"/>
            </w:pPr>
            <w:r>
              <w:rPr>
                <w:rFonts w:ascii="Calibri" w:hAnsi="Calibri"/>
                <w:color w:val="222222"/>
                <w:sz w:val="18"/>
              </w:rPr>
            </w:r>
          </w:p>
        </w:tc>
        <w:tc>
          <w:tcPr>
            <w:tcW w:type="dxa" w:w="7488"/>
            <w:shd w:fill="F4F6F9"/>
            <w:tcMar>
              <w:top w:w="80" w:type="dxa"/>
              <w:bottom w:w="80" w:type="dxa"/>
              <w:left w:w="120" w:type="dxa"/>
              <w:right w:w="120" w:type="dxa"/>
            </w:tcMar>
          </w:tcPr>
          <w:p>
            <w:pPr>
              <w:spacing w:before="0" w:after="0" w:line="276" w:lineRule="auto"/>
              <w:jc w:val="left"/>
            </w:pPr>
            <w:r>
              <w:rPr>
                <w:rFonts w:ascii="Calibri" w:hAnsi="Calibri"/>
                <w:color w:val="222222"/>
                <w:sz w:val="18"/>
              </w:rPr>
              <w:t>10.2 Teambewertung &amp; Handlungsempfehlungen für Folgeprojekte</w:t>
            </w:r>
          </w:p>
        </w:tc>
        <w:tc>
          <w:tcPr>
            <w:tcW w:type="dxa" w:w="1152"/>
            <w:shd w:fill="F4F6F9"/>
            <w:tcMar>
              <w:top w:w="80" w:type="dxa"/>
              <w:bottom w:w="80" w:type="dxa"/>
              <w:left w:w="120" w:type="dxa"/>
              <w:right w:w="120" w:type="dxa"/>
            </w:tcMar>
          </w:tcPr>
          <w:p>
            <w:pPr>
              <w:spacing w:before="0" w:after="0" w:line="276" w:lineRule="auto"/>
              <w:jc w:val="right"/>
            </w:pPr>
            <w:r>
              <w:rPr>
                <w:rFonts w:ascii="Calibri" w:hAnsi="Calibri"/>
                <w:color w:val="222222"/>
                <w:sz w:val="18"/>
              </w:rPr>
              <w:t>22</w:t>
            </w:r>
          </w:p>
        </w:tc>
      </w:tr>
      <w:tr>
        <w:tc>
          <w:tcPr>
            <w:tcW w:type="dxa" w:w="1152"/>
            <w:tcMar>
              <w:top w:w="80" w:type="dxa"/>
              <w:bottom w:w="80" w:type="dxa"/>
              <w:left w:w="120" w:type="dxa"/>
              <w:right w:w="120" w:type="dxa"/>
            </w:tcMar>
          </w:tcPr>
          <w:p>
            <w:pPr>
              <w:spacing w:before="0" w:after="0" w:line="276" w:lineRule="auto"/>
              <w:jc w:val="left"/>
            </w:pPr>
            <w:r>
              <w:rPr>
                <w:rFonts w:ascii="Calibri" w:hAnsi="Calibri"/>
                <w:color w:val="222222"/>
                <w:sz w:val="18"/>
              </w:rPr>
              <w:t>11.</w:t>
            </w:r>
          </w:p>
        </w:tc>
        <w:tc>
          <w:tcPr>
            <w:tcW w:type="dxa" w:w="7488"/>
            <w:tcMar>
              <w:top w:w="80" w:type="dxa"/>
              <w:bottom w:w="80" w:type="dxa"/>
              <w:left w:w="120" w:type="dxa"/>
              <w:right w:w="120" w:type="dxa"/>
            </w:tcMar>
          </w:tcPr>
          <w:p>
            <w:pPr>
              <w:spacing w:before="0" w:after="0" w:line="276" w:lineRule="auto"/>
              <w:jc w:val="left"/>
            </w:pPr>
            <w:r>
              <w:rPr>
                <w:rFonts w:ascii="Calibri" w:hAnsi="Calibri"/>
                <w:color w:val="222222"/>
                <w:sz w:val="18"/>
              </w:rPr>
              <w:t>Anlagen- &amp; Dateiverzeichnis</w:t>
            </w:r>
          </w:p>
        </w:tc>
        <w:tc>
          <w:tcPr>
            <w:tcW w:type="dxa" w:w="1152"/>
            <w:tcMar>
              <w:top w:w="80" w:type="dxa"/>
              <w:bottom w:w="80" w:type="dxa"/>
              <w:left w:w="120" w:type="dxa"/>
              <w:right w:w="120" w:type="dxa"/>
            </w:tcMar>
          </w:tcPr>
          <w:p>
            <w:pPr>
              <w:spacing w:before="0" w:after="0" w:line="276" w:lineRule="auto"/>
              <w:jc w:val="right"/>
            </w:pPr>
            <w:r>
              <w:rPr>
                <w:rFonts w:ascii="Calibri" w:hAnsi="Calibri"/>
                <w:color w:val="222222"/>
                <w:sz w:val="18"/>
              </w:rPr>
              <w:t>23</w:t>
            </w:r>
          </w:p>
        </w:tc>
      </w:tr>
    </w:tbl>
    <w:p>
      <w:pPr>
        <w:spacing w:after="120"/>
      </w:pPr>
    </w:p>
    <w:p>
      <w:r>
        <w:br w:type="page"/>
      </w:r>
    </w:p>
    <w:p>
      <w:pPr>
        <w:spacing w:before="280" w:after="120" w:line="276" w:lineRule="auto"/>
      </w:pPr>
      <w:r>
        <w:rPr>
          <w:rFonts w:ascii="Calibri" w:hAnsi="Calibri"/>
          <w:b/>
          <w:color w:val="003366"/>
          <w:sz w:val="30"/>
        </w:rPr>
        <w:t>1. Ausgangssituation, Kundenprofil und Zielsetzung (Aufgabe A)</w:t>
      </w:r>
    </w:p>
    <w:p>
      <w:pPr>
        <w:spacing w:before="0" w:after="100" w:line="276" w:lineRule="auto"/>
      </w:pPr>
      <w:r>
        <w:rPr>
          <w:rFonts w:ascii="Calibri" w:hAnsi="Calibri"/>
          <w:color w:val="222222"/>
          <w:sz w:val="20"/>
        </w:rPr>
        <w:t>Die VektorPlan GmbH ist eine renommierte Architektur- und Ingenieurgesellschaft mit Sitz in Düsseldorf, die sich auf anspruchsvolle Gewerbebauten, BIM-basierte Großprojekte und nachhaltige Bauwerksplanung spezialisiert hat. Im Zuge der Standorterweiterung und Modernisierung bezieht das Unternehmen neue Geschäftsräume.</w:t>
      </w:r>
    </w:p>
    <w:p>
      <w:pPr>
        <w:spacing w:before="0" w:after="100" w:line="276" w:lineRule="auto"/>
      </w:pPr>
      <w:r>
        <w:rPr>
          <w:rFonts w:ascii="Calibri" w:hAnsi="Calibri"/>
          <w:color w:val="222222"/>
          <w:sz w:val="20"/>
        </w:rPr>
        <w:t>Die NextLevel IT Solutions GmbH wurde mit der vollständigen Konzeption, Beschaffung, Vorinstallation und betriebsbereiten Übergabe der gesamten IT-Arbeitsplatzinfrastruktur beauftragt. Das Projekt umfasst die funktionale Trennung in zwei Großraumbüros sowie eine zentrale Plotter- und Scanstation.</w:t>
      </w:r>
    </w:p>
    <w:p>
      <w:pPr>
        <w:spacing w:before="200" w:after="80" w:line="276" w:lineRule="auto"/>
      </w:pPr>
      <w:r>
        <w:rPr>
          <w:rFonts w:ascii="Calibri" w:hAnsi="Calibri"/>
          <w:b/>
          <w:color w:val="006699"/>
          <w:sz w:val="25"/>
        </w:rPr>
        <w:t>1.1 Anforderungsübersicht der VektorPlan GmbH</w:t>
      </w:r>
    </w:p>
    <w:p>
      <w:pPr>
        <w:pStyle w:val="ListBullet"/>
        <w:spacing w:before="0" w:after="60" w:line="276" w:lineRule="auto"/>
      </w:pPr>
      <w:r>
        <w:rPr>
          <w:rFonts w:ascii="Calibri" w:hAnsi="Calibri"/>
          <w:b/>
          <w:color w:val="222222"/>
          <w:sz w:val="20"/>
        </w:rPr>
        <w:t xml:space="preserve">Arbeitsplätze Typ 1: </w:t>
      </w:r>
      <w:r>
        <w:rPr>
          <w:rFonts w:ascii="Calibri" w:hAnsi="Calibri"/>
          <w:color w:val="222222"/>
          <w:sz w:val="20"/>
        </w:rPr>
        <w:t>12 Standard-Büroarbeitsplätze: Für Bauleitung, Projektmanagement und Ausschreibung. Hohe Zuverlässigkeit, leise Lüfter (&lt; 30 dB), solide Multitasking-Performance.</w:t>
      </w:r>
    </w:p>
    <w:p>
      <w:pPr>
        <w:pStyle w:val="ListBullet"/>
        <w:spacing w:before="0" w:after="60" w:line="276" w:lineRule="auto"/>
      </w:pPr>
      <w:r>
        <w:rPr>
          <w:rFonts w:ascii="Calibri" w:hAnsi="Calibri"/>
          <w:b/>
          <w:color w:val="222222"/>
          <w:sz w:val="20"/>
        </w:rPr>
        <w:t xml:space="preserve">Arbeitsplätze Typ 2: </w:t>
      </w:r>
      <w:r>
        <w:rPr>
          <w:rFonts w:ascii="Calibri" w:hAnsi="Calibri"/>
          <w:color w:val="222222"/>
          <w:sz w:val="20"/>
        </w:rPr>
        <w:t>4 CAD-/BIM-Workstations: Für 3D-Konstruktion, fotorealistisches Rendern und BIM-Fachkoordination. Maximale Rechenleistung, 64 GB RAM, professionelle dedizierte Workstation-GPU.</w:t>
      </w:r>
    </w:p>
    <w:p>
      <w:pPr>
        <w:pStyle w:val="ListBullet"/>
        <w:spacing w:before="0" w:after="60" w:line="276" w:lineRule="auto"/>
      </w:pPr>
      <w:r>
        <w:rPr>
          <w:rFonts w:ascii="Calibri" w:hAnsi="Calibri"/>
          <w:b/>
          <w:color w:val="222222"/>
          <w:sz w:val="20"/>
        </w:rPr>
        <w:t xml:space="preserve">Ergonomie &amp; Peripherie: </w:t>
      </w:r>
      <w:r>
        <w:rPr>
          <w:rFonts w:ascii="Calibri" w:hAnsi="Calibri"/>
          <w:color w:val="222222"/>
          <w:sz w:val="20"/>
        </w:rPr>
        <w:t>32 ergonomische Monitore: Genau 2 WQHD-Monitore pro Arbeitsplatz, höhenverstellbar mit Pivot-Funktion und Blaulichtfilter zum Gesundheitsschutz nach ArbStättV.</w:t>
      </w:r>
    </w:p>
    <w:p>
      <w:pPr>
        <w:pStyle w:val="ListBullet"/>
        <w:spacing w:before="0" w:after="60" w:line="276" w:lineRule="auto"/>
      </w:pPr>
      <w:r>
        <w:rPr>
          <w:rFonts w:ascii="Calibri" w:hAnsi="Calibri"/>
          <w:b/>
          <w:color w:val="222222"/>
          <w:sz w:val="20"/>
        </w:rPr>
        <w:t xml:space="preserve">Eingabegeräte &amp; Backup: </w:t>
      </w:r>
      <w:r>
        <w:rPr>
          <w:rFonts w:ascii="Calibri" w:hAnsi="Calibri"/>
          <w:color w:val="222222"/>
          <w:sz w:val="20"/>
        </w:rPr>
        <w:t>Kabellose Tastatur-Maus-Sets (AES-128 verschlüsselt) sowie 16 externe 1-TB-SSDs zur täglichen lokalen Zwischensicherung.</w:t>
      </w:r>
    </w:p>
    <w:p>
      <w:pPr>
        <w:pStyle w:val="ListBullet"/>
        <w:spacing w:before="0" w:after="60" w:line="276" w:lineRule="auto"/>
      </w:pPr>
      <w:r>
        <w:rPr>
          <w:rFonts w:ascii="Calibri" w:hAnsi="Calibri"/>
          <w:b/>
          <w:color w:val="222222"/>
          <w:sz w:val="20"/>
        </w:rPr>
        <w:t xml:space="preserve">Druck &amp; Scan: </w:t>
      </w:r>
      <w:r>
        <w:rPr>
          <w:rFonts w:ascii="Calibri" w:hAnsi="Calibri"/>
          <w:color w:val="222222"/>
          <w:sz w:val="20"/>
        </w:rPr>
        <w:t>Zentraler DIN A3/A4 Farblaser-Multifunktionsdrucker (MFP) mit Duplex-Scan und hoher Druckleistung; gesetzeskonforme Entsorgung des alten Schwarzweiß-Bürodruckers.</w:t>
      </w:r>
    </w:p>
    <w:p>
      <w:pPr>
        <w:pStyle w:val="ListBullet"/>
        <w:spacing w:before="0" w:after="60" w:line="276" w:lineRule="auto"/>
      </w:pPr>
      <w:r>
        <w:rPr>
          <w:rFonts w:ascii="Calibri" w:hAnsi="Calibri"/>
          <w:b/>
          <w:color w:val="222222"/>
          <w:sz w:val="20"/>
        </w:rPr>
        <w:t xml:space="preserve">Software-Infrastruktur: </w:t>
      </w:r>
      <w:r>
        <w:rPr>
          <w:rFonts w:ascii="Calibri" w:hAnsi="Calibri"/>
          <w:color w:val="222222"/>
          <w:sz w:val="20"/>
        </w:rPr>
        <w:t>Windows 11 Pro auf allen 16 Neugeräten, Microsoft 365 Business Standard, Adobe Acrobat Pro Teams und zentral verwaltete Endpoint Protection.</w:t>
      </w:r>
    </w:p>
    <w:p>
      <w:pPr>
        <w:pStyle w:val="ListBullet"/>
        <w:spacing w:before="0" w:after="60" w:line="276" w:lineRule="auto"/>
      </w:pPr>
      <w:r>
        <w:rPr>
          <w:rFonts w:ascii="Calibri" w:hAnsi="Calibri"/>
          <w:b/>
          <w:color w:val="222222"/>
          <w:sz w:val="20"/>
        </w:rPr>
        <w:t xml:space="preserve">Netzwerk &amp; Services: </w:t>
      </w:r>
      <w:r>
        <w:rPr>
          <w:rFonts w:ascii="Calibri" w:hAnsi="Calibri"/>
          <w:color w:val="222222"/>
          <w:sz w:val="20"/>
        </w:rPr>
        <w:t>Einbindung in das Gigabit-LAN über strukturierte Cat.6a-Verkabelung mit Switchport-Zuweisung und Netzlaufwerk-Anbindung.</w:t>
      </w:r>
    </w:p>
    <w:p>
      <w:pPr>
        <w:spacing w:before="200" w:after="80" w:line="276" w:lineRule="auto"/>
      </w:pPr>
      <w:r>
        <w:rPr>
          <w:rFonts w:ascii="Calibri" w:hAnsi="Calibri"/>
          <w:b/>
          <w:color w:val="006699"/>
          <w:sz w:val="25"/>
        </w:rPr>
        <w:t>1.2 Rollenverteilung im IT-Projektteam</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3264"/>
        <w:gridCol w:w="3264"/>
        <w:gridCol w:w="3264"/>
      </w:tblGrid>
      <w:tr>
        <w:trPr>
          <w:tblHeader/>
        </w:trPr>
        <w:tc>
          <w:tcPr>
            <w:tcW w:type="dxa" w:w="2160"/>
            <w:shd w:fill="003366"/>
            <w:tcMar>
              <w:top w:w="100" w:type="dxa"/>
              <w:bottom w:w="100" w:type="dxa"/>
              <w:left w:w="120" w:type="dxa"/>
              <w:right w:w="120" w:type="dxa"/>
            </w:tcMar>
          </w:tcPr>
          <w:p>
            <w:pPr>
              <w:spacing w:before="0" w:after="0" w:line="276" w:lineRule="auto"/>
            </w:pPr>
            <w:r>
              <w:rPr>
                <w:rFonts w:ascii="Calibri" w:hAnsi="Calibri"/>
                <w:b/>
                <w:color w:val="FFFFFF"/>
                <w:sz w:val="19"/>
              </w:rPr>
              <w:t>Name</w:t>
            </w:r>
          </w:p>
        </w:tc>
        <w:tc>
          <w:tcPr>
            <w:tcW w:type="dxa" w:w="2880"/>
            <w:shd w:fill="003366"/>
            <w:tcMar>
              <w:top w:w="100" w:type="dxa"/>
              <w:bottom w:w="100" w:type="dxa"/>
              <w:left w:w="120" w:type="dxa"/>
              <w:right w:w="120" w:type="dxa"/>
            </w:tcMar>
          </w:tcPr>
          <w:p>
            <w:pPr>
              <w:spacing w:before="0" w:after="0" w:line="276" w:lineRule="auto"/>
            </w:pPr>
            <w:r>
              <w:rPr>
                <w:rFonts w:ascii="Calibri" w:hAnsi="Calibri"/>
                <w:b/>
                <w:color w:val="FFFFFF"/>
                <w:sz w:val="19"/>
              </w:rPr>
              <w:t>Projektfunktion</w:t>
            </w:r>
          </w:p>
        </w:tc>
        <w:tc>
          <w:tcPr>
            <w:tcW w:type="dxa" w:w="4752"/>
            <w:shd w:fill="003366"/>
            <w:tcMar>
              <w:top w:w="100" w:type="dxa"/>
              <w:bottom w:w="100" w:type="dxa"/>
              <w:left w:w="120" w:type="dxa"/>
              <w:right w:w="120" w:type="dxa"/>
            </w:tcMar>
          </w:tcPr>
          <w:p>
            <w:pPr>
              <w:spacing w:before="0" w:after="0" w:line="276" w:lineRule="auto"/>
            </w:pPr>
            <w:r>
              <w:rPr>
                <w:rFonts w:ascii="Calibri" w:hAnsi="Calibri"/>
                <w:b/>
                <w:color w:val="FFFFFF"/>
                <w:sz w:val="19"/>
              </w:rPr>
              <w:t>Verantwortungsbereich</w:t>
            </w:r>
          </w:p>
        </w:tc>
      </w:tr>
      <w:tr>
        <w:tc>
          <w:tcPr>
            <w:tcW w:type="dxa" w:w="2160"/>
            <w:tcMar>
              <w:top w:w="80" w:type="dxa"/>
              <w:bottom w:w="80" w:type="dxa"/>
              <w:left w:w="120" w:type="dxa"/>
              <w:right w:w="120" w:type="dxa"/>
            </w:tcMar>
          </w:tcPr>
          <w:p>
            <w:pPr>
              <w:spacing w:before="0" w:after="0" w:line="276" w:lineRule="auto"/>
            </w:pPr>
            <w:r>
              <w:rPr>
                <w:rFonts w:ascii="Calibri" w:hAnsi="Calibri"/>
                <w:color w:val="222222"/>
                <w:sz w:val="18"/>
              </w:rPr>
              <w:t>Jan Kluth</w:t>
            </w:r>
          </w:p>
        </w:tc>
        <w:tc>
          <w:tcPr>
            <w:tcW w:type="dxa" w:w="2880"/>
            <w:tcMar>
              <w:top w:w="80" w:type="dxa"/>
              <w:bottom w:w="80" w:type="dxa"/>
              <w:left w:w="120" w:type="dxa"/>
              <w:right w:w="120" w:type="dxa"/>
            </w:tcMar>
          </w:tcPr>
          <w:p>
            <w:pPr>
              <w:spacing w:before="0" w:after="0" w:line="276" w:lineRule="auto"/>
            </w:pPr>
            <w:r>
              <w:rPr>
                <w:rFonts w:ascii="Calibri" w:hAnsi="Calibri"/>
                <w:color w:val="222222"/>
                <w:sz w:val="18"/>
              </w:rPr>
              <w:t>Projektleiter (PL)</w:t>
            </w:r>
          </w:p>
        </w:tc>
        <w:tc>
          <w:tcPr>
            <w:tcW w:type="dxa" w:w="4752"/>
            <w:tcMar>
              <w:top w:w="80" w:type="dxa"/>
              <w:bottom w:w="80" w:type="dxa"/>
              <w:left w:w="120" w:type="dxa"/>
              <w:right w:w="120" w:type="dxa"/>
            </w:tcMar>
          </w:tcPr>
          <w:p>
            <w:pPr>
              <w:spacing w:before="0" w:after="0" w:line="276" w:lineRule="auto"/>
            </w:pPr>
            <w:r>
              <w:rPr>
                <w:rFonts w:ascii="Calibri" w:hAnsi="Calibri"/>
                <w:color w:val="222222"/>
                <w:sz w:val="18"/>
              </w:rPr>
              <w:t>Gesamtkoordination, DIN 69900 Netzplan, Kundenabstimmung, Präsentationsmoderation</w:t>
            </w:r>
          </w:p>
        </w:tc>
      </w:tr>
      <w:tr>
        <w:tc>
          <w:tcPr>
            <w:tcW w:type="dxa" w:w="2160"/>
            <w:shd w:fill="F4F6F9"/>
            <w:tcMar>
              <w:top w:w="80" w:type="dxa"/>
              <w:bottom w:w="80" w:type="dxa"/>
              <w:left w:w="120" w:type="dxa"/>
              <w:right w:w="120" w:type="dxa"/>
            </w:tcMar>
          </w:tcPr>
          <w:p>
            <w:pPr>
              <w:spacing w:before="0" w:after="0" w:line="276" w:lineRule="auto"/>
            </w:pPr>
            <w:r>
              <w:rPr>
                <w:rFonts w:ascii="Calibri" w:hAnsi="Calibri"/>
                <w:color w:val="222222"/>
                <w:sz w:val="18"/>
              </w:rPr>
              <w:t>Mathias Vonau</w:t>
            </w:r>
          </w:p>
        </w:tc>
        <w:tc>
          <w:tcPr>
            <w:tcW w:type="dxa" w:w="2880"/>
            <w:shd w:fill="F4F6F9"/>
            <w:tcMar>
              <w:top w:w="80" w:type="dxa"/>
              <w:bottom w:w="80" w:type="dxa"/>
              <w:left w:w="120" w:type="dxa"/>
              <w:right w:w="120" w:type="dxa"/>
            </w:tcMar>
          </w:tcPr>
          <w:p>
            <w:pPr>
              <w:spacing w:before="0" w:after="0" w:line="276" w:lineRule="auto"/>
            </w:pPr>
            <w:r>
              <w:rPr>
                <w:rFonts w:ascii="Calibri" w:hAnsi="Calibri"/>
                <w:color w:val="222222"/>
                <w:sz w:val="18"/>
              </w:rPr>
              <w:t>Technischer Planer</w:t>
            </w:r>
          </w:p>
        </w:tc>
        <w:tc>
          <w:tcPr>
            <w:tcW w:type="dxa" w:w="4752"/>
            <w:shd w:fill="F4F6F9"/>
            <w:tcMar>
              <w:top w:w="80" w:type="dxa"/>
              <w:bottom w:w="80" w:type="dxa"/>
              <w:left w:w="120" w:type="dxa"/>
              <w:right w:w="120" w:type="dxa"/>
            </w:tcMar>
          </w:tcPr>
          <w:p>
            <w:pPr>
              <w:spacing w:before="0" w:after="0" w:line="276" w:lineRule="auto"/>
            </w:pPr>
            <w:r>
              <w:rPr>
                <w:rFonts w:ascii="Calibri" w:hAnsi="Calibri"/>
                <w:color w:val="222222"/>
                <w:sz w:val="18"/>
              </w:rPr>
              <w:t>Anforderungsanalyse, Lastenheft, Hardwarespezifikation, Vorinstallation &amp; Rollout</w:t>
            </w:r>
          </w:p>
        </w:tc>
      </w:tr>
      <w:tr>
        <w:tc>
          <w:tcPr>
            <w:tcW w:type="dxa" w:w="2160"/>
            <w:tcMar>
              <w:top w:w="80" w:type="dxa"/>
              <w:bottom w:w="80" w:type="dxa"/>
              <w:left w:w="120" w:type="dxa"/>
              <w:right w:w="120" w:type="dxa"/>
            </w:tcMar>
          </w:tcPr>
          <w:p>
            <w:pPr>
              <w:spacing w:before="0" w:after="0" w:line="276" w:lineRule="auto"/>
            </w:pPr>
            <w:r>
              <w:rPr>
                <w:rFonts w:ascii="Calibri" w:hAnsi="Calibri"/>
                <w:color w:val="222222"/>
                <w:sz w:val="18"/>
              </w:rPr>
              <w:t>Marian Bolecke</w:t>
            </w:r>
          </w:p>
        </w:tc>
        <w:tc>
          <w:tcPr>
            <w:tcW w:type="dxa" w:w="2880"/>
            <w:tcMar>
              <w:top w:w="80" w:type="dxa"/>
              <w:bottom w:w="80" w:type="dxa"/>
              <w:left w:w="120" w:type="dxa"/>
              <w:right w:w="120" w:type="dxa"/>
            </w:tcMar>
          </w:tcPr>
          <w:p>
            <w:pPr>
              <w:spacing w:before="0" w:after="0" w:line="276" w:lineRule="auto"/>
            </w:pPr>
            <w:r>
              <w:rPr>
                <w:rFonts w:ascii="Calibri" w:hAnsi="Calibri"/>
                <w:color w:val="222222"/>
                <w:sz w:val="18"/>
              </w:rPr>
              <w:t>Beschaffung &amp; Kalkulation</w:t>
            </w:r>
          </w:p>
        </w:tc>
        <w:tc>
          <w:tcPr>
            <w:tcW w:type="dxa" w:w="4752"/>
            <w:tcMar>
              <w:top w:w="80" w:type="dxa"/>
              <w:bottom w:w="80" w:type="dxa"/>
              <w:left w:w="120" w:type="dxa"/>
              <w:right w:w="120" w:type="dxa"/>
            </w:tcMar>
          </w:tcPr>
          <w:p>
            <w:pPr>
              <w:spacing w:before="0" w:after="0" w:line="276" w:lineRule="auto"/>
            </w:pPr>
            <w:r>
              <w:rPr>
                <w:rFonts w:ascii="Calibri" w:hAnsi="Calibri"/>
                <w:color w:val="222222"/>
                <w:sz w:val="18"/>
              </w:rPr>
              <w:t>Marktrecherche, Nutzwertanalysen (NWA), Vorwärtskalkulation, Kaufmännisches Angebot</w:t>
            </w:r>
          </w:p>
        </w:tc>
      </w:tr>
      <w:tr>
        <w:tc>
          <w:tcPr>
            <w:tcW w:type="dxa" w:w="2160"/>
            <w:shd w:fill="F4F6F9"/>
            <w:tcMar>
              <w:top w:w="80" w:type="dxa"/>
              <w:bottom w:w="80" w:type="dxa"/>
              <w:left w:w="120" w:type="dxa"/>
              <w:right w:w="120" w:type="dxa"/>
            </w:tcMar>
          </w:tcPr>
          <w:p>
            <w:pPr>
              <w:spacing w:before="0" w:after="0" w:line="276" w:lineRule="auto"/>
            </w:pPr>
            <w:r>
              <w:rPr>
                <w:rFonts w:ascii="Calibri" w:hAnsi="Calibri"/>
                <w:color w:val="222222"/>
                <w:sz w:val="18"/>
              </w:rPr>
              <w:t>Marco Schmidt</w:t>
            </w:r>
          </w:p>
        </w:tc>
        <w:tc>
          <w:tcPr>
            <w:tcW w:type="dxa" w:w="2880"/>
            <w:shd w:fill="F4F6F9"/>
            <w:tcMar>
              <w:top w:w="80" w:type="dxa"/>
              <w:bottom w:w="80" w:type="dxa"/>
              <w:left w:w="120" w:type="dxa"/>
              <w:right w:w="120" w:type="dxa"/>
            </w:tcMar>
          </w:tcPr>
          <w:p>
            <w:pPr>
              <w:spacing w:before="0" w:after="0" w:line="276" w:lineRule="auto"/>
            </w:pPr>
            <w:r>
              <w:rPr>
                <w:rFonts w:ascii="Calibri" w:hAnsi="Calibri"/>
                <w:color w:val="222222"/>
                <w:sz w:val="18"/>
              </w:rPr>
              <w:t>Qualitätsmanagement &amp; Recht</w:t>
            </w:r>
          </w:p>
        </w:tc>
        <w:tc>
          <w:tcPr>
            <w:tcW w:type="dxa" w:w="4752"/>
            <w:shd w:fill="F4F6F9"/>
            <w:tcMar>
              <w:top w:w="80" w:type="dxa"/>
              <w:bottom w:w="80" w:type="dxa"/>
              <w:left w:w="120" w:type="dxa"/>
              <w:right w:w="120" w:type="dxa"/>
            </w:tcMar>
          </w:tcPr>
          <w:p>
            <w:pPr>
              <w:spacing w:before="0" w:after="0" w:line="276" w:lineRule="auto"/>
            </w:pPr>
            <w:r>
              <w:rPr>
                <w:rFonts w:ascii="Calibri" w:hAnsi="Calibri"/>
                <w:color w:val="222222"/>
                <w:sz w:val="18"/>
              </w:rPr>
              <w:t>Wareneingang nach § 377 HGB, Mängelrüge, Entsorgungskonzept (ElektroG), Lessons Learned</w:t>
            </w:r>
          </w:p>
        </w:tc>
      </w:tr>
      <w:tr>
        <w:tc>
          <w:tcPr>
            <w:tcW w:type="dxa" w:w="2160"/>
            <w:tcMar>
              <w:top w:w="80" w:type="dxa"/>
              <w:bottom w:w="80" w:type="dxa"/>
              <w:left w:w="120" w:type="dxa"/>
              <w:right w:w="120" w:type="dxa"/>
            </w:tcMar>
          </w:tcPr>
          <w:p>
            <w:pPr>
              <w:spacing w:before="0" w:after="0" w:line="276" w:lineRule="auto"/>
            </w:pPr>
            <w:r>
              <w:rPr>
                <w:rFonts w:ascii="Calibri" w:hAnsi="Calibri"/>
                <w:color w:val="222222"/>
                <w:sz w:val="18"/>
              </w:rPr>
              <w:t>Siyar</w:t>
            </w:r>
          </w:p>
        </w:tc>
        <w:tc>
          <w:tcPr>
            <w:tcW w:type="dxa" w:w="2880"/>
            <w:tcMar>
              <w:top w:w="80" w:type="dxa"/>
              <w:bottom w:w="80" w:type="dxa"/>
              <w:left w:w="120" w:type="dxa"/>
              <w:right w:w="120" w:type="dxa"/>
            </w:tcMar>
          </w:tcPr>
          <w:p>
            <w:pPr>
              <w:spacing w:before="0" w:after="0" w:line="276" w:lineRule="auto"/>
            </w:pPr>
            <w:r>
              <w:rPr>
                <w:rFonts w:ascii="Calibri" w:hAnsi="Calibri"/>
                <w:color w:val="222222"/>
                <w:sz w:val="18"/>
              </w:rPr>
              <w:t>Berechnungen &amp; Controlling</w:t>
            </w:r>
          </w:p>
        </w:tc>
        <w:tc>
          <w:tcPr>
            <w:tcW w:type="dxa" w:w="4752"/>
            <w:tcMar>
              <w:top w:w="80" w:type="dxa"/>
              <w:bottom w:w="80" w:type="dxa"/>
              <w:left w:w="120" w:type="dxa"/>
              <w:right w:w="120" w:type="dxa"/>
            </w:tcMar>
          </w:tcPr>
          <w:p>
            <w:pPr>
              <w:spacing w:before="0" w:after="0" w:line="276" w:lineRule="auto"/>
            </w:pPr>
            <w:r>
              <w:rPr>
                <w:rFonts w:ascii="Calibri" w:hAnsi="Calibri"/>
                <w:color w:val="222222"/>
                <w:sz w:val="18"/>
              </w:rPr>
              <w:t>Kundenberechnungen (Speicher/Energie), Risikoanalyse, Abnahmeprotokoll, Projektrevision</w:t>
            </w:r>
          </w:p>
        </w:tc>
      </w:tr>
    </w:tbl>
    <w:p>
      <w:pPr>
        <w:spacing w:after="120"/>
      </w:pPr>
    </w:p>
    <w:p>
      <w:pPr>
        <w:spacing w:before="280" w:after="120" w:line="276" w:lineRule="auto"/>
      </w:pPr>
      <w:r>
        <w:rPr>
          <w:rFonts w:ascii="Calibri" w:hAnsi="Calibri"/>
          <w:b/>
          <w:color w:val="003366"/>
          <w:sz w:val="30"/>
        </w:rPr>
        <w:t>2. Spezifische Kundenberechnungen (Aufgabe B)</w:t>
      </w:r>
    </w:p>
    <w:p>
      <w:pPr>
        <w:spacing w:before="0" w:after="100" w:line="276" w:lineRule="auto"/>
      </w:pPr>
      <w:r>
        <w:rPr>
          <w:rFonts w:ascii="Calibri" w:hAnsi="Calibri"/>
          <w:color w:val="222222"/>
          <w:sz w:val="20"/>
        </w:rPr>
        <w:t>Für die Investitions- und Betriebskostenplanung forderte die Geschäftsführung der VektorPlan GmbH vorab zwei mathematisch fundierte Kalkulationen: die exakte Dimensionierung des Fileserver-Speichers für das erste Quartal sowie die jährlichen Strombetriebskosten.</w:t>
      </w:r>
    </w:p>
    <w:p>
      <w:pPr>
        <w:spacing w:before="200" w:after="80" w:line="276" w:lineRule="auto"/>
      </w:pPr>
      <w:r>
        <w:rPr>
          <w:rFonts w:ascii="Calibri" w:hAnsi="Calibri"/>
          <w:b/>
          <w:color w:val="006699"/>
          <w:sz w:val="25"/>
        </w:rPr>
        <w:t>2.1 B.1 Speicherplatzbedarf auf dem zentralen Fileserver</w:t>
      </w:r>
    </w:p>
    <w:p>
      <w:pPr>
        <w:spacing w:before="0" w:after="100" w:line="276" w:lineRule="auto"/>
      </w:pPr>
      <w:r>
        <w:rPr>
          <w:rFonts w:ascii="Calibri" w:hAnsi="Calibri"/>
          <w:color w:val="222222"/>
          <w:sz w:val="20"/>
        </w:rPr>
        <w:t>Laut Aufgabenstellung fallen an jedem der 16 Arbeitsplätze durchschnittlich 350 MiB an neuen Daten pro Tag an, die am Arbeitstagsende synchronisiert werden. Betrachtet wird ein Quartal mit 65 Arbeitstagen inklusive 25 % Puffer.</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1958"/>
        <w:gridCol w:w="1958"/>
        <w:gridCol w:w="1958"/>
        <w:gridCol w:w="1958"/>
        <w:gridCol w:w="1958"/>
      </w:tblGrid>
      <w:tr>
        <w:trPr>
          <w:tblHeader/>
        </w:trPr>
        <w:tc>
          <w:tcPr>
            <w:tcW w:type="dxa" w:w="864"/>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Schritt</w:t>
            </w:r>
          </w:p>
        </w:tc>
        <w:tc>
          <w:tcPr>
            <w:tcW w:type="dxa" w:w="3888"/>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Kalkulationsparameter</w:t>
            </w:r>
          </w:p>
        </w:tc>
        <w:tc>
          <w:tcPr>
            <w:tcW w:type="dxa" w:w="1440"/>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Wert</w:t>
            </w:r>
          </w:p>
        </w:tc>
        <w:tc>
          <w:tcPr>
            <w:tcW w:type="dxa" w:w="129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Einheit</w:t>
            </w:r>
          </w:p>
        </w:tc>
        <w:tc>
          <w:tcPr>
            <w:tcW w:type="dxa" w:w="2304"/>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Erläuterung / Formel</w:t>
            </w:r>
          </w:p>
        </w:tc>
      </w:tr>
      <w:tr>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1</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Anzahl der Arbeitsplätze</w:t>
            </w:r>
          </w:p>
        </w:tc>
        <w:tc>
          <w:tcPr>
            <w:tcW w:type="dxa" w:w="1440"/>
            <w:tcMar>
              <w:top w:w="80" w:type="dxa"/>
              <w:bottom w:w="80" w:type="dxa"/>
              <w:left w:w="120" w:type="dxa"/>
              <w:right w:w="120" w:type="dxa"/>
            </w:tcMar>
          </w:tcPr>
          <w:p>
            <w:pPr>
              <w:spacing w:before="0" w:after="0" w:line="276" w:lineRule="auto"/>
              <w:jc w:val="right"/>
            </w:pPr>
            <w:r>
              <w:rPr>
                <w:rFonts w:ascii="Calibri" w:hAnsi="Calibri"/>
                <w:color w:val="222222"/>
                <w:sz w:val="18"/>
              </w:rPr>
              <w:t>16</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AP</w:t>
            </w:r>
          </w:p>
        </w:tc>
        <w:tc>
          <w:tcPr>
            <w:tcW w:type="dxa" w:w="2304"/>
            <w:tcMar>
              <w:top w:w="80" w:type="dxa"/>
              <w:bottom w:w="80" w:type="dxa"/>
              <w:left w:w="120" w:type="dxa"/>
              <w:right w:w="120" w:type="dxa"/>
            </w:tcMar>
          </w:tcPr>
          <w:p>
            <w:pPr>
              <w:spacing w:before="0" w:after="0" w:line="276" w:lineRule="auto"/>
              <w:jc w:val="left"/>
            </w:pPr>
            <w:r>
              <w:rPr>
                <w:rFonts w:ascii="Calibri" w:hAnsi="Calibri"/>
                <w:color w:val="222222"/>
                <w:sz w:val="18"/>
              </w:rPr>
              <w:t>12 Büro + 4 CAD</w:t>
            </w:r>
          </w:p>
        </w:tc>
      </w:tr>
      <w:tr>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Täglicher Datenanfall pro AP</w:t>
            </w:r>
          </w:p>
        </w:tc>
        <w:tc>
          <w:tcPr>
            <w:tcW w:type="dxa" w:w="1440"/>
            <w:shd w:fill="F4F6F9"/>
            <w:tcMar>
              <w:top w:w="80" w:type="dxa"/>
              <w:bottom w:w="80" w:type="dxa"/>
              <w:left w:w="120" w:type="dxa"/>
              <w:right w:w="120" w:type="dxa"/>
            </w:tcMar>
          </w:tcPr>
          <w:p>
            <w:pPr>
              <w:spacing w:before="0" w:after="0" w:line="276" w:lineRule="auto"/>
              <w:jc w:val="right"/>
            </w:pPr>
            <w:r>
              <w:rPr>
                <w:rFonts w:ascii="Calibri" w:hAnsi="Calibri"/>
                <w:color w:val="222222"/>
                <w:sz w:val="18"/>
              </w:rPr>
              <w:t>350</w:t>
            </w:r>
          </w:p>
        </w:tc>
        <w:tc>
          <w:tcPr>
            <w:tcW w:type="dxa" w:w="129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MiB/Tag</w:t>
            </w:r>
          </w:p>
        </w:tc>
        <w:tc>
          <w:tcPr>
            <w:tcW w:type="dxa" w:w="2304"/>
            <w:shd w:fill="F4F6F9"/>
            <w:tcMar>
              <w:top w:w="80" w:type="dxa"/>
              <w:bottom w:w="80" w:type="dxa"/>
              <w:left w:w="120" w:type="dxa"/>
              <w:right w:w="120" w:type="dxa"/>
            </w:tcMar>
          </w:tcPr>
          <w:p>
            <w:pPr>
              <w:spacing w:before="0" w:after="0" w:line="276" w:lineRule="auto"/>
              <w:jc w:val="left"/>
            </w:pPr>
            <w:r>
              <w:rPr>
                <w:rFonts w:ascii="Calibri" w:hAnsi="Calibri"/>
                <w:color w:val="222222"/>
                <w:sz w:val="18"/>
              </w:rPr>
              <w:t>CAD-, Office- &amp; Planungsdateien</w:t>
            </w:r>
          </w:p>
        </w:tc>
      </w:tr>
      <w:tr>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Täglicher Gesamtdatenanfall</w:t>
            </w:r>
          </w:p>
        </w:tc>
        <w:tc>
          <w:tcPr>
            <w:tcW w:type="dxa" w:w="1440"/>
            <w:tcMar>
              <w:top w:w="80" w:type="dxa"/>
              <w:bottom w:w="80" w:type="dxa"/>
              <w:left w:w="120" w:type="dxa"/>
              <w:right w:w="120" w:type="dxa"/>
            </w:tcMar>
          </w:tcPr>
          <w:p>
            <w:pPr>
              <w:spacing w:before="0" w:after="0" w:line="276" w:lineRule="auto"/>
              <w:jc w:val="right"/>
            </w:pPr>
            <w:r>
              <w:rPr>
                <w:rFonts w:ascii="Calibri" w:hAnsi="Calibri"/>
                <w:color w:val="222222"/>
                <w:sz w:val="18"/>
              </w:rPr>
              <w:t>5.600</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MiB/Tag</w:t>
            </w:r>
          </w:p>
        </w:tc>
        <w:tc>
          <w:tcPr>
            <w:tcW w:type="dxa" w:w="2304"/>
            <w:tcMar>
              <w:top w:w="80" w:type="dxa"/>
              <w:bottom w:w="80" w:type="dxa"/>
              <w:left w:w="120" w:type="dxa"/>
              <w:right w:w="120" w:type="dxa"/>
            </w:tcMar>
          </w:tcPr>
          <w:p>
            <w:pPr>
              <w:spacing w:before="0" w:after="0" w:line="276" w:lineRule="auto"/>
              <w:jc w:val="left"/>
            </w:pPr>
            <w:r>
              <w:rPr>
                <w:rFonts w:ascii="Calibri" w:hAnsi="Calibri"/>
                <w:color w:val="222222"/>
                <w:sz w:val="18"/>
              </w:rPr>
              <w:t>16 AP × 350 MiB</w:t>
            </w:r>
          </w:p>
        </w:tc>
      </w:tr>
      <w:tr>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Arbeitstage im Quartal</w:t>
            </w:r>
          </w:p>
        </w:tc>
        <w:tc>
          <w:tcPr>
            <w:tcW w:type="dxa" w:w="1440"/>
            <w:shd w:fill="F4F6F9"/>
            <w:tcMar>
              <w:top w:w="80" w:type="dxa"/>
              <w:bottom w:w="80" w:type="dxa"/>
              <w:left w:w="120" w:type="dxa"/>
              <w:right w:w="120" w:type="dxa"/>
            </w:tcMar>
          </w:tcPr>
          <w:p>
            <w:pPr>
              <w:spacing w:before="0" w:after="0" w:line="276" w:lineRule="auto"/>
              <w:jc w:val="right"/>
            </w:pPr>
            <w:r>
              <w:rPr>
                <w:rFonts w:ascii="Calibri" w:hAnsi="Calibri"/>
                <w:color w:val="222222"/>
                <w:sz w:val="18"/>
              </w:rPr>
              <w:t>65</w:t>
            </w:r>
          </w:p>
        </w:tc>
        <w:tc>
          <w:tcPr>
            <w:tcW w:type="dxa" w:w="129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Tage</w:t>
            </w:r>
          </w:p>
        </w:tc>
        <w:tc>
          <w:tcPr>
            <w:tcW w:type="dxa" w:w="2304"/>
            <w:shd w:fill="F4F6F9"/>
            <w:tcMar>
              <w:top w:w="80" w:type="dxa"/>
              <w:bottom w:w="80" w:type="dxa"/>
              <w:left w:w="120" w:type="dxa"/>
              <w:right w:w="120" w:type="dxa"/>
            </w:tcMar>
          </w:tcPr>
          <w:p>
            <w:pPr>
              <w:spacing w:before="0" w:after="0" w:line="276" w:lineRule="auto"/>
              <w:jc w:val="left"/>
            </w:pPr>
            <w:r>
              <w:rPr>
                <w:rFonts w:ascii="Calibri" w:hAnsi="Calibri"/>
                <w:color w:val="222222"/>
                <w:sz w:val="18"/>
              </w:rPr>
              <w:t>Q1 Planungszeitraum</w:t>
            </w:r>
          </w:p>
        </w:tc>
      </w:tr>
      <w:tr>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5</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Gesamtdatenvolumen Q1 (MiB)</w:t>
            </w:r>
          </w:p>
        </w:tc>
        <w:tc>
          <w:tcPr>
            <w:tcW w:type="dxa" w:w="1440"/>
            <w:tcMar>
              <w:top w:w="80" w:type="dxa"/>
              <w:bottom w:w="80" w:type="dxa"/>
              <w:left w:w="120" w:type="dxa"/>
              <w:right w:w="120" w:type="dxa"/>
            </w:tcMar>
          </w:tcPr>
          <w:p>
            <w:pPr>
              <w:spacing w:before="0" w:after="0" w:line="276" w:lineRule="auto"/>
              <w:jc w:val="right"/>
            </w:pPr>
            <w:r>
              <w:rPr>
                <w:rFonts w:ascii="Calibri" w:hAnsi="Calibri"/>
                <w:color w:val="222222"/>
                <w:sz w:val="18"/>
              </w:rPr>
              <w:t>364.000</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MiB</w:t>
            </w:r>
          </w:p>
        </w:tc>
        <w:tc>
          <w:tcPr>
            <w:tcW w:type="dxa" w:w="2304"/>
            <w:tcMar>
              <w:top w:w="80" w:type="dxa"/>
              <w:bottom w:w="80" w:type="dxa"/>
              <w:left w:w="120" w:type="dxa"/>
              <w:right w:w="120" w:type="dxa"/>
            </w:tcMar>
          </w:tcPr>
          <w:p>
            <w:pPr>
              <w:spacing w:before="0" w:after="0" w:line="276" w:lineRule="auto"/>
              <w:jc w:val="left"/>
            </w:pPr>
            <w:r>
              <w:rPr>
                <w:rFonts w:ascii="Calibri" w:hAnsi="Calibri"/>
                <w:color w:val="222222"/>
                <w:sz w:val="18"/>
              </w:rPr>
              <w:t>5.600 MiB × 65 Tage</w:t>
            </w:r>
          </w:p>
        </w:tc>
      </w:tr>
      <w:tr>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6</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Binärer Umrechnungsfaktor</w:t>
            </w:r>
          </w:p>
        </w:tc>
        <w:tc>
          <w:tcPr>
            <w:tcW w:type="dxa" w:w="1440"/>
            <w:shd w:fill="F4F6F9"/>
            <w:tcMar>
              <w:top w:w="80" w:type="dxa"/>
              <w:bottom w:w="80" w:type="dxa"/>
              <w:left w:w="120" w:type="dxa"/>
              <w:right w:w="120" w:type="dxa"/>
            </w:tcMar>
          </w:tcPr>
          <w:p>
            <w:pPr>
              <w:spacing w:before="0" w:after="0" w:line="276" w:lineRule="auto"/>
              <w:jc w:val="right"/>
            </w:pPr>
            <w:r>
              <w:rPr>
                <w:rFonts w:ascii="Calibri" w:hAnsi="Calibri"/>
                <w:color w:val="222222"/>
                <w:sz w:val="18"/>
              </w:rPr>
              <w:t>1.024</w:t>
            </w:r>
          </w:p>
        </w:tc>
        <w:tc>
          <w:tcPr>
            <w:tcW w:type="dxa" w:w="129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MiB/GiB</w:t>
            </w:r>
          </w:p>
        </w:tc>
        <w:tc>
          <w:tcPr>
            <w:tcW w:type="dxa" w:w="2304"/>
            <w:shd w:fill="F4F6F9"/>
            <w:tcMar>
              <w:top w:w="80" w:type="dxa"/>
              <w:bottom w:w="80" w:type="dxa"/>
              <w:left w:w="120" w:type="dxa"/>
              <w:right w:w="120" w:type="dxa"/>
            </w:tcMar>
          </w:tcPr>
          <w:p>
            <w:pPr>
              <w:spacing w:before="0" w:after="0" w:line="276" w:lineRule="auto"/>
              <w:jc w:val="left"/>
            </w:pPr>
            <w:r>
              <w:rPr>
                <w:rFonts w:ascii="Calibri" w:hAnsi="Calibri"/>
                <w:color w:val="222222"/>
                <w:sz w:val="18"/>
              </w:rPr>
              <w:t>IEC 80000-13 Standard (2^10)</w:t>
            </w:r>
          </w:p>
        </w:tc>
      </w:tr>
      <w:tr>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7</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Exakter Speicherbedarf netto</w:t>
            </w:r>
          </w:p>
        </w:tc>
        <w:tc>
          <w:tcPr>
            <w:tcW w:type="dxa" w:w="1440"/>
            <w:tcMar>
              <w:top w:w="80" w:type="dxa"/>
              <w:bottom w:w="80" w:type="dxa"/>
              <w:left w:w="120" w:type="dxa"/>
              <w:right w:w="120" w:type="dxa"/>
            </w:tcMar>
          </w:tcPr>
          <w:p>
            <w:pPr>
              <w:spacing w:before="0" w:after="0" w:line="276" w:lineRule="auto"/>
              <w:jc w:val="right"/>
            </w:pPr>
            <w:r>
              <w:rPr>
                <w:rFonts w:ascii="Calibri" w:hAnsi="Calibri"/>
                <w:color w:val="222222"/>
                <w:sz w:val="18"/>
              </w:rPr>
              <w:t>355,46875</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GiB</w:t>
            </w:r>
          </w:p>
        </w:tc>
        <w:tc>
          <w:tcPr>
            <w:tcW w:type="dxa" w:w="2304"/>
            <w:tcMar>
              <w:top w:w="80" w:type="dxa"/>
              <w:bottom w:w="80" w:type="dxa"/>
              <w:left w:w="120" w:type="dxa"/>
              <w:right w:w="120" w:type="dxa"/>
            </w:tcMar>
          </w:tcPr>
          <w:p>
            <w:pPr>
              <w:spacing w:before="0" w:after="0" w:line="276" w:lineRule="auto"/>
              <w:jc w:val="left"/>
            </w:pPr>
            <w:r>
              <w:rPr>
                <w:rFonts w:ascii="Calibri" w:hAnsi="Calibri"/>
                <w:color w:val="222222"/>
                <w:sz w:val="18"/>
              </w:rPr>
              <w:t>364.000 ÷ 1.024</w:t>
            </w:r>
          </w:p>
        </w:tc>
      </w:tr>
      <w:tr>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Netto-Speicherbedarf (aufgerundet)</w:t>
            </w:r>
          </w:p>
        </w:tc>
        <w:tc>
          <w:tcPr>
            <w:tcW w:type="dxa" w:w="1440"/>
            <w:shd w:fill="F4F6F9"/>
            <w:tcMar>
              <w:top w:w="80" w:type="dxa"/>
              <w:bottom w:w="80" w:type="dxa"/>
              <w:left w:w="120" w:type="dxa"/>
              <w:right w:w="120" w:type="dxa"/>
            </w:tcMar>
          </w:tcPr>
          <w:p>
            <w:pPr>
              <w:spacing w:before="0" w:after="0" w:line="276" w:lineRule="auto"/>
              <w:jc w:val="right"/>
            </w:pPr>
            <w:r>
              <w:rPr>
                <w:rFonts w:ascii="Calibri" w:hAnsi="Calibri"/>
                <w:color w:val="222222"/>
                <w:sz w:val="18"/>
              </w:rPr>
              <w:t>356</w:t>
            </w:r>
          </w:p>
        </w:tc>
        <w:tc>
          <w:tcPr>
            <w:tcW w:type="dxa" w:w="129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GiB</w:t>
            </w:r>
          </w:p>
        </w:tc>
        <w:tc>
          <w:tcPr>
            <w:tcW w:type="dxa" w:w="2304"/>
            <w:shd w:fill="F4F6F9"/>
            <w:tcMar>
              <w:top w:w="80" w:type="dxa"/>
              <w:bottom w:w="80" w:type="dxa"/>
              <w:left w:w="120" w:type="dxa"/>
              <w:right w:w="120" w:type="dxa"/>
            </w:tcMar>
          </w:tcPr>
          <w:p>
            <w:pPr>
              <w:spacing w:before="0" w:after="0" w:line="276" w:lineRule="auto"/>
              <w:jc w:val="left"/>
            </w:pPr>
            <w:r>
              <w:rPr>
                <w:rFonts w:ascii="Calibri" w:hAnsi="Calibri"/>
                <w:color w:val="222222"/>
                <w:sz w:val="18"/>
              </w:rPr>
              <w:t>Vorgabe: volle GiB aufrunden</w:t>
            </w:r>
          </w:p>
        </w:tc>
      </w:tr>
      <w:tr>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9</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Sicherheits- &amp; Pufferzuschlag (25 %)</w:t>
            </w:r>
          </w:p>
        </w:tc>
        <w:tc>
          <w:tcPr>
            <w:tcW w:type="dxa" w:w="1440"/>
            <w:tcMar>
              <w:top w:w="80" w:type="dxa"/>
              <w:bottom w:w="80" w:type="dxa"/>
              <w:left w:w="120" w:type="dxa"/>
              <w:right w:w="120" w:type="dxa"/>
            </w:tcMar>
          </w:tcPr>
          <w:p>
            <w:pPr>
              <w:spacing w:before="0" w:after="0" w:line="276" w:lineRule="auto"/>
              <w:jc w:val="right"/>
            </w:pPr>
            <w:r>
              <w:rPr>
                <w:rFonts w:ascii="Calibri" w:hAnsi="Calibri"/>
                <w:color w:val="222222"/>
                <w:sz w:val="18"/>
              </w:rPr>
              <w:t>89</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GiB</w:t>
            </w:r>
          </w:p>
        </w:tc>
        <w:tc>
          <w:tcPr>
            <w:tcW w:type="dxa" w:w="2304"/>
            <w:tcMar>
              <w:top w:w="80" w:type="dxa"/>
              <w:bottom w:w="80" w:type="dxa"/>
              <w:left w:w="120" w:type="dxa"/>
              <w:right w:w="120" w:type="dxa"/>
            </w:tcMar>
          </w:tcPr>
          <w:p>
            <w:pPr>
              <w:spacing w:before="0" w:after="0" w:line="276" w:lineRule="auto"/>
              <w:jc w:val="left"/>
            </w:pPr>
            <w:r>
              <w:rPr>
                <w:rFonts w:ascii="Calibri" w:hAnsi="Calibri"/>
                <w:color w:val="222222"/>
                <w:sz w:val="18"/>
              </w:rPr>
              <w:t>356 GiB × 0,25 (für Temp/Revisionsdaten)</w:t>
            </w:r>
          </w:p>
        </w:tc>
      </w:tr>
      <w:tr>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10</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EMPFOHLENER GESAMTSPEICHERBEDARF</w:t>
            </w:r>
          </w:p>
        </w:tc>
        <w:tc>
          <w:tcPr>
            <w:tcW w:type="dxa" w:w="1440"/>
            <w:shd w:fill="F4F6F9"/>
            <w:tcMar>
              <w:top w:w="80" w:type="dxa"/>
              <w:bottom w:w="80" w:type="dxa"/>
              <w:left w:w="120" w:type="dxa"/>
              <w:right w:w="120" w:type="dxa"/>
            </w:tcMar>
          </w:tcPr>
          <w:p>
            <w:pPr>
              <w:spacing w:before="0" w:after="0" w:line="276" w:lineRule="auto"/>
              <w:jc w:val="right"/>
            </w:pPr>
            <w:r>
              <w:rPr>
                <w:rFonts w:ascii="Calibri" w:hAnsi="Calibri"/>
                <w:color w:val="222222"/>
                <w:sz w:val="18"/>
              </w:rPr>
              <w:t>445</w:t>
            </w:r>
          </w:p>
        </w:tc>
        <w:tc>
          <w:tcPr>
            <w:tcW w:type="dxa" w:w="129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GiB</w:t>
            </w:r>
          </w:p>
        </w:tc>
        <w:tc>
          <w:tcPr>
            <w:tcW w:type="dxa" w:w="2304"/>
            <w:shd w:fill="F4F6F9"/>
            <w:tcMar>
              <w:top w:w="80" w:type="dxa"/>
              <w:bottom w:w="80" w:type="dxa"/>
              <w:left w:w="120" w:type="dxa"/>
              <w:right w:w="120" w:type="dxa"/>
            </w:tcMar>
          </w:tcPr>
          <w:p>
            <w:pPr>
              <w:spacing w:before="0" w:after="0" w:line="276" w:lineRule="auto"/>
              <w:jc w:val="left"/>
            </w:pPr>
            <w:r>
              <w:rPr>
                <w:rFonts w:ascii="Calibri" w:hAnsi="Calibri"/>
                <w:color w:val="222222"/>
                <w:sz w:val="18"/>
              </w:rPr>
              <w:t>356 GiB + 89 GiB (Ergebnis B.1)</w:t>
            </w:r>
          </w:p>
        </w:tc>
      </w:tr>
    </w:tbl>
    <w:p>
      <w:pPr>
        <w:spacing w:after="120"/>
      </w:pPr>
    </w:p>
    <w:tbl>
      <w:tblPr>
        <w:tblW w:type="auto" w:w="0"/>
        <w:jc w:val="center"/>
        <w:tblLook w:firstColumn="1" w:firstRow="1" w:lastColumn="0" w:lastRow="0" w:noHBand="0" w:noVBand="1" w:val="04A0"/>
      </w:tblPr>
      <w:tblGrid>
        <w:gridCol w:w="9792"/>
      </w:tblGrid>
      <w:tr>
        <w:tc>
          <w:tcPr>
            <w:tcW w:type="dxa" w:w="9792"/>
            <w:shd w:fill="EBF3FB"/>
            <w:tcMar>
              <w:top w:w="140" w:type="dxa"/>
              <w:bottom w:w="140" w:type="dxa"/>
              <w:left w:w="200" w:type="dxa"/>
              <w:right w:w="180" w:type="dxa"/>
            </w:tcMar>
            <w:tcBorders>
              <w:left w:val="single" w:sz="24" w:space="0" w:color="003366"/>
              <w:top w:val="none"/>
              <w:bottom w:val="none"/>
              <w:right w:val="none"/>
            </w:tcBorders>
          </w:tcPr>
          <w:p>
            <w:pPr>
              <w:spacing w:before="40" w:after="60" w:line="276" w:lineRule="auto"/>
            </w:pPr>
            <w:r>
              <w:rPr>
                <w:rFonts w:ascii="Calibri" w:hAnsi="Calibri"/>
                <w:b/>
                <w:color w:val="003366"/>
                <w:sz w:val="20"/>
              </w:rPr>
              <w:t>📌 Methodischer Fachhinweis zur Binärumrechnung (IEC 80000-13)</w:t>
              <w:br/>
            </w:r>
            <w:r>
              <w:rPr>
                <w:rFonts w:ascii="Calibri" w:hAnsi="Calibri"/>
                <w:color w:val="222222"/>
                <w:sz w:val="19"/>
              </w:rPr>
              <w:t>In der professionellen IT-Planung muss zwingend zwischen dezimalen SI-Präfixen (1 GB = 1.000 MB = 10^9 Byte) und binären IEC-Präfixen (1 GiB = 1.024 MiB = 2^30 Byte) differenziert werden.</w:t>
              <w:br/>
            </w:r>
            <w:r>
              <w:rPr>
                <w:rFonts w:ascii="Calibri" w:hAnsi="Calibri"/>
                <w:color w:val="222222"/>
                <w:sz w:val="19"/>
              </w:rPr>
              <w:t>Fileserver-Dateisysteme (z. B. NTFS, ReFS, ZFS) verwalten Speicherblöcke binär. Hätte man fälschlicherweise dezimal durch 1.000 geteilt (364 GB), stünden dem Kunden real nur rund 339 GiB zur Verfügung – ein Defizit von über 24 GiB physischem Speicher!</w:t>
              <w:br/>
            </w:r>
            <w:r>
              <w:rPr>
                <w:rFonts w:ascii="Calibri" w:hAnsi="Calibri"/>
                <w:color w:val="222222"/>
                <w:sz w:val="19"/>
              </w:rPr>
              <w:t>Für den Kunden VektorPlan GmbH wird ein RAID-10 Verbund mit 4× 1,92 TB Enterprise-NVMe-SSDs empfohlen. Dies deckt das erste Quartal (445 GiB) zu 100 % ab und bietet ausreichend Reserve für den 3-Jahres-Horizont (ca. 5,34 TiB kumuliert).</w:t>
            </w:r>
          </w:p>
        </w:tc>
      </w:tr>
    </w:tbl>
    <w:p>
      <w:pPr>
        <w:spacing w:after="120"/>
      </w:pPr>
    </w:p>
    <w:p>
      <w:pPr>
        <w:spacing w:before="200" w:after="80" w:line="276" w:lineRule="auto"/>
      </w:pPr>
      <w:r>
        <w:rPr>
          <w:rFonts w:ascii="Calibri" w:hAnsi="Calibri"/>
          <w:b/>
          <w:color w:val="006699"/>
          <w:sz w:val="25"/>
        </w:rPr>
        <w:t>2.2 B.2 Energiekosten-Kalkulation</w:t>
      </w:r>
    </w:p>
    <w:p>
      <w:pPr>
        <w:spacing w:before="0" w:after="100" w:line="276" w:lineRule="auto"/>
      </w:pPr>
      <w:r>
        <w:rPr>
          <w:rFonts w:ascii="Calibri" w:hAnsi="Calibri"/>
          <w:color w:val="222222"/>
          <w:sz w:val="20"/>
        </w:rPr>
        <w:t>Zur Ermittlung der Betriebskosten (OPEX) wird der Energiebedarf aller 16 Systeme (inklusive je 2 Monitore) bei 220 Arbeitstagen, 8,5 Stunden täglicher Laufzeit und einem Strompreis von 0,32 €/kWh kalkuliert.</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1958"/>
        <w:gridCol w:w="1958"/>
        <w:gridCol w:w="1958"/>
        <w:gridCol w:w="1958"/>
        <w:gridCol w:w="1958"/>
      </w:tblGrid>
      <w:tr>
        <w:trPr>
          <w:tblHeader/>
        </w:trPr>
        <w:tc>
          <w:tcPr>
            <w:tcW w:type="dxa" w:w="3600"/>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Arbeitsplatztyp / Parameter</w:t>
            </w:r>
          </w:p>
        </w:tc>
        <w:tc>
          <w:tcPr>
            <w:tcW w:type="dxa" w:w="1584"/>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Leistung / AP</w:t>
            </w:r>
          </w:p>
        </w:tc>
        <w:tc>
          <w:tcPr>
            <w:tcW w:type="dxa" w:w="1584"/>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Summe Watt</w:t>
            </w:r>
          </w:p>
        </w:tc>
        <w:tc>
          <w:tcPr>
            <w:tcW w:type="dxa" w:w="1728"/>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kW bzw. Jahreswert</w:t>
            </w:r>
          </w:p>
        </w:tc>
        <w:tc>
          <w:tcPr>
            <w:tcW w:type="dxa" w:w="1296"/>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Anteil</w:t>
            </w:r>
          </w:p>
        </w:tc>
      </w:tr>
      <w:tr>
        <w:tc>
          <w:tcPr>
            <w:tcW w:type="dxa" w:w="3600"/>
            <w:tcMar>
              <w:top w:w="80" w:type="dxa"/>
              <w:bottom w:w="80" w:type="dxa"/>
              <w:left w:w="120" w:type="dxa"/>
              <w:right w:w="120" w:type="dxa"/>
            </w:tcMar>
          </w:tcPr>
          <w:p>
            <w:pPr>
              <w:spacing w:before="0" w:after="0" w:line="276" w:lineRule="auto"/>
              <w:jc w:val="left"/>
            </w:pPr>
            <w:r>
              <w:rPr>
                <w:rFonts w:ascii="Calibri" w:hAnsi="Calibri"/>
                <w:color w:val="222222"/>
                <w:sz w:val="18"/>
              </w:rPr>
              <w:t>12 Standard-Büro-PCs (inkl. 2 Monitore)</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140 W</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1.680 W</w:t>
            </w:r>
          </w:p>
        </w:tc>
        <w:tc>
          <w:tcPr>
            <w:tcW w:type="dxa" w:w="1728"/>
            <w:tcMar>
              <w:top w:w="80" w:type="dxa"/>
              <w:bottom w:w="80" w:type="dxa"/>
              <w:left w:w="120" w:type="dxa"/>
              <w:right w:w="120" w:type="dxa"/>
            </w:tcMar>
          </w:tcPr>
          <w:p>
            <w:pPr>
              <w:spacing w:before="0" w:after="0" w:line="276" w:lineRule="auto"/>
              <w:jc w:val="right"/>
            </w:pPr>
            <w:r>
              <w:rPr>
                <w:rFonts w:ascii="Calibri" w:hAnsi="Calibri"/>
                <w:color w:val="222222"/>
                <w:sz w:val="18"/>
              </w:rPr>
              <w:t>1,68 kW</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56,76 %</w:t>
            </w:r>
          </w:p>
        </w:tc>
      </w:tr>
      <w:tr>
        <w:tc>
          <w:tcPr>
            <w:tcW w:type="dxa" w:w="3600"/>
            <w:shd w:fill="F4F6F9"/>
            <w:tcMar>
              <w:top w:w="80" w:type="dxa"/>
              <w:bottom w:w="80" w:type="dxa"/>
              <w:left w:w="120" w:type="dxa"/>
              <w:right w:w="120" w:type="dxa"/>
            </w:tcMar>
          </w:tcPr>
          <w:p>
            <w:pPr>
              <w:spacing w:before="0" w:after="0" w:line="276" w:lineRule="auto"/>
              <w:jc w:val="left"/>
            </w:pPr>
            <w:r>
              <w:rPr>
                <w:rFonts w:ascii="Calibri" w:hAnsi="Calibri"/>
                <w:color w:val="222222"/>
                <w:sz w:val="18"/>
              </w:rPr>
              <w:t>4 CAD-/BIM-Workstations (inkl. 2 Monitore)</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320 W</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1.280 W</w:t>
            </w:r>
          </w:p>
        </w:tc>
        <w:tc>
          <w:tcPr>
            <w:tcW w:type="dxa" w:w="1728"/>
            <w:shd w:fill="F4F6F9"/>
            <w:tcMar>
              <w:top w:w="80" w:type="dxa"/>
              <w:bottom w:w="80" w:type="dxa"/>
              <w:left w:w="120" w:type="dxa"/>
              <w:right w:w="120" w:type="dxa"/>
            </w:tcMar>
          </w:tcPr>
          <w:p>
            <w:pPr>
              <w:spacing w:before="0" w:after="0" w:line="276" w:lineRule="auto"/>
              <w:jc w:val="right"/>
            </w:pPr>
            <w:r>
              <w:rPr>
                <w:rFonts w:ascii="Calibri" w:hAnsi="Calibri"/>
                <w:color w:val="222222"/>
                <w:sz w:val="18"/>
              </w:rPr>
              <w:t>1,28 kW</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43,24 %</w:t>
            </w:r>
          </w:p>
        </w:tc>
      </w:tr>
      <w:tr>
        <w:tc>
          <w:tcPr>
            <w:tcW w:type="dxa" w:w="3600"/>
            <w:tcMar>
              <w:top w:w="80" w:type="dxa"/>
              <w:bottom w:w="80" w:type="dxa"/>
              <w:left w:w="120" w:type="dxa"/>
              <w:right w:w="120" w:type="dxa"/>
            </w:tcMar>
          </w:tcPr>
          <w:p>
            <w:pPr>
              <w:spacing w:before="0" w:after="0" w:line="276" w:lineRule="auto"/>
              <w:jc w:val="left"/>
            </w:pPr>
            <w:r>
              <w:rPr>
                <w:rFonts w:ascii="Calibri" w:hAnsi="Calibri"/>
                <w:color w:val="222222"/>
                <w:sz w:val="18"/>
              </w:rPr>
              <w:t>GESAMTLEISTUNG ALLER 16 ARBEITSPLÄTZE</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2.960 W</w:t>
            </w:r>
          </w:p>
        </w:tc>
        <w:tc>
          <w:tcPr>
            <w:tcW w:type="dxa" w:w="1728"/>
            <w:tcMar>
              <w:top w:w="80" w:type="dxa"/>
              <w:bottom w:w="80" w:type="dxa"/>
              <w:left w:w="120" w:type="dxa"/>
              <w:right w:w="120" w:type="dxa"/>
            </w:tcMar>
          </w:tcPr>
          <w:p>
            <w:pPr>
              <w:spacing w:before="0" w:after="0" w:line="276" w:lineRule="auto"/>
              <w:jc w:val="right"/>
            </w:pPr>
            <w:r>
              <w:rPr>
                <w:rFonts w:ascii="Calibri" w:hAnsi="Calibri"/>
                <w:color w:val="222222"/>
                <w:sz w:val="18"/>
              </w:rPr>
              <w:t>2,96 kW</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100,00 %</w:t>
            </w:r>
          </w:p>
        </w:tc>
      </w:tr>
      <w:tr>
        <w:tc>
          <w:tcPr>
            <w:tcW w:type="dxa" w:w="3600"/>
            <w:shd w:fill="F4F6F9"/>
            <w:tcMar>
              <w:top w:w="80" w:type="dxa"/>
              <w:bottom w:w="80" w:type="dxa"/>
              <w:left w:w="120" w:type="dxa"/>
              <w:right w:w="120" w:type="dxa"/>
            </w:tcMar>
          </w:tcPr>
          <w:p>
            <w:pPr>
              <w:spacing w:before="0" w:after="0" w:line="276" w:lineRule="auto"/>
              <w:jc w:val="left"/>
            </w:pPr>
            <w:r>
              <w:rPr>
                <w:rFonts w:ascii="Calibri" w:hAnsi="Calibri"/>
                <w:color w:val="222222"/>
                <w:sz w:val="18"/>
              </w:rPr>
              <w:t>Betriebsstunden pro Jahr (220 Tage × 8,5 h)</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728"/>
            <w:shd w:fill="F4F6F9"/>
            <w:tcMar>
              <w:top w:w="80" w:type="dxa"/>
              <w:bottom w:w="80" w:type="dxa"/>
              <w:left w:w="120" w:type="dxa"/>
              <w:right w:w="120" w:type="dxa"/>
            </w:tcMar>
          </w:tcPr>
          <w:p>
            <w:pPr>
              <w:spacing w:before="0" w:after="0" w:line="276" w:lineRule="auto"/>
              <w:jc w:val="right"/>
            </w:pPr>
            <w:r>
              <w:rPr>
                <w:rFonts w:ascii="Calibri" w:hAnsi="Calibri"/>
                <w:color w:val="222222"/>
                <w:sz w:val="18"/>
              </w:rPr>
              <w:t>1.870 h/a</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Vollast-Arbeitszeit</w:t>
            </w:r>
          </w:p>
        </w:tc>
      </w:tr>
      <w:tr>
        <w:tc>
          <w:tcPr>
            <w:tcW w:type="dxa" w:w="3600"/>
            <w:tcMar>
              <w:top w:w="80" w:type="dxa"/>
              <w:bottom w:w="80" w:type="dxa"/>
              <w:left w:w="120" w:type="dxa"/>
              <w:right w:w="120" w:type="dxa"/>
            </w:tcMar>
          </w:tcPr>
          <w:p>
            <w:pPr>
              <w:spacing w:before="0" w:after="0" w:line="276" w:lineRule="auto"/>
              <w:jc w:val="left"/>
            </w:pPr>
            <w:r>
              <w:rPr>
                <w:rFonts w:ascii="Calibri" w:hAnsi="Calibri"/>
                <w:color w:val="222222"/>
                <w:sz w:val="18"/>
              </w:rPr>
              <w:t>Jahresstromverbrauch (2,96 kW × 1.870 h)</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728"/>
            <w:tcMar>
              <w:top w:w="80" w:type="dxa"/>
              <w:bottom w:w="80" w:type="dxa"/>
              <w:left w:w="120" w:type="dxa"/>
              <w:right w:w="120" w:type="dxa"/>
            </w:tcMar>
          </w:tcPr>
          <w:p>
            <w:pPr>
              <w:spacing w:before="0" w:after="0" w:line="276" w:lineRule="auto"/>
              <w:jc w:val="right"/>
            </w:pPr>
            <w:r>
              <w:rPr>
                <w:rFonts w:ascii="Calibri" w:hAnsi="Calibri"/>
                <w:color w:val="222222"/>
                <w:sz w:val="18"/>
              </w:rPr>
              <w:t>5.535,20 kWh</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5,54 MWh / Jahr</w:t>
            </w:r>
          </w:p>
        </w:tc>
      </w:tr>
      <w:tr>
        <w:tc>
          <w:tcPr>
            <w:tcW w:type="dxa" w:w="3600"/>
            <w:shd w:fill="F4F6F9"/>
            <w:tcMar>
              <w:top w:w="80" w:type="dxa"/>
              <w:bottom w:w="80" w:type="dxa"/>
              <w:left w:w="120" w:type="dxa"/>
              <w:right w:w="120" w:type="dxa"/>
            </w:tcMar>
          </w:tcPr>
          <w:p>
            <w:pPr>
              <w:spacing w:before="0" w:after="0" w:line="276" w:lineRule="auto"/>
              <w:jc w:val="left"/>
            </w:pPr>
            <w:r>
              <w:rPr>
                <w:rFonts w:ascii="Calibri" w:hAnsi="Calibri"/>
                <w:color w:val="222222"/>
                <w:sz w:val="18"/>
              </w:rPr>
              <w:t>Stromarbeitspreis (netto)</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728"/>
            <w:shd w:fill="F4F6F9"/>
            <w:tcMar>
              <w:top w:w="80" w:type="dxa"/>
              <w:bottom w:w="80" w:type="dxa"/>
              <w:left w:w="120" w:type="dxa"/>
              <w:right w:w="120" w:type="dxa"/>
            </w:tcMar>
          </w:tcPr>
          <w:p>
            <w:pPr>
              <w:spacing w:before="0" w:after="0" w:line="276" w:lineRule="auto"/>
              <w:jc w:val="right"/>
            </w:pPr>
            <w:r>
              <w:rPr>
                <w:rFonts w:ascii="Calibri" w:hAnsi="Calibri"/>
                <w:color w:val="222222"/>
                <w:sz w:val="18"/>
              </w:rPr>
              <w:t>0,32 €/kWh</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Gewerbestromtarif</w:t>
            </w:r>
          </w:p>
        </w:tc>
      </w:tr>
      <w:tr>
        <w:tc>
          <w:tcPr>
            <w:tcW w:type="dxa" w:w="3600"/>
            <w:tcMar>
              <w:top w:w="80" w:type="dxa"/>
              <w:bottom w:w="80" w:type="dxa"/>
              <w:left w:w="120" w:type="dxa"/>
              <w:right w:w="120" w:type="dxa"/>
            </w:tcMar>
          </w:tcPr>
          <w:p>
            <w:pPr>
              <w:spacing w:before="0" w:after="0" w:line="276" w:lineRule="auto"/>
              <w:jc w:val="left"/>
            </w:pPr>
            <w:r>
              <w:rPr>
                <w:rFonts w:ascii="Calibri" w:hAnsi="Calibri"/>
                <w:color w:val="222222"/>
                <w:sz w:val="18"/>
              </w:rPr>
              <w:t>JÄHRLICHE ENERGIEKOSTEN GESAMT</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728"/>
            <w:tcMar>
              <w:top w:w="80" w:type="dxa"/>
              <w:bottom w:w="80" w:type="dxa"/>
              <w:left w:w="120" w:type="dxa"/>
              <w:right w:w="120" w:type="dxa"/>
            </w:tcMar>
          </w:tcPr>
          <w:p>
            <w:pPr>
              <w:spacing w:before="0" w:after="0" w:line="276" w:lineRule="auto"/>
              <w:jc w:val="right"/>
            </w:pPr>
            <w:r>
              <w:rPr>
                <w:rFonts w:ascii="Calibri" w:hAnsi="Calibri"/>
                <w:color w:val="222222"/>
                <w:sz w:val="18"/>
              </w:rPr>
              <w:t>1.771,26 €</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Aufteilung siehe unten</w:t>
            </w:r>
          </w:p>
        </w:tc>
      </w:tr>
    </w:tbl>
    <w:p>
      <w:pPr>
        <w:spacing w:after="120"/>
      </w:pPr>
    </w:p>
    <w:p>
      <w:pPr>
        <w:spacing w:before="0" w:after="100" w:line="276" w:lineRule="auto"/>
      </w:pPr>
      <w:r>
        <w:rPr>
          <w:rFonts w:ascii="Calibri" w:hAnsi="Calibri"/>
          <w:b/>
          <w:color w:val="222222"/>
          <w:sz w:val="20"/>
        </w:rPr>
        <w:t xml:space="preserve">Detaillierte Kostenaufteilung: </w:t>
      </w:r>
      <w:r>
        <w:rPr>
          <w:rFonts w:ascii="Calibri" w:hAnsi="Calibri"/>
          <w:color w:val="222222"/>
          <w:sz w:val="20"/>
        </w:rPr>
        <w:t>Kostenverteilung nach Arbeitsplatzkategorie:</w:t>
      </w:r>
    </w:p>
    <w:p>
      <w:pPr>
        <w:pStyle w:val="ListBullet"/>
        <w:spacing w:before="0" w:after="60" w:line="276" w:lineRule="auto"/>
      </w:pPr>
      <w:r>
        <w:rPr>
          <w:rFonts w:ascii="Calibri" w:hAnsi="Calibri"/>
          <w:b/>
          <w:color w:val="222222"/>
          <w:sz w:val="20"/>
        </w:rPr>
        <w:t xml:space="preserve">Standard-Büro (12 AP): </w:t>
      </w:r>
      <w:r>
        <w:rPr>
          <w:rFonts w:ascii="Calibri" w:hAnsi="Calibri"/>
          <w:color w:val="222222"/>
          <w:sz w:val="20"/>
        </w:rPr>
        <w:t>1,68 kW × 1.870 h = 3.141,60 kWh/a → 1.005,31 € netto pro Jahr (83,78 € pro Standard-AP/a).</w:t>
      </w:r>
    </w:p>
    <w:p>
      <w:pPr>
        <w:pStyle w:val="ListBullet"/>
        <w:spacing w:before="0" w:after="60" w:line="276" w:lineRule="auto"/>
      </w:pPr>
      <w:r>
        <w:rPr>
          <w:rFonts w:ascii="Calibri" w:hAnsi="Calibri"/>
          <w:b/>
          <w:color w:val="222222"/>
          <w:sz w:val="20"/>
        </w:rPr>
        <w:t xml:space="preserve">CAD-Workstations (4 AP): </w:t>
      </w:r>
      <w:r>
        <w:rPr>
          <w:rFonts w:ascii="Calibri" w:hAnsi="Calibri"/>
          <w:color w:val="222222"/>
          <w:sz w:val="20"/>
        </w:rPr>
        <w:t>1,28 kW × 1.870 h = 2.393,60 kWh/a → 765,95 € netto pro Jahr (191,49 € pro CAD-Workstation/a).</w:t>
      </w:r>
    </w:p>
    <w:p>
      <w:pPr>
        <w:pStyle w:val="ListBullet"/>
        <w:spacing w:before="0" w:after="60" w:line="276" w:lineRule="auto"/>
      </w:pPr>
      <w:r>
        <w:rPr>
          <w:rFonts w:ascii="Calibri" w:hAnsi="Calibri"/>
          <w:b/>
          <w:color w:val="222222"/>
          <w:sz w:val="20"/>
        </w:rPr>
        <w:t xml:space="preserve">Einsparpotenzial: </w:t>
      </w:r>
      <w:r>
        <w:rPr>
          <w:rFonts w:ascii="Calibri" w:hAnsi="Calibri"/>
          <w:color w:val="222222"/>
          <w:sz w:val="20"/>
        </w:rPr>
        <w:t>Durch die Aktivierung von Windows-Energiesparplänen (Display-Standby nach 10 Minuten, Sleep nach 30 Minuten Inaktivität) können bei VektorPlan ca. 15–20 % der Energiekosten (ca. 265–350 € jährlich) eingespart werden.</w:t>
      </w:r>
    </w:p>
    <w:p>
      <w:pPr>
        <w:spacing w:before="280" w:after="120" w:line="276" w:lineRule="auto"/>
      </w:pPr>
      <w:r>
        <w:rPr>
          <w:rFonts w:ascii="Calibri" w:hAnsi="Calibri"/>
          <w:b/>
          <w:color w:val="003366"/>
          <w:sz w:val="30"/>
        </w:rPr>
        <w:t>3. Projektorganisation, Ablauf- und Terminplanung (Aufgabe 1)</w:t>
      </w:r>
    </w:p>
    <w:p>
      <w:pPr>
        <w:spacing w:before="0" w:after="100" w:line="276" w:lineRule="auto"/>
      </w:pPr>
      <w:r>
        <w:rPr>
          <w:rFonts w:ascii="Calibri" w:hAnsi="Calibri"/>
          <w:color w:val="222222"/>
          <w:sz w:val="20"/>
        </w:rPr>
        <w:t>Um eine termin- und budgetgerechte Umsetzung zu garantieren, wählte das Projektteam ein phasenorientiertes Vorgehensmodell nach DIN 69901 (Klassisches Wasserfallmodell mit Meilensteinen und Qualitäts-Gates).</w:t>
      </w:r>
    </w:p>
    <w:p>
      <w:pPr>
        <w:spacing w:before="200" w:after="80" w:line="276" w:lineRule="auto"/>
      </w:pPr>
      <w:r>
        <w:rPr>
          <w:rFonts w:ascii="Calibri" w:hAnsi="Calibri"/>
          <w:b/>
          <w:color w:val="006699"/>
          <w:sz w:val="25"/>
        </w:rPr>
        <w:t>3.1 Vorgangsliste des Gesamtprojekts</w:t>
      </w:r>
    </w:p>
    <w:p>
      <w:pPr>
        <w:spacing w:before="0" w:after="100" w:line="276" w:lineRule="auto"/>
      </w:pPr>
      <w:r>
        <w:rPr>
          <w:rFonts w:ascii="Calibri" w:hAnsi="Calibri"/>
          <w:color w:val="222222"/>
          <w:sz w:val="20"/>
        </w:rPr>
        <w:t>Das Gesamtprojekt wurde in 14 klar abgegrenzte Vorgänge mit definierten logischen Abhängigkeiten und Verantwortlichkeiten strukturiert:</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1632"/>
        <w:gridCol w:w="1632"/>
        <w:gridCol w:w="1632"/>
        <w:gridCol w:w="1632"/>
        <w:gridCol w:w="1632"/>
        <w:gridCol w:w="1632"/>
      </w:tblGrid>
      <w:tr>
        <w:trPr>
          <w:tblHeader/>
        </w:trPr>
        <w:tc>
          <w:tcPr>
            <w:tcW w:type="dxa" w:w="57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Nr.</w:t>
            </w:r>
          </w:p>
        </w:tc>
        <w:tc>
          <w:tcPr>
            <w:tcW w:type="dxa" w:w="3744"/>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Vorgangsbezeichnung</w:t>
            </w:r>
          </w:p>
        </w:tc>
        <w:tc>
          <w:tcPr>
            <w:tcW w:type="dxa" w:w="1152"/>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Vorgänger</w:t>
            </w:r>
          </w:p>
        </w:tc>
        <w:tc>
          <w:tcPr>
            <w:tcW w:type="dxa" w:w="1008"/>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Nachf.</w:t>
            </w:r>
          </w:p>
        </w:tc>
        <w:tc>
          <w:tcPr>
            <w:tcW w:type="dxa" w:w="864"/>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Dauer</w:t>
            </w:r>
          </w:p>
        </w:tc>
        <w:tc>
          <w:tcPr>
            <w:tcW w:type="dxa" w:w="2448"/>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Verantwortlich</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1</w:t>
            </w:r>
          </w:p>
        </w:tc>
        <w:tc>
          <w:tcPr>
            <w:tcW w:type="dxa" w:w="3744"/>
            <w:tcMar>
              <w:top w:w="80" w:type="dxa"/>
              <w:bottom w:w="80" w:type="dxa"/>
              <w:left w:w="120" w:type="dxa"/>
              <w:right w:w="120" w:type="dxa"/>
            </w:tcMar>
          </w:tcPr>
          <w:p>
            <w:pPr>
              <w:spacing w:before="0" w:after="0" w:line="276" w:lineRule="auto"/>
              <w:jc w:val="left"/>
            </w:pPr>
            <w:r>
              <w:rPr>
                <w:rFonts w:ascii="Calibri" w:hAnsi="Calibri"/>
                <w:color w:val="222222"/>
                <w:sz w:val="18"/>
              </w:rPr>
              <w:t>Projektstart &amp; Kick-off-Meeting</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1008"/>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2448"/>
            <w:tcMar>
              <w:top w:w="80" w:type="dxa"/>
              <w:bottom w:w="80" w:type="dxa"/>
              <w:left w:w="120" w:type="dxa"/>
              <w:right w:w="120" w:type="dxa"/>
            </w:tcMar>
          </w:tcPr>
          <w:p>
            <w:pPr>
              <w:spacing w:before="0" w:after="0" w:line="276" w:lineRule="auto"/>
              <w:jc w:val="left"/>
            </w:pPr>
            <w:r>
              <w:rPr>
                <w:rFonts w:ascii="Calibri" w:hAnsi="Calibri"/>
                <w:color w:val="222222"/>
                <w:sz w:val="18"/>
              </w:rPr>
              <w:t>Jan Kluth</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3744"/>
            <w:shd w:fill="F4F6F9"/>
            <w:tcMar>
              <w:top w:w="80" w:type="dxa"/>
              <w:bottom w:w="80" w:type="dxa"/>
              <w:left w:w="120" w:type="dxa"/>
              <w:right w:w="120" w:type="dxa"/>
            </w:tcMar>
          </w:tcPr>
          <w:p>
            <w:pPr>
              <w:spacing w:before="0" w:after="0" w:line="276" w:lineRule="auto"/>
              <w:jc w:val="left"/>
            </w:pPr>
            <w:r>
              <w:rPr>
                <w:rFonts w:ascii="Calibri" w:hAnsi="Calibri"/>
                <w:color w:val="222222"/>
                <w:sz w:val="18"/>
              </w:rPr>
              <w:t>Anforderungsanalyse &amp; Lastenheft</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w:t>
            </w:r>
          </w:p>
        </w:tc>
        <w:tc>
          <w:tcPr>
            <w:tcW w:type="dxa" w:w="1008"/>
            <w:shd w:fill="F4F6F9"/>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5</w:t>
            </w:r>
          </w:p>
        </w:tc>
        <w:tc>
          <w:tcPr>
            <w:tcW w:type="dxa" w:w="2448"/>
            <w:shd w:fill="F4F6F9"/>
            <w:tcMar>
              <w:top w:w="80" w:type="dxa"/>
              <w:bottom w:w="80" w:type="dxa"/>
              <w:left w:w="120" w:type="dxa"/>
              <w:right w:w="120" w:type="dxa"/>
            </w:tcMar>
          </w:tcPr>
          <w:p>
            <w:pPr>
              <w:spacing w:before="0" w:after="0" w:line="276" w:lineRule="auto"/>
              <w:jc w:val="left"/>
            </w:pPr>
            <w:r>
              <w:rPr>
                <w:rFonts w:ascii="Calibri" w:hAnsi="Calibri"/>
                <w:color w:val="222222"/>
                <w:sz w:val="18"/>
              </w:rPr>
              <w:t>Mathias Vonau</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3744"/>
            <w:tcMar>
              <w:top w:w="80" w:type="dxa"/>
              <w:bottom w:w="80" w:type="dxa"/>
              <w:left w:w="120" w:type="dxa"/>
              <w:right w:w="120" w:type="dxa"/>
            </w:tcMar>
          </w:tcPr>
          <w:p>
            <w:pPr>
              <w:spacing w:before="0" w:after="0" w:line="276" w:lineRule="auto"/>
              <w:jc w:val="left"/>
            </w:pPr>
            <w:r>
              <w:rPr>
                <w:rFonts w:ascii="Calibri" w:hAnsi="Calibri"/>
                <w:color w:val="222222"/>
                <w:sz w:val="18"/>
              </w:rPr>
              <w:t>Marktrecherche &amp; Produktauswahl</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1008"/>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5</w:t>
            </w:r>
          </w:p>
        </w:tc>
        <w:tc>
          <w:tcPr>
            <w:tcW w:type="dxa" w:w="2448"/>
            <w:tcMar>
              <w:top w:w="80" w:type="dxa"/>
              <w:bottom w:w="80" w:type="dxa"/>
              <w:left w:w="120" w:type="dxa"/>
              <w:right w:w="120" w:type="dxa"/>
            </w:tcMar>
          </w:tcPr>
          <w:p>
            <w:pPr>
              <w:spacing w:before="0" w:after="0" w:line="276" w:lineRule="auto"/>
              <w:jc w:val="left"/>
            </w:pPr>
            <w:r>
              <w:rPr>
                <w:rFonts w:ascii="Calibri" w:hAnsi="Calibri"/>
                <w:color w:val="222222"/>
                <w:sz w:val="18"/>
              </w:rPr>
              <w:t>Marian Bolecke</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3744"/>
            <w:shd w:fill="F4F6F9"/>
            <w:tcMar>
              <w:top w:w="80" w:type="dxa"/>
              <w:bottom w:w="80" w:type="dxa"/>
              <w:left w:w="120" w:type="dxa"/>
              <w:right w:w="120" w:type="dxa"/>
            </w:tcMar>
          </w:tcPr>
          <w:p>
            <w:pPr>
              <w:spacing w:before="0" w:after="0" w:line="276" w:lineRule="auto"/>
              <w:jc w:val="left"/>
            </w:pPr>
            <w:r>
              <w:rPr>
                <w:rFonts w:ascii="Calibri" w:hAnsi="Calibri"/>
                <w:color w:val="222222"/>
                <w:sz w:val="18"/>
              </w:rPr>
              <w:t>Nutzwertanalyse (NWA)</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1008"/>
            <w:shd w:fill="F4F6F9"/>
            <w:tcMar>
              <w:top w:w="80" w:type="dxa"/>
              <w:bottom w:w="80" w:type="dxa"/>
              <w:left w:w="120" w:type="dxa"/>
              <w:right w:w="120" w:type="dxa"/>
            </w:tcMar>
          </w:tcPr>
          <w:p>
            <w:pPr>
              <w:spacing w:before="0" w:after="0" w:line="276" w:lineRule="auto"/>
              <w:jc w:val="center"/>
            </w:pPr>
            <w:r>
              <w:rPr>
                <w:rFonts w:ascii="Calibri" w:hAnsi="Calibri"/>
                <w:color w:val="222222"/>
                <w:sz w:val="18"/>
              </w:rPr>
              <w:t>5</w:t>
            </w:r>
          </w:p>
        </w:tc>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2448"/>
            <w:shd w:fill="F4F6F9"/>
            <w:tcMar>
              <w:top w:w="80" w:type="dxa"/>
              <w:bottom w:w="80" w:type="dxa"/>
              <w:left w:w="120" w:type="dxa"/>
              <w:right w:w="120" w:type="dxa"/>
            </w:tcMar>
          </w:tcPr>
          <w:p>
            <w:pPr>
              <w:spacing w:before="0" w:after="0" w:line="276" w:lineRule="auto"/>
              <w:jc w:val="left"/>
            </w:pPr>
            <w:r>
              <w:rPr>
                <w:rFonts w:ascii="Calibri" w:hAnsi="Calibri"/>
                <w:color w:val="222222"/>
                <w:sz w:val="18"/>
              </w:rPr>
              <w:t>Marian Bolecke</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5</w:t>
            </w:r>
          </w:p>
        </w:tc>
        <w:tc>
          <w:tcPr>
            <w:tcW w:type="dxa" w:w="3744"/>
            <w:tcMar>
              <w:top w:w="80" w:type="dxa"/>
              <w:bottom w:w="80" w:type="dxa"/>
              <w:left w:w="120" w:type="dxa"/>
              <w:right w:w="120" w:type="dxa"/>
            </w:tcMar>
          </w:tcPr>
          <w:p>
            <w:pPr>
              <w:spacing w:before="0" w:after="0" w:line="276" w:lineRule="auto"/>
              <w:jc w:val="left"/>
            </w:pPr>
            <w:r>
              <w:rPr>
                <w:rFonts w:ascii="Calibri" w:hAnsi="Calibri"/>
                <w:color w:val="222222"/>
                <w:sz w:val="18"/>
              </w:rPr>
              <w:t>Angebotserstellung &amp; Kalkulation</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1008"/>
            <w:tcMar>
              <w:top w:w="80" w:type="dxa"/>
              <w:bottom w:w="80" w:type="dxa"/>
              <w:left w:w="120" w:type="dxa"/>
              <w:right w:w="120" w:type="dxa"/>
            </w:tcMar>
          </w:tcPr>
          <w:p>
            <w:pPr>
              <w:spacing w:before="0" w:after="0" w:line="276" w:lineRule="auto"/>
              <w:jc w:val="center"/>
            </w:pPr>
            <w:r>
              <w:rPr>
                <w:rFonts w:ascii="Calibri" w:hAnsi="Calibri"/>
                <w:color w:val="222222"/>
                <w:sz w:val="18"/>
              </w:rPr>
              <w:t>6</w:t>
            </w:r>
          </w:p>
        </w:tc>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2448"/>
            <w:tcMar>
              <w:top w:w="80" w:type="dxa"/>
              <w:bottom w:w="80" w:type="dxa"/>
              <w:left w:w="120" w:type="dxa"/>
              <w:right w:w="120" w:type="dxa"/>
            </w:tcMar>
          </w:tcPr>
          <w:p>
            <w:pPr>
              <w:spacing w:before="0" w:after="0" w:line="276" w:lineRule="auto"/>
              <w:jc w:val="left"/>
            </w:pPr>
            <w:r>
              <w:rPr>
                <w:rFonts w:ascii="Calibri" w:hAnsi="Calibri"/>
                <w:color w:val="222222"/>
                <w:sz w:val="18"/>
              </w:rPr>
              <w:t>Marian Bolecke</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6</w:t>
            </w:r>
          </w:p>
        </w:tc>
        <w:tc>
          <w:tcPr>
            <w:tcW w:type="dxa" w:w="3744"/>
            <w:shd w:fill="F4F6F9"/>
            <w:tcMar>
              <w:top w:w="80" w:type="dxa"/>
              <w:bottom w:w="80" w:type="dxa"/>
              <w:left w:w="120" w:type="dxa"/>
              <w:right w:w="120" w:type="dxa"/>
            </w:tcMar>
          </w:tcPr>
          <w:p>
            <w:pPr>
              <w:spacing w:before="0" w:after="0" w:line="276" w:lineRule="auto"/>
              <w:jc w:val="left"/>
            </w:pPr>
            <w:r>
              <w:rPr>
                <w:rFonts w:ascii="Calibri" w:hAnsi="Calibri"/>
                <w:color w:val="222222"/>
                <w:sz w:val="18"/>
              </w:rPr>
              <w:t>Kundenfreigabe &amp; Auftragserteilung</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5</w:t>
            </w:r>
          </w:p>
        </w:tc>
        <w:tc>
          <w:tcPr>
            <w:tcW w:type="dxa" w:w="1008"/>
            <w:shd w:fill="F4F6F9"/>
            <w:tcMar>
              <w:top w:w="80" w:type="dxa"/>
              <w:bottom w:w="80" w:type="dxa"/>
              <w:left w:w="120" w:type="dxa"/>
              <w:right w:w="120" w:type="dxa"/>
            </w:tcMar>
          </w:tcPr>
          <w:p>
            <w:pPr>
              <w:spacing w:before="0" w:after="0" w:line="276" w:lineRule="auto"/>
              <w:jc w:val="center"/>
            </w:pPr>
            <w:r>
              <w:rPr>
                <w:rFonts w:ascii="Calibri" w:hAnsi="Calibri"/>
                <w:color w:val="222222"/>
                <w:sz w:val="18"/>
              </w:rPr>
              <w:t>7</w:t>
            </w:r>
          </w:p>
        </w:tc>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2448"/>
            <w:shd w:fill="F4F6F9"/>
            <w:tcMar>
              <w:top w:w="80" w:type="dxa"/>
              <w:bottom w:w="80" w:type="dxa"/>
              <w:left w:w="120" w:type="dxa"/>
              <w:right w:w="120" w:type="dxa"/>
            </w:tcMar>
          </w:tcPr>
          <w:p>
            <w:pPr>
              <w:spacing w:before="0" w:after="0" w:line="276" w:lineRule="auto"/>
              <w:jc w:val="left"/>
            </w:pPr>
            <w:r>
              <w:rPr>
                <w:rFonts w:ascii="Calibri" w:hAnsi="Calibri"/>
                <w:color w:val="222222"/>
                <w:sz w:val="18"/>
              </w:rPr>
              <w:t>Jan Kluth</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7</w:t>
            </w:r>
          </w:p>
        </w:tc>
        <w:tc>
          <w:tcPr>
            <w:tcW w:type="dxa" w:w="3744"/>
            <w:tcMar>
              <w:top w:w="80" w:type="dxa"/>
              <w:bottom w:w="80" w:type="dxa"/>
              <w:left w:w="120" w:type="dxa"/>
              <w:right w:w="120" w:type="dxa"/>
            </w:tcMar>
          </w:tcPr>
          <w:p>
            <w:pPr>
              <w:spacing w:before="0" w:after="0" w:line="276" w:lineRule="auto"/>
              <w:jc w:val="left"/>
            </w:pPr>
            <w:r>
              <w:rPr>
                <w:rFonts w:ascii="Calibri" w:hAnsi="Calibri"/>
                <w:color w:val="222222"/>
                <w:sz w:val="18"/>
              </w:rPr>
              <w:t>Bestellung &amp; Beschaffung (Lieferzeit)</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6</w:t>
            </w:r>
          </w:p>
        </w:tc>
        <w:tc>
          <w:tcPr>
            <w:tcW w:type="dxa" w:w="1008"/>
            <w:tcMar>
              <w:top w:w="80" w:type="dxa"/>
              <w:bottom w:w="80" w:type="dxa"/>
              <w:left w:w="120" w:type="dxa"/>
              <w:right w:w="120" w:type="dxa"/>
            </w:tcMar>
          </w:tcPr>
          <w:p>
            <w:pPr>
              <w:spacing w:before="0" w:after="0" w:line="276" w:lineRule="auto"/>
              <w:jc w:val="center"/>
            </w:pPr>
            <w:r>
              <w:rPr>
                <w:rFonts w:ascii="Calibri" w:hAnsi="Calibri"/>
                <w:color w:val="222222"/>
                <w:sz w:val="18"/>
              </w:rPr>
              <w:t>8</w:t>
            </w:r>
          </w:p>
        </w:tc>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10</w:t>
            </w:r>
          </w:p>
        </w:tc>
        <w:tc>
          <w:tcPr>
            <w:tcW w:type="dxa" w:w="2448"/>
            <w:tcMar>
              <w:top w:w="80" w:type="dxa"/>
              <w:bottom w:w="80" w:type="dxa"/>
              <w:left w:w="120" w:type="dxa"/>
              <w:right w:w="120" w:type="dxa"/>
            </w:tcMar>
          </w:tcPr>
          <w:p>
            <w:pPr>
              <w:spacing w:before="0" w:after="0" w:line="276" w:lineRule="auto"/>
              <w:jc w:val="left"/>
            </w:pPr>
            <w:r>
              <w:rPr>
                <w:rFonts w:ascii="Calibri" w:hAnsi="Calibri"/>
                <w:color w:val="222222"/>
                <w:sz w:val="18"/>
              </w:rPr>
              <w:t>Marian Bolecke</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w:t>
            </w:r>
          </w:p>
        </w:tc>
        <w:tc>
          <w:tcPr>
            <w:tcW w:type="dxa" w:w="3744"/>
            <w:shd w:fill="F4F6F9"/>
            <w:tcMar>
              <w:top w:w="80" w:type="dxa"/>
              <w:bottom w:w="80" w:type="dxa"/>
              <w:left w:w="120" w:type="dxa"/>
              <w:right w:w="120" w:type="dxa"/>
            </w:tcMar>
          </w:tcPr>
          <w:p>
            <w:pPr>
              <w:spacing w:before="0" w:after="0" w:line="276" w:lineRule="auto"/>
              <w:jc w:val="left"/>
            </w:pPr>
            <w:r>
              <w:rPr>
                <w:rFonts w:ascii="Calibri" w:hAnsi="Calibri"/>
                <w:color w:val="222222"/>
                <w:sz w:val="18"/>
              </w:rPr>
              <w:t>Wareneingangsprüfung (§ 377 HGB)</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7</w:t>
            </w:r>
          </w:p>
        </w:tc>
        <w:tc>
          <w:tcPr>
            <w:tcW w:type="dxa" w:w="1008"/>
            <w:shd w:fill="F4F6F9"/>
            <w:tcMar>
              <w:top w:w="80" w:type="dxa"/>
              <w:bottom w:w="80" w:type="dxa"/>
              <w:left w:w="120" w:type="dxa"/>
              <w:right w:w="120" w:type="dxa"/>
            </w:tcMar>
          </w:tcPr>
          <w:p>
            <w:pPr>
              <w:spacing w:before="0" w:after="0" w:line="276" w:lineRule="auto"/>
              <w:jc w:val="center"/>
            </w:pPr>
            <w:r>
              <w:rPr>
                <w:rFonts w:ascii="Calibri" w:hAnsi="Calibri"/>
                <w:color w:val="222222"/>
                <w:sz w:val="18"/>
              </w:rPr>
              <w:t>9, 10</w:t>
            </w:r>
          </w:p>
        </w:tc>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2448"/>
            <w:shd w:fill="F4F6F9"/>
            <w:tcMar>
              <w:top w:w="80" w:type="dxa"/>
              <w:bottom w:w="80" w:type="dxa"/>
              <w:left w:w="120" w:type="dxa"/>
              <w:right w:w="120" w:type="dxa"/>
            </w:tcMar>
          </w:tcPr>
          <w:p>
            <w:pPr>
              <w:spacing w:before="0" w:after="0" w:line="276" w:lineRule="auto"/>
              <w:jc w:val="left"/>
            </w:pPr>
            <w:r>
              <w:rPr>
                <w:rFonts w:ascii="Calibri" w:hAnsi="Calibri"/>
                <w:color w:val="222222"/>
                <w:sz w:val="18"/>
              </w:rPr>
              <w:t>Marco Schmidt</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9</w:t>
            </w:r>
          </w:p>
        </w:tc>
        <w:tc>
          <w:tcPr>
            <w:tcW w:type="dxa" w:w="3744"/>
            <w:tcMar>
              <w:top w:w="80" w:type="dxa"/>
              <w:bottom w:w="80" w:type="dxa"/>
              <w:left w:w="120" w:type="dxa"/>
              <w:right w:w="120" w:type="dxa"/>
            </w:tcMar>
          </w:tcPr>
          <w:p>
            <w:pPr>
              <w:spacing w:before="0" w:after="0" w:line="276" w:lineRule="auto"/>
              <w:jc w:val="left"/>
            </w:pPr>
            <w:r>
              <w:rPr>
                <w:rFonts w:ascii="Calibri" w:hAnsi="Calibri"/>
                <w:color w:val="222222"/>
                <w:sz w:val="18"/>
              </w:rPr>
              <w:t>Labor-Vorinstallation &amp; Imaging</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8</w:t>
            </w:r>
          </w:p>
        </w:tc>
        <w:tc>
          <w:tcPr>
            <w:tcW w:type="dxa" w:w="1008"/>
            <w:tcMar>
              <w:top w:w="80" w:type="dxa"/>
              <w:bottom w:w="80" w:type="dxa"/>
              <w:left w:w="120" w:type="dxa"/>
              <w:right w:w="120" w:type="dxa"/>
            </w:tcMar>
          </w:tcPr>
          <w:p>
            <w:pPr>
              <w:spacing w:before="0" w:after="0" w:line="276" w:lineRule="auto"/>
              <w:jc w:val="center"/>
            </w:pPr>
            <w:r>
              <w:rPr>
                <w:rFonts w:ascii="Calibri" w:hAnsi="Calibri"/>
                <w:color w:val="222222"/>
                <w:sz w:val="18"/>
              </w:rPr>
              <w:t>11</w:t>
            </w:r>
          </w:p>
        </w:tc>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5</w:t>
            </w:r>
          </w:p>
        </w:tc>
        <w:tc>
          <w:tcPr>
            <w:tcW w:type="dxa" w:w="2448"/>
            <w:tcMar>
              <w:top w:w="80" w:type="dxa"/>
              <w:bottom w:w="80" w:type="dxa"/>
              <w:left w:w="120" w:type="dxa"/>
              <w:right w:w="120" w:type="dxa"/>
            </w:tcMar>
          </w:tcPr>
          <w:p>
            <w:pPr>
              <w:spacing w:before="0" w:after="0" w:line="276" w:lineRule="auto"/>
              <w:jc w:val="left"/>
            </w:pPr>
            <w:r>
              <w:rPr>
                <w:rFonts w:ascii="Calibri" w:hAnsi="Calibri"/>
                <w:color w:val="222222"/>
                <w:sz w:val="18"/>
              </w:rPr>
              <w:t>Mathias Vonau</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10</w:t>
            </w:r>
          </w:p>
        </w:tc>
        <w:tc>
          <w:tcPr>
            <w:tcW w:type="dxa" w:w="3744"/>
            <w:shd w:fill="F4F6F9"/>
            <w:tcMar>
              <w:top w:w="80" w:type="dxa"/>
              <w:bottom w:w="80" w:type="dxa"/>
              <w:left w:w="120" w:type="dxa"/>
              <w:right w:w="120" w:type="dxa"/>
            </w:tcMar>
          </w:tcPr>
          <w:p>
            <w:pPr>
              <w:spacing w:before="0" w:after="0" w:line="276" w:lineRule="auto"/>
              <w:jc w:val="left"/>
            </w:pPr>
            <w:r>
              <w:rPr>
                <w:rFonts w:ascii="Calibri" w:hAnsi="Calibri"/>
                <w:color w:val="222222"/>
                <w:sz w:val="18"/>
              </w:rPr>
              <w:t>Fachgerechte Entsorgung Altdrucker</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w:t>
            </w:r>
          </w:p>
        </w:tc>
        <w:tc>
          <w:tcPr>
            <w:tcW w:type="dxa" w:w="1008"/>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12</w:t>
            </w:r>
          </w:p>
        </w:tc>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2448"/>
            <w:shd w:fill="F4F6F9"/>
            <w:tcMar>
              <w:top w:w="80" w:type="dxa"/>
              <w:bottom w:w="80" w:type="dxa"/>
              <w:left w:w="120" w:type="dxa"/>
              <w:right w:w="120" w:type="dxa"/>
            </w:tcMar>
          </w:tcPr>
          <w:p>
            <w:pPr>
              <w:spacing w:before="0" w:after="0" w:line="276" w:lineRule="auto"/>
              <w:jc w:val="left"/>
            </w:pPr>
            <w:r>
              <w:rPr>
                <w:rFonts w:ascii="Calibri" w:hAnsi="Calibri"/>
                <w:color w:val="222222"/>
                <w:sz w:val="18"/>
              </w:rPr>
              <w:t>Marco Schmidt</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11</w:t>
            </w:r>
          </w:p>
        </w:tc>
        <w:tc>
          <w:tcPr>
            <w:tcW w:type="dxa" w:w="3744"/>
            <w:tcMar>
              <w:top w:w="80" w:type="dxa"/>
              <w:bottom w:w="80" w:type="dxa"/>
              <w:left w:w="120" w:type="dxa"/>
              <w:right w:w="120" w:type="dxa"/>
            </w:tcMar>
          </w:tcPr>
          <w:p>
            <w:pPr>
              <w:spacing w:before="0" w:after="0" w:line="276" w:lineRule="auto"/>
              <w:jc w:val="left"/>
            </w:pPr>
            <w:r>
              <w:rPr>
                <w:rFonts w:ascii="Calibri" w:hAnsi="Calibri"/>
                <w:color w:val="222222"/>
                <w:sz w:val="18"/>
              </w:rPr>
              <w:t>Lieferung, Montage &amp; Verkabelung vor Ort</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9</w:t>
            </w:r>
          </w:p>
        </w:tc>
        <w:tc>
          <w:tcPr>
            <w:tcW w:type="dxa" w:w="1008"/>
            <w:tcMar>
              <w:top w:w="80" w:type="dxa"/>
              <w:bottom w:w="80" w:type="dxa"/>
              <w:left w:w="120" w:type="dxa"/>
              <w:right w:w="120" w:type="dxa"/>
            </w:tcMar>
          </w:tcPr>
          <w:p>
            <w:pPr>
              <w:spacing w:before="0" w:after="0" w:line="276" w:lineRule="auto"/>
              <w:jc w:val="center"/>
            </w:pPr>
            <w:r>
              <w:rPr>
                <w:rFonts w:ascii="Calibri" w:hAnsi="Calibri"/>
                <w:color w:val="222222"/>
                <w:sz w:val="18"/>
              </w:rPr>
              <w:t>12</w:t>
            </w:r>
          </w:p>
        </w:tc>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2448"/>
            <w:tcMar>
              <w:top w:w="80" w:type="dxa"/>
              <w:bottom w:w="80" w:type="dxa"/>
              <w:left w:w="120" w:type="dxa"/>
              <w:right w:w="120" w:type="dxa"/>
            </w:tcMar>
          </w:tcPr>
          <w:p>
            <w:pPr>
              <w:spacing w:before="0" w:after="0" w:line="276" w:lineRule="auto"/>
              <w:jc w:val="left"/>
            </w:pPr>
            <w:r>
              <w:rPr>
                <w:rFonts w:ascii="Calibri" w:hAnsi="Calibri"/>
                <w:color w:val="222222"/>
                <w:sz w:val="18"/>
              </w:rPr>
              <w:t>Mathias / Siyar</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12</w:t>
            </w:r>
          </w:p>
        </w:tc>
        <w:tc>
          <w:tcPr>
            <w:tcW w:type="dxa" w:w="3744"/>
            <w:shd w:fill="F4F6F9"/>
            <w:tcMar>
              <w:top w:w="80" w:type="dxa"/>
              <w:bottom w:w="80" w:type="dxa"/>
              <w:left w:w="120" w:type="dxa"/>
              <w:right w:w="120" w:type="dxa"/>
            </w:tcMar>
          </w:tcPr>
          <w:p>
            <w:pPr>
              <w:spacing w:before="0" w:after="0" w:line="276" w:lineRule="auto"/>
              <w:jc w:val="left"/>
            </w:pPr>
            <w:r>
              <w:rPr>
                <w:rFonts w:ascii="Calibri" w:hAnsi="Calibri"/>
                <w:color w:val="222222"/>
                <w:sz w:val="18"/>
              </w:rPr>
              <w:t>Funktionstest &amp; Endabnahme</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10, 11</w:t>
            </w:r>
          </w:p>
        </w:tc>
        <w:tc>
          <w:tcPr>
            <w:tcW w:type="dxa" w:w="1008"/>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13</w:t>
            </w:r>
          </w:p>
        </w:tc>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2448"/>
            <w:shd w:fill="F4F6F9"/>
            <w:tcMar>
              <w:top w:w="80" w:type="dxa"/>
              <w:bottom w:w="80" w:type="dxa"/>
              <w:left w:w="120" w:type="dxa"/>
              <w:right w:w="120" w:type="dxa"/>
            </w:tcMar>
          </w:tcPr>
          <w:p>
            <w:pPr>
              <w:spacing w:before="0" w:after="0" w:line="276" w:lineRule="auto"/>
              <w:jc w:val="left"/>
            </w:pPr>
            <w:r>
              <w:rPr>
                <w:rFonts w:ascii="Calibri" w:hAnsi="Calibri"/>
                <w:color w:val="222222"/>
                <w:sz w:val="18"/>
              </w:rPr>
              <w:t>Gesamtes Team</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13</w:t>
            </w:r>
          </w:p>
        </w:tc>
        <w:tc>
          <w:tcPr>
            <w:tcW w:type="dxa" w:w="3744"/>
            <w:tcMar>
              <w:top w:w="80" w:type="dxa"/>
              <w:bottom w:w="80" w:type="dxa"/>
              <w:left w:w="120" w:type="dxa"/>
              <w:right w:w="120" w:type="dxa"/>
            </w:tcMar>
          </w:tcPr>
          <w:p>
            <w:pPr>
              <w:spacing w:before="0" w:after="0" w:line="276" w:lineRule="auto"/>
              <w:jc w:val="left"/>
            </w:pPr>
            <w:r>
              <w:rPr>
                <w:rFonts w:ascii="Calibri" w:hAnsi="Calibri"/>
                <w:color w:val="222222"/>
                <w:sz w:val="18"/>
              </w:rPr>
              <w:t>Übergabe &amp; Kundeneinweisung</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12</w:t>
            </w:r>
          </w:p>
        </w:tc>
        <w:tc>
          <w:tcPr>
            <w:tcW w:type="dxa" w:w="1008"/>
            <w:tcMar>
              <w:top w:w="80" w:type="dxa"/>
              <w:bottom w:w="80" w:type="dxa"/>
              <w:left w:w="120" w:type="dxa"/>
              <w:right w:w="120" w:type="dxa"/>
            </w:tcMar>
          </w:tcPr>
          <w:p>
            <w:pPr>
              <w:spacing w:before="0" w:after="0" w:line="276" w:lineRule="auto"/>
              <w:jc w:val="center"/>
            </w:pPr>
            <w:r>
              <w:rPr>
                <w:rFonts w:ascii="Calibri" w:hAnsi="Calibri"/>
                <w:color w:val="222222"/>
                <w:sz w:val="18"/>
              </w:rPr>
              <w:t>14</w:t>
            </w:r>
          </w:p>
        </w:tc>
        <w:tc>
          <w:tcPr>
            <w:tcW w:type="dxa" w:w="864"/>
            <w:tcMar>
              <w:top w:w="80" w:type="dxa"/>
              <w:bottom w:w="80" w:type="dxa"/>
              <w:left w:w="120" w:type="dxa"/>
              <w:right w:w="120" w:type="dxa"/>
            </w:tcMar>
          </w:tcPr>
          <w:p>
            <w:pPr>
              <w:spacing w:before="0" w:after="0" w:line="276" w:lineRule="auto"/>
              <w:jc w:val="center"/>
            </w:pPr>
            <w:r>
              <w:rPr>
                <w:rFonts w:ascii="Calibri" w:hAnsi="Calibri"/>
                <w:color w:val="222222"/>
                <w:sz w:val="18"/>
              </w:rPr>
              <w:t>1</w:t>
            </w:r>
          </w:p>
        </w:tc>
        <w:tc>
          <w:tcPr>
            <w:tcW w:type="dxa" w:w="2448"/>
            <w:tcMar>
              <w:top w:w="80" w:type="dxa"/>
              <w:bottom w:w="80" w:type="dxa"/>
              <w:left w:w="120" w:type="dxa"/>
              <w:right w:w="120" w:type="dxa"/>
            </w:tcMar>
          </w:tcPr>
          <w:p>
            <w:pPr>
              <w:spacing w:before="0" w:after="0" w:line="276" w:lineRule="auto"/>
              <w:jc w:val="left"/>
            </w:pPr>
            <w:r>
              <w:rPr>
                <w:rFonts w:ascii="Calibri" w:hAnsi="Calibri"/>
                <w:color w:val="222222"/>
                <w:sz w:val="18"/>
              </w:rPr>
              <w:t>Jan Kluth</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14</w:t>
            </w:r>
          </w:p>
        </w:tc>
        <w:tc>
          <w:tcPr>
            <w:tcW w:type="dxa" w:w="3744"/>
            <w:shd w:fill="F4F6F9"/>
            <w:tcMar>
              <w:top w:w="80" w:type="dxa"/>
              <w:bottom w:w="80" w:type="dxa"/>
              <w:left w:w="120" w:type="dxa"/>
              <w:right w:w="120" w:type="dxa"/>
            </w:tcMar>
          </w:tcPr>
          <w:p>
            <w:pPr>
              <w:spacing w:before="0" w:after="0" w:line="276" w:lineRule="auto"/>
              <w:jc w:val="left"/>
            </w:pPr>
            <w:r>
              <w:rPr>
                <w:rFonts w:ascii="Calibri" w:hAnsi="Calibri"/>
                <w:color w:val="222222"/>
                <w:sz w:val="18"/>
              </w:rPr>
              <w:t>Projektabschluss &amp; Lessons Learned</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13</w:t>
            </w:r>
          </w:p>
        </w:tc>
        <w:tc>
          <w:tcPr>
            <w:tcW w:type="dxa" w:w="1008"/>
            <w:shd w:fill="F4F6F9"/>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864"/>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w:t>
            </w:r>
          </w:p>
        </w:tc>
        <w:tc>
          <w:tcPr>
            <w:tcW w:type="dxa" w:w="2448"/>
            <w:shd w:fill="F4F6F9"/>
            <w:tcMar>
              <w:top w:w="80" w:type="dxa"/>
              <w:bottom w:w="80" w:type="dxa"/>
              <w:left w:w="120" w:type="dxa"/>
              <w:right w:w="120" w:type="dxa"/>
            </w:tcMar>
          </w:tcPr>
          <w:p>
            <w:pPr>
              <w:spacing w:before="0" w:after="0" w:line="276" w:lineRule="auto"/>
              <w:jc w:val="left"/>
            </w:pPr>
            <w:r>
              <w:rPr>
                <w:rFonts w:ascii="Calibri" w:hAnsi="Calibri"/>
                <w:color w:val="222222"/>
                <w:sz w:val="18"/>
              </w:rPr>
              <w:t>Gesamtes Team</w:t>
            </w:r>
          </w:p>
        </w:tc>
      </w:tr>
    </w:tbl>
    <w:p>
      <w:pPr>
        <w:spacing w:after="120"/>
      </w:pPr>
    </w:p>
    <w:p>
      <w:pPr>
        <w:spacing w:before="200" w:after="80" w:line="276" w:lineRule="auto"/>
      </w:pPr>
      <w:r>
        <w:rPr>
          <w:rFonts w:ascii="Calibri" w:hAnsi="Calibri"/>
          <w:b/>
          <w:color w:val="006699"/>
          <w:sz w:val="25"/>
        </w:rPr>
        <w:t>3.2 DIN 69900 Netzplantechnik &amp; Kritischer Pfad</w:t>
      </w:r>
    </w:p>
    <w:p>
      <w:pPr>
        <w:spacing w:before="0" w:after="100" w:line="276" w:lineRule="auto"/>
      </w:pPr>
      <w:r>
        <w:rPr>
          <w:rFonts w:ascii="Calibri" w:hAnsi="Calibri"/>
          <w:color w:val="222222"/>
          <w:sz w:val="20"/>
        </w:rPr>
        <w:t>Mittels Vorwärts- und Rückwärtsrechnung wurden für alle 14 Knoten der früheste Anfangs- (FAZ), früheste End- (FEZ), späteste Anfangs- (SAZ) und späteste Endzeitpunkt (SEZ) sowie der Gesamtpuffer (GP = SAZ - FAZ) und freie Puffer (FP) ermittelt.</w:t>
      </w:r>
    </w:p>
    <w:p>
      <w:pPr>
        <w:pStyle w:val="ListBullet"/>
        <w:spacing w:before="0" w:after="60" w:line="276" w:lineRule="auto"/>
      </w:pPr>
      <w:r>
        <w:rPr>
          <w:rFonts w:ascii="Calibri" w:hAnsi="Calibri"/>
          <w:b/>
          <w:color w:val="222222"/>
          <w:sz w:val="20"/>
        </w:rPr>
        <w:t xml:space="preserve">Gesamtlaufzeit: </w:t>
      </w:r>
      <w:r>
        <w:rPr>
          <w:rFonts w:ascii="Calibri" w:hAnsi="Calibri"/>
          <w:color w:val="222222"/>
          <w:sz w:val="20"/>
        </w:rPr>
        <w:t>Die Gesamtdauer des Projekts beträgt exakt 46 Arbeitstage.</w:t>
      </w:r>
    </w:p>
    <w:p>
      <w:pPr>
        <w:pStyle w:val="ListBullet"/>
        <w:spacing w:before="0" w:after="60" w:line="276" w:lineRule="auto"/>
      </w:pPr>
      <w:r>
        <w:rPr>
          <w:rFonts w:ascii="Calibri" w:hAnsi="Calibri"/>
          <w:b/>
          <w:color w:val="222222"/>
          <w:sz w:val="20"/>
        </w:rPr>
        <w:t xml:space="preserve">Kritischer Pfad: </w:t>
      </w:r>
      <w:r>
        <w:rPr>
          <w:rFonts w:ascii="Calibri" w:hAnsi="Calibri"/>
          <w:color w:val="222222"/>
          <w:sz w:val="20"/>
        </w:rPr>
        <w:t>Vorgang 1 → 2 → 3 → 4 → 5 → 6 → 7 → 8 → 9 → 11 → 12 → 13 → 14. Bei allen diesen Vorgängen ist GP = 0. Jede Verzögerung auf diesem Pfad führt direkt zur Verzögerung des Übergabetermins!</w:t>
      </w:r>
    </w:p>
    <w:p>
      <w:pPr>
        <w:pStyle w:val="ListBullet"/>
        <w:spacing w:before="0" w:after="60" w:line="276" w:lineRule="auto"/>
      </w:pPr>
      <w:r>
        <w:rPr>
          <w:rFonts w:ascii="Calibri" w:hAnsi="Calibri"/>
          <w:b/>
          <w:color w:val="222222"/>
          <w:sz w:val="20"/>
        </w:rPr>
        <w:t xml:space="preserve">Pufferzeiten: </w:t>
      </w:r>
      <w:r>
        <w:rPr>
          <w:rFonts w:ascii="Calibri" w:hAnsi="Calibri"/>
          <w:color w:val="222222"/>
          <w:sz w:val="20"/>
        </w:rPr>
        <w:t>Einziger nicht-kritischer Vorgang ist Vorgang 10 (Entsorgung Altdrucker) mit einer Dauer von 2 Tagen und einem Gesamtpuffer von GP = 6 Tagen (Parallelpfad zu Vorgang 9 &amp; 11).</w:t>
      </w:r>
    </w:p>
    <w:p>
      <w:pPr>
        <w:spacing w:before="200" w:after="80" w:line="276" w:lineRule="auto"/>
      </w:pPr>
      <w:r>
        <w:rPr>
          <w:rFonts w:ascii="Calibri" w:hAnsi="Calibri"/>
          <w:b/>
          <w:color w:val="006699"/>
          <w:sz w:val="25"/>
        </w:rPr>
        <w:t>3.3 Projektstrukturplan (PSP nach DIN 69901)</w:t>
      </w:r>
    </w:p>
    <w:p>
      <w:pPr>
        <w:spacing w:before="0" w:after="100" w:line="276" w:lineRule="auto"/>
      </w:pPr>
      <w:r>
        <w:rPr>
          <w:rFonts w:ascii="Calibri" w:hAnsi="Calibri"/>
          <w:color w:val="222222"/>
          <w:sz w:val="20"/>
        </w:rPr>
        <w:t>Der PSP gliedert das Vorhaben in 5 Phasen und exakt 30 standardisierte Arbeitspakete (WBS):</w:t>
      </w:r>
    </w:p>
    <w:p>
      <w:pPr>
        <w:pStyle w:val="ListBullet"/>
        <w:spacing w:before="0" w:after="60" w:line="276" w:lineRule="auto"/>
      </w:pPr>
      <w:r>
        <w:rPr>
          <w:rFonts w:ascii="Calibri" w:hAnsi="Calibri"/>
          <w:b/>
          <w:color w:val="222222"/>
          <w:sz w:val="20"/>
        </w:rPr>
        <w:t xml:space="preserve">Phase 1: Vorbereitung &amp; Analyse (6 APs): </w:t>
      </w:r>
      <w:r>
        <w:rPr>
          <w:rFonts w:ascii="Calibri" w:hAnsi="Calibri"/>
          <w:color w:val="222222"/>
          <w:sz w:val="20"/>
        </w:rPr>
        <w:t>AP 1.1 Kick-off, AP 1.2 Lastenheft, AP 1.3 Marktrecherche, AP 1.4 Nutzwertanalyse, AP 1.5 Vorgangsliste, AP 1.6 PSP &amp; Netzplan.</w:t>
      </w:r>
    </w:p>
    <w:p>
      <w:pPr>
        <w:pStyle w:val="ListBullet"/>
        <w:spacing w:before="0" w:after="60" w:line="276" w:lineRule="auto"/>
      </w:pPr>
      <w:r>
        <w:rPr>
          <w:rFonts w:ascii="Calibri" w:hAnsi="Calibri"/>
          <w:b/>
          <w:color w:val="222222"/>
          <w:sz w:val="20"/>
        </w:rPr>
        <w:t xml:space="preserve">Phase 2: Beschaffung &amp; Kalkulation (6 APs): </w:t>
      </w:r>
      <w:r>
        <w:rPr>
          <w:rFonts w:ascii="Calibri" w:hAnsi="Calibri"/>
          <w:color w:val="222222"/>
          <w:sz w:val="20"/>
        </w:rPr>
        <w:t>AP 2.1 Vorwärtskalkulation, AP 2.2 Angebotserstellung, AP 2.3 Infoblatt Leasing, AP 2.4 Kundenfreigabe, AP 2.5 Lieferantenbestellung, AP 2.6 Lieferüberwachung.</w:t>
      </w:r>
    </w:p>
    <w:p>
      <w:pPr>
        <w:pStyle w:val="ListBullet"/>
        <w:spacing w:before="0" w:after="60" w:line="276" w:lineRule="auto"/>
      </w:pPr>
      <w:r>
        <w:rPr>
          <w:rFonts w:ascii="Calibri" w:hAnsi="Calibri"/>
          <w:b/>
          <w:color w:val="222222"/>
          <w:sz w:val="20"/>
        </w:rPr>
        <w:t xml:space="preserve">Phase 3: Bereitstellung &amp; QS (6 APs): </w:t>
      </w:r>
      <w:r>
        <w:rPr>
          <w:rFonts w:ascii="Calibri" w:hAnsi="Calibri"/>
          <w:color w:val="222222"/>
          <w:sz w:val="20"/>
        </w:rPr>
        <w:t>AP 3.1 Wareneingangskontrolle, AP 3.2 Mängelrüge, AP 3.3 OS-Installation, AP 3.4 Software-Paketierung, AP 3.5 Sicherheits-Konfiguration, AP 3.6 Hardware-Stresstest.</w:t>
      </w:r>
    </w:p>
    <w:p>
      <w:pPr>
        <w:pStyle w:val="ListBullet"/>
        <w:spacing w:before="0" w:after="60" w:line="276" w:lineRule="auto"/>
      </w:pPr>
      <w:r>
        <w:rPr>
          <w:rFonts w:ascii="Calibri" w:hAnsi="Calibri"/>
          <w:b/>
          <w:color w:val="222222"/>
          <w:sz w:val="20"/>
        </w:rPr>
        <w:t xml:space="preserve">Phase 4: Rollout &amp; Inbetriebnahme (6 APs): </w:t>
      </w:r>
      <w:r>
        <w:rPr>
          <w:rFonts w:ascii="Calibri" w:hAnsi="Calibri"/>
          <w:color w:val="222222"/>
          <w:sz w:val="20"/>
        </w:rPr>
        <w:t>AP 4.1 Logistik &amp; Transport, AP 4.2 Arbeitsplatz-Montage, AP 4.3 Monitor-Ergonomie, AP 4.4 Patching &amp; Netzwerk, AP 4.5 MFP-Einbindung, AP 4.6 Altdrucker-Entsorgung.</w:t>
      </w:r>
    </w:p>
    <w:p>
      <w:pPr>
        <w:pStyle w:val="ListBullet"/>
        <w:spacing w:before="0" w:after="60" w:line="276" w:lineRule="auto"/>
      </w:pPr>
      <w:r>
        <w:rPr>
          <w:rFonts w:ascii="Calibri" w:hAnsi="Calibri"/>
          <w:b/>
          <w:color w:val="222222"/>
          <w:sz w:val="20"/>
        </w:rPr>
        <w:t xml:space="preserve">Phase 5: Projektabschluss (6 APs): </w:t>
      </w:r>
      <w:r>
        <w:rPr>
          <w:rFonts w:ascii="Calibri" w:hAnsi="Calibri"/>
          <w:color w:val="222222"/>
          <w:sz w:val="20"/>
        </w:rPr>
        <w:t>AP 5.1 Funktionstest, AP 5.2 Abnahmeprotokoll, AP 5.3 Kundeneinweisung, AP 5.4 Dokumentationsübergabe, AP 5.5 Lessons Learned, AP 5.6 Projektabschlussbericht.</w:t>
      </w:r>
    </w:p>
    <w:p>
      <w:pPr>
        <w:spacing w:before="200" w:after="80" w:line="276" w:lineRule="auto"/>
      </w:pPr>
      <w:r>
        <w:rPr>
          <w:rFonts w:ascii="Calibri" w:hAnsi="Calibri"/>
          <w:b/>
          <w:color w:val="006699"/>
          <w:sz w:val="25"/>
        </w:rPr>
        <w:t>3.4 Risikoanalyse &amp; Risikomanagement</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1632"/>
        <w:gridCol w:w="1632"/>
        <w:gridCol w:w="1632"/>
        <w:gridCol w:w="1632"/>
        <w:gridCol w:w="1632"/>
        <w:gridCol w:w="1632"/>
      </w:tblGrid>
      <w:tr>
        <w:trPr>
          <w:tblHeader/>
        </w:trPr>
        <w:tc>
          <w:tcPr>
            <w:tcW w:type="dxa" w:w="720"/>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ID</w:t>
            </w:r>
          </w:p>
        </w:tc>
        <w:tc>
          <w:tcPr>
            <w:tcW w:type="dxa" w:w="3600"/>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Risikobeschreibung</w:t>
            </w:r>
          </w:p>
        </w:tc>
        <w:tc>
          <w:tcPr>
            <w:tcW w:type="dxa" w:w="57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EW</w:t>
            </w:r>
          </w:p>
        </w:tc>
        <w:tc>
          <w:tcPr>
            <w:tcW w:type="dxa" w:w="57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SA</w:t>
            </w:r>
          </w:p>
        </w:tc>
        <w:tc>
          <w:tcPr>
            <w:tcW w:type="dxa" w:w="129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Score</w:t>
            </w:r>
          </w:p>
        </w:tc>
        <w:tc>
          <w:tcPr>
            <w:tcW w:type="dxa" w:w="3024"/>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Gegenmaßnahmen / Vermeidungsstrategie</w:t>
            </w:r>
          </w:p>
        </w:tc>
      </w:tr>
      <w:tr>
        <w:tc>
          <w:tcPr>
            <w:tcW w:type="dxa" w:w="720"/>
            <w:tcMar>
              <w:top w:w="80" w:type="dxa"/>
              <w:bottom w:w="80" w:type="dxa"/>
              <w:left w:w="120" w:type="dxa"/>
              <w:right w:w="120" w:type="dxa"/>
            </w:tcMar>
          </w:tcPr>
          <w:p>
            <w:pPr>
              <w:spacing w:before="0" w:after="0" w:line="276" w:lineRule="auto"/>
              <w:jc w:val="center"/>
            </w:pPr>
            <w:r>
              <w:rPr>
                <w:rFonts w:ascii="Calibri" w:hAnsi="Calibri"/>
                <w:color w:val="222222"/>
                <w:sz w:val="18"/>
              </w:rPr>
              <w:t>R1</w:t>
            </w:r>
          </w:p>
        </w:tc>
        <w:tc>
          <w:tcPr>
            <w:tcW w:type="dxa" w:w="3600"/>
            <w:tcMar>
              <w:top w:w="80" w:type="dxa"/>
              <w:bottom w:w="80" w:type="dxa"/>
              <w:left w:w="120" w:type="dxa"/>
              <w:right w:w="120" w:type="dxa"/>
            </w:tcMar>
          </w:tcPr>
          <w:p>
            <w:pPr>
              <w:spacing w:before="0" w:after="0" w:line="276" w:lineRule="auto"/>
              <w:jc w:val="left"/>
            </w:pPr>
            <w:r>
              <w:rPr>
                <w:rFonts w:ascii="Calibri" w:hAnsi="Calibri"/>
                <w:color w:val="222222"/>
                <w:sz w:val="18"/>
              </w:rPr>
              <w:t>Lieferverzögerung bei Workstations / GPU</w:t>
            </w:r>
          </w:p>
        </w:tc>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12 (Hoch)</w:t>
            </w:r>
          </w:p>
        </w:tc>
        <w:tc>
          <w:tcPr>
            <w:tcW w:type="dxa" w:w="3024"/>
            <w:tcMar>
              <w:top w:w="80" w:type="dxa"/>
              <w:bottom w:w="80" w:type="dxa"/>
              <w:left w:w="120" w:type="dxa"/>
              <w:right w:w="120" w:type="dxa"/>
            </w:tcMar>
          </w:tcPr>
          <w:p>
            <w:pPr>
              <w:spacing w:before="0" w:after="0" w:line="276" w:lineRule="auto"/>
              <w:jc w:val="left"/>
            </w:pPr>
            <w:r>
              <w:rPr>
                <w:rFonts w:ascii="Calibri" w:hAnsi="Calibri"/>
                <w:color w:val="222222"/>
                <w:sz w:val="18"/>
              </w:rPr>
              <w:t>Pufferzeiten im Netzplan, Lieferanten-Tracking, Vorabreservierung</w:t>
            </w:r>
          </w:p>
        </w:tc>
      </w:tr>
      <w:tr>
        <w:tc>
          <w:tcPr>
            <w:tcW w:type="dxa" w:w="72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R2</w:t>
            </w:r>
          </w:p>
        </w:tc>
        <w:tc>
          <w:tcPr>
            <w:tcW w:type="dxa" w:w="3600"/>
            <w:shd w:fill="F4F6F9"/>
            <w:tcMar>
              <w:top w:w="80" w:type="dxa"/>
              <w:bottom w:w="80" w:type="dxa"/>
              <w:left w:w="120" w:type="dxa"/>
              <w:right w:w="120" w:type="dxa"/>
            </w:tcMar>
          </w:tcPr>
          <w:p>
            <w:pPr>
              <w:spacing w:before="0" w:after="0" w:line="276" w:lineRule="auto"/>
              <w:jc w:val="left"/>
            </w:pPr>
            <w:r>
              <w:rPr>
                <w:rFonts w:ascii="Calibri" w:hAnsi="Calibri"/>
                <w:color w:val="222222"/>
                <w:sz w:val="18"/>
              </w:rPr>
              <w:t>Transportschäden / Falschlieferungen</w:t>
            </w:r>
          </w:p>
        </w:tc>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129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(Mittel)</w:t>
            </w:r>
          </w:p>
        </w:tc>
        <w:tc>
          <w:tcPr>
            <w:tcW w:type="dxa" w:w="3024"/>
            <w:shd w:fill="F4F6F9"/>
            <w:tcMar>
              <w:top w:w="80" w:type="dxa"/>
              <w:bottom w:w="80" w:type="dxa"/>
              <w:left w:w="120" w:type="dxa"/>
              <w:right w:w="120" w:type="dxa"/>
            </w:tcMar>
          </w:tcPr>
          <w:p>
            <w:pPr>
              <w:spacing w:before="0" w:after="0" w:line="276" w:lineRule="auto"/>
              <w:jc w:val="left"/>
            </w:pPr>
            <w:r>
              <w:rPr>
                <w:rFonts w:ascii="Calibri" w:hAnsi="Calibri"/>
                <w:color w:val="222222"/>
                <w:sz w:val="18"/>
              </w:rPr>
              <w:t>Strikte Wareneingangsprüfung (§ 377 HGB), sofortige Mängelrüge</w:t>
            </w:r>
          </w:p>
        </w:tc>
      </w:tr>
      <w:tr>
        <w:tc>
          <w:tcPr>
            <w:tcW w:type="dxa" w:w="720"/>
            <w:tcMar>
              <w:top w:w="80" w:type="dxa"/>
              <w:bottom w:w="80" w:type="dxa"/>
              <w:left w:w="120" w:type="dxa"/>
              <w:right w:w="120" w:type="dxa"/>
            </w:tcMar>
          </w:tcPr>
          <w:p>
            <w:pPr>
              <w:spacing w:before="0" w:after="0" w:line="276" w:lineRule="auto"/>
              <w:jc w:val="center"/>
            </w:pPr>
            <w:r>
              <w:rPr>
                <w:rFonts w:ascii="Calibri" w:hAnsi="Calibri"/>
                <w:color w:val="222222"/>
                <w:sz w:val="18"/>
              </w:rPr>
              <w:t>R3</w:t>
            </w:r>
          </w:p>
        </w:tc>
        <w:tc>
          <w:tcPr>
            <w:tcW w:type="dxa" w:w="3600"/>
            <w:tcMar>
              <w:top w:w="80" w:type="dxa"/>
              <w:bottom w:w="80" w:type="dxa"/>
              <w:left w:w="120" w:type="dxa"/>
              <w:right w:w="120" w:type="dxa"/>
            </w:tcMar>
          </w:tcPr>
          <w:p>
            <w:pPr>
              <w:spacing w:before="0" w:after="0" w:line="276" w:lineRule="auto"/>
              <w:jc w:val="left"/>
            </w:pPr>
            <w:r>
              <w:rPr>
                <w:rFonts w:ascii="Calibri" w:hAnsi="Calibri"/>
                <w:color w:val="222222"/>
                <w:sz w:val="18"/>
              </w:rPr>
              <w:t>Inkompatibilität CAD-Software / Treiber</w:t>
            </w:r>
          </w:p>
        </w:tc>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8 (Mittel)</w:t>
            </w:r>
          </w:p>
        </w:tc>
        <w:tc>
          <w:tcPr>
            <w:tcW w:type="dxa" w:w="3024"/>
            <w:tcMar>
              <w:top w:w="80" w:type="dxa"/>
              <w:bottom w:w="80" w:type="dxa"/>
              <w:left w:w="120" w:type="dxa"/>
              <w:right w:w="120" w:type="dxa"/>
            </w:tcMar>
          </w:tcPr>
          <w:p>
            <w:pPr>
              <w:spacing w:before="0" w:after="0" w:line="276" w:lineRule="auto"/>
              <w:jc w:val="left"/>
            </w:pPr>
            <w:r>
              <w:rPr>
                <w:rFonts w:ascii="Calibri" w:hAnsi="Calibri"/>
                <w:color w:val="222222"/>
                <w:sz w:val="18"/>
              </w:rPr>
              <w:t>Einsatz ISV-zertifizierter Hardware (Lenovo ThinkStation + RTX 4000 Ada)</w:t>
            </w:r>
          </w:p>
        </w:tc>
      </w:tr>
      <w:tr>
        <w:tc>
          <w:tcPr>
            <w:tcW w:type="dxa" w:w="72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R4</w:t>
            </w:r>
          </w:p>
        </w:tc>
        <w:tc>
          <w:tcPr>
            <w:tcW w:type="dxa" w:w="3600"/>
            <w:shd w:fill="F4F6F9"/>
            <w:tcMar>
              <w:top w:w="80" w:type="dxa"/>
              <w:bottom w:w="80" w:type="dxa"/>
              <w:left w:w="120" w:type="dxa"/>
              <w:right w:w="120" w:type="dxa"/>
            </w:tcMar>
          </w:tcPr>
          <w:p>
            <w:pPr>
              <w:spacing w:before="0" w:after="0" w:line="276" w:lineRule="auto"/>
              <w:jc w:val="left"/>
            </w:pPr>
            <w:r>
              <w:rPr>
                <w:rFonts w:ascii="Calibri" w:hAnsi="Calibri"/>
                <w:color w:val="222222"/>
                <w:sz w:val="18"/>
              </w:rPr>
              <w:t>Budgetüberschreitung durch Preissteigerungen</w:t>
            </w:r>
          </w:p>
        </w:tc>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129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6 (Mittel)</w:t>
            </w:r>
          </w:p>
        </w:tc>
        <w:tc>
          <w:tcPr>
            <w:tcW w:type="dxa" w:w="3024"/>
            <w:shd w:fill="F4F6F9"/>
            <w:tcMar>
              <w:top w:w="80" w:type="dxa"/>
              <w:bottom w:w="80" w:type="dxa"/>
              <w:left w:w="120" w:type="dxa"/>
              <w:right w:w="120" w:type="dxa"/>
            </w:tcMar>
          </w:tcPr>
          <w:p>
            <w:pPr>
              <w:spacing w:before="0" w:after="0" w:line="276" w:lineRule="auto"/>
              <w:jc w:val="left"/>
            </w:pPr>
            <w:r>
              <w:rPr>
                <w:rFonts w:ascii="Calibri" w:hAnsi="Calibri"/>
                <w:color w:val="222222"/>
                <w:sz w:val="18"/>
              </w:rPr>
              <w:t>Feste Preisbindungsfristen bei Distributoren, 12 % Gewinnpuffer</w:t>
            </w:r>
          </w:p>
        </w:tc>
      </w:tr>
      <w:tr>
        <w:tc>
          <w:tcPr>
            <w:tcW w:type="dxa" w:w="720"/>
            <w:tcMar>
              <w:top w:w="80" w:type="dxa"/>
              <w:bottom w:w="80" w:type="dxa"/>
              <w:left w:w="120" w:type="dxa"/>
              <w:right w:w="120" w:type="dxa"/>
            </w:tcMar>
          </w:tcPr>
          <w:p>
            <w:pPr>
              <w:spacing w:before="0" w:after="0" w:line="276" w:lineRule="auto"/>
              <w:jc w:val="center"/>
            </w:pPr>
            <w:r>
              <w:rPr>
                <w:rFonts w:ascii="Calibri" w:hAnsi="Calibri"/>
                <w:color w:val="222222"/>
                <w:sz w:val="18"/>
              </w:rPr>
              <w:t>R5</w:t>
            </w:r>
          </w:p>
        </w:tc>
        <w:tc>
          <w:tcPr>
            <w:tcW w:type="dxa" w:w="3600"/>
            <w:tcMar>
              <w:top w:w="80" w:type="dxa"/>
              <w:bottom w:w="80" w:type="dxa"/>
              <w:left w:w="120" w:type="dxa"/>
              <w:right w:w="120" w:type="dxa"/>
            </w:tcMar>
          </w:tcPr>
          <w:p>
            <w:pPr>
              <w:spacing w:before="0" w:after="0" w:line="276" w:lineRule="auto"/>
              <w:jc w:val="left"/>
            </w:pPr>
            <w:r>
              <w:rPr>
                <w:rFonts w:ascii="Calibri" w:hAnsi="Calibri"/>
                <w:color w:val="222222"/>
                <w:sz w:val="18"/>
              </w:rPr>
              <w:t>Personalausfall im Rollout-Team</w:t>
            </w:r>
          </w:p>
        </w:tc>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6 (Mittel)</w:t>
            </w:r>
          </w:p>
        </w:tc>
        <w:tc>
          <w:tcPr>
            <w:tcW w:type="dxa" w:w="3024"/>
            <w:tcMar>
              <w:top w:w="80" w:type="dxa"/>
              <w:bottom w:w="80" w:type="dxa"/>
              <w:left w:w="120" w:type="dxa"/>
              <w:right w:w="120" w:type="dxa"/>
            </w:tcMar>
          </w:tcPr>
          <w:p>
            <w:pPr>
              <w:spacing w:before="0" w:after="0" w:line="276" w:lineRule="auto"/>
              <w:jc w:val="left"/>
            </w:pPr>
            <w:r>
              <w:rPr>
                <w:rFonts w:ascii="Calibri" w:hAnsi="Calibri"/>
                <w:color w:val="222222"/>
                <w:sz w:val="18"/>
              </w:rPr>
              <w:t>Stellvertreterregelung (Pair-Programming / Tandem-Montage)</w:t>
            </w:r>
          </w:p>
        </w:tc>
      </w:tr>
      <w:tr>
        <w:tc>
          <w:tcPr>
            <w:tcW w:type="dxa" w:w="72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R6</w:t>
            </w:r>
          </w:p>
        </w:tc>
        <w:tc>
          <w:tcPr>
            <w:tcW w:type="dxa" w:w="3600"/>
            <w:shd w:fill="F4F6F9"/>
            <w:tcMar>
              <w:top w:w="80" w:type="dxa"/>
              <w:bottom w:w="80" w:type="dxa"/>
              <w:left w:w="120" w:type="dxa"/>
              <w:right w:w="120" w:type="dxa"/>
            </w:tcMar>
          </w:tcPr>
          <w:p>
            <w:pPr>
              <w:spacing w:before="0" w:after="0" w:line="276" w:lineRule="auto"/>
              <w:jc w:val="left"/>
            </w:pPr>
            <w:r>
              <w:rPr>
                <w:rFonts w:ascii="Calibri" w:hAnsi="Calibri"/>
                <w:color w:val="222222"/>
                <w:sz w:val="18"/>
              </w:rPr>
              <w:t>Netzwerkprobleme vor Ort (Dosen/Patching)</w:t>
            </w:r>
          </w:p>
        </w:tc>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129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6 (Mittel)</w:t>
            </w:r>
          </w:p>
        </w:tc>
        <w:tc>
          <w:tcPr>
            <w:tcW w:type="dxa" w:w="3024"/>
            <w:shd w:fill="F4F6F9"/>
            <w:tcMar>
              <w:top w:w="80" w:type="dxa"/>
              <w:bottom w:w="80" w:type="dxa"/>
              <w:left w:w="120" w:type="dxa"/>
              <w:right w:w="120" w:type="dxa"/>
            </w:tcMar>
          </w:tcPr>
          <w:p>
            <w:pPr>
              <w:spacing w:before="0" w:after="0" w:line="276" w:lineRule="auto"/>
              <w:jc w:val="left"/>
            </w:pPr>
            <w:r>
              <w:rPr>
                <w:rFonts w:ascii="Calibri" w:hAnsi="Calibri"/>
                <w:color w:val="222222"/>
                <w:sz w:val="18"/>
              </w:rPr>
              <w:t>Vorab-Messung der Netzwerkdosen, Bereitstellung von Reservekabeln</w:t>
            </w:r>
          </w:p>
        </w:tc>
      </w:tr>
      <w:tr>
        <w:tc>
          <w:tcPr>
            <w:tcW w:type="dxa" w:w="720"/>
            <w:tcMar>
              <w:top w:w="80" w:type="dxa"/>
              <w:bottom w:w="80" w:type="dxa"/>
              <w:left w:w="120" w:type="dxa"/>
              <w:right w:w="120" w:type="dxa"/>
            </w:tcMar>
          </w:tcPr>
          <w:p>
            <w:pPr>
              <w:spacing w:before="0" w:after="0" w:line="276" w:lineRule="auto"/>
              <w:jc w:val="center"/>
            </w:pPr>
            <w:r>
              <w:rPr>
                <w:rFonts w:ascii="Calibri" w:hAnsi="Calibri"/>
                <w:color w:val="222222"/>
                <w:sz w:val="18"/>
              </w:rPr>
              <w:t>R7</w:t>
            </w:r>
          </w:p>
        </w:tc>
        <w:tc>
          <w:tcPr>
            <w:tcW w:type="dxa" w:w="3600"/>
            <w:tcMar>
              <w:top w:w="80" w:type="dxa"/>
              <w:bottom w:w="80" w:type="dxa"/>
              <w:left w:w="120" w:type="dxa"/>
              <w:right w:w="120" w:type="dxa"/>
            </w:tcMar>
          </w:tcPr>
          <w:p>
            <w:pPr>
              <w:spacing w:before="0" w:after="0" w:line="276" w:lineRule="auto"/>
              <w:jc w:val="left"/>
            </w:pPr>
            <w:r>
              <w:rPr>
                <w:rFonts w:ascii="Calibri" w:hAnsi="Calibri"/>
                <w:color w:val="222222"/>
                <w:sz w:val="18"/>
              </w:rPr>
              <w:t>Verzögerte Kundenfreigabe des Angebots</w:t>
            </w:r>
          </w:p>
        </w:tc>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1296"/>
            <w:tcMar>
              <w:top w:w="80" w:type="dxa"/>
              <w:bottom w:w="80" w:type="dxa"/>
              <w:left w:w="120" w:type="dxa"/>
              <w:right w:w="120" w:type="dxa"/>
            </w:tcMar>
          </w:tcPr>
          <w:p>
            <w:pPr>
              <w:spacing w:before="0" w:after="0" w:line="276" w:lineRule="auto"/>
              <w:jc w:val="center"/>
            </w:pPr>
            <w:r>
              <w:rPr>
                <w:rFonts w:ascii="Calibri" w:hAnsi="Calibri"/>
                <w:color w:val="222222"/>
                <w:sz w:val="18"/>
              </w:rPr>
              <w:t>9 (Mittel)</w:t>
            </w:r>
          </w:p>
        </w:tc>
        <w:tc>
          <w:tcPr>
            <w:tcW w:type="dxa" w:w="3024"/>
            <w:tcMar>
              <w:top w:w="80" w:type="dxa"/>
              <w:bottom w:w="80" w:type="dxa"/>
              <w:left w:w="120" w:type="dxa"/>
              <w:right w:w="120" w:type="dxa"/>
            </w:tcMar>
          </w:tcPr>
          <w:p>
            <w:pPr>
              <w:spacing w:before="0" w:after="0" w:line="276" w:lineRule="auto"/>
              <w:jc w:val="left"/>
            </w:pPr>
            <w:r>
              <w:rPr>
                <w:rFonts w:ascii="Calibri" w:hAnsi="Calibri"/>
                <w:color w:val="222222"/>
                <w:sz w:val="18"/>
              </w:rPr>
              <w:t>Persönlicher Präsentationstermin, transparente Leasing-Option</w:t>
            </w:r>
          </w:p>
        </w:tc>
      </w:tr>
    </w:tbl>
    <w:p>
      <w:pPr>
        <w:spacing w:after="120"/>
      </w:pPr>
    </w:p>
    <w:p>
      <w:pPr>
        <w:spacing w:before="280" w:after="120" w:line="276" w:lineRule="auto"/>
      </w:pPr>
      <w:r>
        <w:rPr>
          <w:rFonts w:ascii="Calibri" w:hAnsi="Calibri"/>
          <w:b/>
          <w:color w:val="003366"/>
          <w:sz w:val="30"/>
        </w:rPr>
        <w:t>4. Anforderungsanalyse &amp; Lastenheft (Aufgabe 2)</w:t>
      </w:r>
    </w:p>
    <w:p>
      <w:pPr>
        <w:spacing w:before="0" w:after="100" w:line="276" w:lineRule="auto"/>
      </w:pPr>
      <w:r>
        <w:rPr>
          <w:rFonts w:ascii="Calibri" w:hAnsi="Calibri"/>
          <w:color w:val="222222"/>
          <w:sz w:val="20"/>
        </w:rPr>
        <w:t>Das im Projektordner hinterlegte Lastenheft (DIN 69901 / VDI 2519) definiert das verbindliche Soll-Konzept für die IT-Ausstattung. Es trennt strikt zwischen Standard-Büroanwendern und rechenintensiven CAD/BIM-Konstrukteuren.</w:t>
      </w:r>
    </w:p>
    <w:p>
      <w:pPr>
        <w:spacing w:before="200" w:after="80" w:line="276" w:lineRule="auto"/>
      </w:pPr>
      <w:r>
        <w:rPr>
          <w:rFonts w:ascii="Calibri" w:hAnsi="Calibri"/>
          <w:b/>
          <w:color w:val="006699"/>
          <w:sz w:val="25"/>
        </w:rPr>
        <w:t>4.1 Technische Spezifikationsprofile im Direktvergleich</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3264"/>
        <w:gridCol w:w="3264"/>
        <w:gridCol w:w="3264"/>
      </w:tblGrid>
      <w:tr>
        <w:trPr>
          <w:tblHeader/>
        </w:trPr>
        <w:tc>
          <w:tcPr>
            <w:tcW w:type="dxa" w:w="2592"/>
            <w:shd w:fill="003366"/>
            <w:tcMar>
              <w:top w:w="100" w:type="dxa"/>
              <w:bottom w:w="100" w:type="dxa"/>
              <w:left w:w="120" w:type="dxa"/>
              <w:right w:w="120" w:type="dxa"/>
            </w:tcMar>
          </w:tcPr>
          <w:p>
            <w:pPr>
              <w:spacing w:before="0" w:after="0" w:line="276" w:lineRule="auto"/>
            </w:pPr>
            <w:r>
              <w:rPr>
                <w:rFonts w:ascii="Calibri" w:hAnsi="Calibri"/>
                <w:b/>
                <w:color w:val="FFFFFF"/>
                <w:sz w:val="19"/>
              </w:rPr>
              <w:t>Komponente</w:t>
            </w:r>
          </w:p>
        </w:tc>
        <w:tc>
          <w:tcPr>
            <w:tcW w:type="dxa" w:w="3600"/>
            <w:shd w:fill="003366"/>
            <w:tcMar>
              <w:top w:w="100" w:type="dxa"/>
              <w:bottom w:w="100" w:type="dxa"/>
              <w:left w:w="120" w:type="dxa"/>
              <w:right w:w="120" w:type="dxa"/>
            </w:tcMar>
          </w:tcPr>
          <w:p>
            <w:pPr>
              <w:spacing w:before="0" w:after="0" w:line="276" w:lineRule="auto"/>
            </w:pPr>
            <w:r>
              <w:rPr>
                <w:rFonts w:ascii="Calibri" w:hAnsi="Calibri"/>
                <w:b/>
                <w:color w:val="FFFFFF"/>
                <w:sz w:val="19"/>
              </w:rPr>
              <w:t>12× Standard-Büroarbeitsplatz</w:t>
            </w:r>
          </w:p>
        </w:tc>
        <w:tc>
          <w:tcPr>
            <w:tcW w:type="dxa" w:w="3600"/>
            <w:shd w:fill="003366"/>
            <w:tcMar>
              <w:top w:w="100" w:type="dxa"/>
              <w:bottom w:w="100" w:type="dxa"/>
              <w:left w:w="120" w:type="dxa"/>
              <w:right w:w="120" w:type="dxa"/>
            </w:tcMar>
          </w:tcPr>
          <w:p>
            <w:pPr>
              <w:spacing w:before="0" w:after="0" w:line="276" w:lineRule="auto"/>
            </w:pPr>
            <w:r>
              <w:rPr>
                <w:rFonts w:ascii="Calibri" w:hAnsi="Calibri"/>
                <w:b/>
                <w:color w:val="FFFFFF"/>
                <w:sz w:val="19"/>
              </w:rPr>
              <w:t>4× CAD-/BIM-Workstation</w:t>
            </w:r>
          </w:p>
        </w:tc>
      </w:tr>
      <w:tr>
        <w:tc>
          <w:tcPr>
            <w:tcW w:type="dxa" w:w="2592"/>
            <w:tcMar>
              <w:top w:w="80" w:type="dxa"/>
              <w:bottom w:w="80" w:type="dxa"/>
              <w:left w:w="120" w:type="dxa"/>
              <w:right w:w="120" w:type="dxa"/>
            </w:tcMar>
          </w:tcPr>
          <w:p>
            <w:pPr>
              <w:spacing w:before="0" w:after="0" w:line="276" w:lineRule="auto"/>
            </w:pPr>
            <w:r>
              <w:rPr>
                <w:rFonts w:ascii="Calibri" w:hAnsi="Calibri"/>
                <w:color w:val="222222"/>
                <w:sz w:val="18"/>
              </w:rPr>
              <w:t>Prozessor (CPU)</w:t>
            </w:r>
          </w:p>
        </w:tc>
        <w:tc>
          <w:tcPr>
            <w:tcW w:type="dxa" w:w="3600"/>
            <w:tcMar>
              <w:top w:w="80" w:type="dxa"/>
              <w:bottom w:w="80" w:type="dxa"/>
              <w:left w:w="120" w:type="dxa"/>
              <w:right w:w="120" w:type="dxa"/>
            </w:tcMar>
          </w:tcPr>
          <w:p>
            <w:pPr>
              <w:spacing w:before="0" w:after="0" w:line="276" w:lineRule="auto"/>
            </w:pPr>
            <w:r>
              <w:rPr>
                <w:rFonts w:ascii="Calibri" w:hAnsi="Calibri"/>
                <w:color w:val="222222"/>
                <w:sz w:val="18"/>
              </w:rPr>
              <w:t>Intel Core i5-13400 (10 Kerne, bis 4,6 GHz)</w:t>
            </w:r>
          </w:p>
        </w:tc>
        <w:tc>
          <w:tcPr>
            <w:tcW w:type="dxa" w:w="3600"/>
            <w:tcMar>
              <w:top w:w="80" w:type="dxa"/>
              <w:bottom w:w="80" w:type="dxa"/>
              <w:left w:w="120" w:type="dxa"/>
              <w:right w:w="120" w:type="dxa"/>
            </w:tcMar>
          </w:tcPr>
          <w:p>
            <w:pPr>
              <w:spacing w:before="0" w:after="0" w:line="276" w:lineRule="auto"/>
            </w:pPr>
            <w:r>
              <w:rPr>
                <w:rFonts w:ascii="Calibri" w:hAnsi="Calibri"/>
                <w:color w:val="222222"/>
                <w:sz w:val="18"/>
              </w:rPr>
              <w:t>Intel Core i7-13700 (16 Kerne, 24 Threads, bis 5,2 GHz)</w:t>
            </w:r>
          </w:p>
        </w:tc>
      </w:tr>
      <w:tr>
        <w:tc>
          <w:tcPr>
            <w:tcW w:type="dxa" w:w="2592"/>
            <w:shd w:fill="F4F6F9"/>
            <w:tcMar>
              <w:top w:w="80" w:type="dxa"/>
              <w:bottom w:w="80" w:type="dxa"/>
              <w:left w:w="120" w:type="dxa"/>
              <w:right w:w="120" w:type="dxa"/>
            </w:tcMar>
          </w:tcPr>
          <w:p>
            <w:pPr>
              <w:spacing w:before="0" w:after="0" w:line="276" w:lineRule="auto"/>
            </w:pPr>
            <w:r>
              <w:rPr>
                <w:rFonts w:ascii="Calibri" w:hAnsi="Calibri"/>
                <w:color w:val="222222"/>
                <w:sz w:val="18"/>
              </w:rPr>
              <w:t>Arbeitsspeicher (RAM)</w:t>
            </w:r>
          </w:p>
        </w:tc>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16 GB DDR5-4800 (Dual-Channel)</w:t>
            </w:r>
          </w:p>
        </w:tc>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64 GB DDR5-4800 ECC (Quad-Channel, erweiterbar auf 128 GB)</w:t>
            </w:r>
          </w:p>
        </w:tc>
      </w:tr>
      <w:tr>
        <w:tc>
          <w:tcPr>
            <w:tcW w:type="dxa" w:w="2592"/>
            <w:tcMar>
              <w:top w:w="80" w:type="dxa"/>
              <w:bottom w:w="80" w:type="dxa"/>
              <w:left w:w="120" w:type="dxa"/>
              <w:right w:w="120" w:type="dxa"/>
            </w:tcMar>
          </w:tcPr>
          <w:p>
            <w:pPr>
              <w:spacing w:before="0" w:after="0" w:line="276" w:lineRule="auto"/>
            </w:pPr>
            <w:r>
              <w:rPr>
                <w:rFonts w:ascii="Calibri" w:hAnsi="Calibri"/>
                <w:color w:val="222222"/>
                <w:sz w:val="18"/>
              </w:rPr>
              <w:t>Grafikkarte (GPU)</w:t>
            </w:r>
          </w:p>
        </w:tc>
        <w:tc>
          <w:tcPr>
            <w:tcW w:type="dxa" w:w="3600"/>
            <w:tcMar>
              <w:top w:w="80" w:type="dxa"/>
              <w:bottom w:w="80" w:type="dxa"/>
              <w:left w:w="120" w:type="dxa"/>
              <w:right w:w="120" w:type="dxa"/>
            </w:tcMar>
          </w:tcPr>
          <w:p>
            <w:pPr>
              <w:spacing w:before="0" w:after="0" w:line="276" w:lineRule="auto"/>
            </w:pPr>
            <w:r>
              <w:rPr>
                <w:rFonts w:ascii="Calibri" w:hAnsi="Calibri"/>
                <w:color w:val="222222"/>
                <w:sz w:val="18"/>
              </w:rPr>
              <w:t>Intel UHD Graphics 730 (integriert)</w:t>
            </w:r>
          </w:p>
        </w:tc>
        <w:tc>
          <w:tcPr>
            <w:tcW w:type="dxa" w:w="3600"/>
            <w:tcMar>
              <w:top w:w="80" w:type="dxa"/>
              <w:bottom w:w="80" w:type="dxa"/>
              <w:left w:w="120" w:type="dxa"/>
              <w:right w:w="120" w:type="dxa"/>
            </w:tcMar>
          </w:tcPr>
          <w:p>
            <w:pPr>
              <w:spacing w:before="0" w:after="0" w:line="276" w:lineRule="auto"/>
            </w:pPr>
            <w:r>
              <w:rPr>
                <w:rFonts w:ascii="Calibri" w:hAnsi="Calibri"/>
                <w:color w:val="222222"/>
                <w:sz w:val="18"/>
              </w:rPr>
              <w:t>NVIDIA RTX 4000 Ada Generation (20 GB GDDR6 ECC, ISV-zertifiziert)</w:t>
            </w:r>
          </w:p>
        </w:tc>
      </w:tr>
      <w:tr>
        <w:tc>
          <w:tcPr>
            <w:tcW w:type="dxa" w:w="2592"/>
            <w:shd w:fill="F4F6F9"/>
            <w:tcMar>
              <w:top w:w="80" w:type="dxa"/>
              <w:bottom w:w="80" w:type="dxa"/>
              <w:left w:w="120" w:type="dxa"/>
              <w:right w:w="120" w:type="dxa"/>
            </w:tcMar>
          </w:tcPr>
          <w:p>
            <w:pPr>
              <w:spacing w:before="0" w:after="0" w:line="276" w:lineRule="auto"/>
            </w:pPr>
            <w:r>
              <w:rPr>
                <w:rFonts w:ascii="Calibri" w:hAnsi="Calibri"/>
                <w:color w:val="222222"/>
                <w:sz w:val="18"/>
              </w:rPr>
              <w:t>Systemlaufwerk (SSD)</w:t>
            </w:r>
          </w:p>
        </w:tc>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512 GB M.2 NVMe PCIe 4.0 SSD (read &gt; 4.000 MB/s)</w:t>
            </w:r>
          </w:p>
        </w:tc>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1 TB M.2 NVMe PCIe 4.0 Opal-verschlüsselt (read &gt; 6.000 MB/s)</w:t>
            </w:r>
          </w:p>
        </w:tc>
      </w:tr>
      <w:tr>
        <w:tc>
          <w:tcPr>
            <w:tcW w:type="dxa" w:w="2592"/>
            <w:tcMar>
              <w:top w:w="80" w:type="dxa"/>
              <w:bottom w:w="80" w:type="dxa"/>
              <w:left w:w="120" w:type="dxa"/>
              <w:right w:w="120" w:type="dxa"/>
            </w:tcMar>
          </w:tcPr>
          <w:p>
            <w:pPr>
              <w:spacing w:before="0" w:after="0" w:line="276" w:lineRule="auto"/>
            </w:pPr>
            <w:r>
              <w:rPr>
                <w:rFonts w:ascii="Calibri" w:hAnsi="Calibri"/>
                <w:color w:val="222222"/>
                <w:sz w:val="18"/>
              </w:rPr>
              <w:t>Gehäuse &amp; Kühlung</w:t>
            </w:r>
          </w:p>
        </w:tc>
        <w:tc>
          <w:tcPr>
            <w:tcW w:type="dxa" w:w="3600"/>
            <w:tcMar>
              <w:top w:w="80" w:type="dxa"/>
              <w:bottom w:w="80" w:type="dxa"/>
              <w:left w:w="120" w:type="dxa"/>
              <w:right w:w="120" w:type="dxa"/>
            </w:tcMar>
          </w:tcPr>
          <w:p>
            <w:pPr>
              <w:spacing w:before="0" w:after="0" w:line="276" w:lineRule="auto"/>
            </w:pPr>
            <w:r>
              <w:rPr>
                <w:rFonts w:ascii="Calibri" w:hAnsi="Calibri"/>
                <w:color w:val="222222"/>
                <w:sz w:val="18"/>
              </w:rPr>
              <w:t>Small Form Factor (SFF), leise Lüfter (&lt; 28 dB)</w:t>
            </w:r>
          </w:p>
        </w:tc>
        <w:tc>
          <w:tcPr>
            <w:tcW w:type="dxa" w:w="3600"/>
            <w:tcMar>
              <w:top w:w="80" w:type="dxa"/>
              <w:bottom w:w="80" w:type="dxa"/>
              <w:left w:w="120" w:type="dxa"/>
              <w:right w:w="120" w:type="dxa"/>
            </w:tcMar>
          </w:tcPr>
          <w:p>
            <w:pPr>
              <w:spacing w:before="0" w:after="0" w:line="276" w:lineRule="auto"/>
            </w:pPr>
            <w:r>
              <w:rPr>
                <w:rFonts w:ascii="Calibri" w:hAnsi="Calibri"/>
                <w:color w:val="222222"/>
                <w:sz w:val="18"/>
              </w:rPr>
              <w:t>Tower-Gehäuse, High-Performance Silent Cooling (&lt; 32 dB Vollast)</w:t>
            </w:r>
          </w:p>
        </w:tc>
      </w:tr>
      <w:tr>
        <w:tc>
          <w:tcPr>
            <w:tcW w:type="dxa" w:w="2592"/>
            <w:shd w:fill="F4F6F9"/>
            <w:tcMar>
              <w:top w:w="80" w:type="dxa"/>
              <w:bottom w:w="80" w:type="dxa"/>
              <w:left w:w="120" w:type="dxa"/>
              <w:right w:w="120" w:type="dxa"/>
            </w:tcMar>
          </w:tcPr>
          <w:p>
            <w:pPr>
              <w:spacing w:before="0" w:after="0" w:line="276" w:lineRule="auto"/>
            </w:pPr>
            <w:r>
              <w:rPr>
                <w:rFonts w:ascii="Calibri" w:hAnsi="Calibri"/>
                <w:color w:val="222222"/>
                <w:sz w:val="18"/>
              </w:rPr>
              <w:t>Schnittstellen</w:t>
            </w:r>
          </w:p>
        </w:tc>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2× DP 1.4, 1× HDMI, 4× USB 3.2, 1× USB-C, GbE LAN</w:t>
            </w:r>
          </w:p>
        </w:tc>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4× DP 1.4a, 2× USB-C 3.2, 6× USB-A, 1× GbE LAN, Thunderbolt opt.</w:t>
            </w:r>
          </w:p>
        </w:tc>
      </w:tr>
      <w:tr>
        <w:tc>
          <w:tcPr>
            <w:tcW w:type="dxa" w:w="2592"/>
            <w:tcMar>
              <w:top w:w="80" w:type="dxa"/>
              <w:bottom w:w="80" w:type="dxa"/>
              <w:left w:w="120" w:type="dxa"/>
              <w:right w:w="120" w:type="dxa"/>
            </w:tcMar>
          </w:tcPr>
          <w:p>
            <w:pPr>
              <w:spacing w:before="0" w:after="0" w:line="276" w:lineRule="auto"/>
            </w:pPr>
            <w:r>
              <w:rPr>
                <w:rFonts w:ascii="Calibri" w:hAnsi="Calibri"/>
                <w:color w:val="222222"/>
                <w:sz w:val="18"/>
              </w:rPr>
              <w:t>Energieeffizienz</w:t>
            </w:r>
          </w:p>
        </w:tc>
        <w:tc>
          <w:tcPr>
            <w:tcW w:type="dxa" w:w="3600"/>
            <w:tcMar>
              <w:top w:w="80" w:type="dxa"/>
              <w:bottom w:w="80" w:type="dxa"/>
              <w:left w:w="120" w:type="dxa"/>
              <w:right w:w="120" w:type="dxa"/>
            </w:tcMar>
          </w:tcPr>
          <w:p>
            <w:pPr>
              <w:spacing w:before="0" w:after="0" w:line="276" w:lineRule="auto"/>
            </w:pPr>
            <w:r>
              <w:rPr>
                <w:rFonts w:ascii="Calibri" w:hAnsi="Calibri"/>
                <w:color w:val="222222"/>
                <w:sz w:val="18"/>
              </w:rPr>
              <w:t>260 W Netzteil (80 PLUS Platinum)</w:t>
            </w:r>
          </w:p>
        </w:tc>
        <w:tc>
          <w:tcPr>
            <w:tcW w:type="dxa" w:w="3600"/>
            <w:tcMar>
              <w:top w:w="80" w:type="dxa"/>
              <w:bottom w:w="80" w:type="dxa"/>
              <w:left w:w="120" w:type="dxa"/>
              <w:right w:w="120" w:type="dxa"/>
            </w:tcMar>
          </w:tcPr>
          <w:p>
            <w:pPr>
              <w:spacing w:before="0" w:after="0" w:line="276" w:lineRule="auto"/>
            </w:pPr>
            <w:r>
              <w:rPr>
                <w:rFonts w:ascii="Calibri" w:hAnsi="Calibri"/>
                <w:color w:val="222222"/>
                <w:sz w:val="18"/>
              </w:rPr>
              <w:t>750 W Netzteil (80 PLUS Platinum, 92 % Wirkungsgrad)</w:t>
            </w:r>
          </w:p>
        </w:tc>
      </w:tr>
      <w:tr>
        <w:tc>
          <w:tcPr>
            <w:tcW w:type="dxa" w:w="2592"/>
            <w:shd w:fill="F4F6F9"/>
            <w:tcMar>
              <w:top w:w="80" w:type="dxa"/>
              <w:bottom w:w="80" w:type="dxa"/>
              <w:left w:w="120" w:type="dxa"/>
              <w:right w:w="120" w:type="dxa"/>
            </w:tcMar>
          </w:tcPr>
          <w:p>
            <w:pPr>
              <w:spacing w:before="0" w:after="0" w:line="276" w:lineRule="auto"/>
            </w:pPr>
            <w:r>
              <w:rPr>
                <w:rFonts w:ascii="Calibri" w:hAnsi="Calibri"/>
                <w:color w:val="222222"/>
                <w:sz w:val="18"/>
              </w:rPr>
              <w:t>Ausgewähltes Modell</w:t>
            </w:r>
          </w:p>
        </w:tc>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Lenovo ThinkCentre M70s Gen 4 (690,00 € netto)</w:t>
            </w:r>
          </w:p>
        </w:tc>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Lenovo ThinkStation P3 Tower (3.200,00 € netto)</w:t>
            </w:r>
          </w:p>
        </w:tc>
      </w:tr>
    </w:tbl>
    <w:p>
      <w:pPr>
        <w:spacing w:after="120"/>
      </w:pPr>
    </w:p>
    <w:p>
      <w:pPr>
        <w:spacing w:before="200" w:after="80" w:line="276" w:lineRule="auto"/>
      </w:pPr>
      <w:r>
        <w:rPr>
          <w:rFonts w:ascii="Calibri" w:hAnsi="Calibri"/>
          <w:b/>
          <w:color w:val="006699"/>
          <w:sz w:val="25"/>
        </w:rPr>
        <w:t>4.2 Ergonomie, Peripherie und Drucker-Infrastruktur</w:t>
      </w:r>
    </w:p>
    <w:p>
      <w:pPr>
        <w:pStyle w:val="ListBullet"/>
        <w:spacing w:before="0" w:after="60" w:line="276" w:lineRule="auto"/>
      </w:pPr>
      <w:r>
        <w:rPr>
          <w:rFonts w:ascii="Calibri" w:hAnsi="Calibri"/>
          <w:b/>
          <w:color w:val="222222"/>
          <w:sz w:val="20"/>
        </w:rPr>
        <w:t xml:space="preserve">32× Ergonomische Monitore: </w:t>
      </w:r>
      <w:r>
        <w:rPr>
          <w:rFonts w:ascii="Calibri" w:hAnsi="Calibri"/>
          <w:color w:val="222222"/>
          <w:sz w:val="20"/>
        </w:rPr>
        <w:t>Dell UltraSharp U2724D. 27 Zoll Bildschirmdiagonale, WQHD-Auflösung (2.560 × 1.440 Pixel), IPS Black Panel mit 2.000:1 Kontrast, 120 Hz Bildwiederholrate, Hardware-Blaulichtfilter (ComfortView Plus). Voll ergonomisch einstellbar: 150 mm Höhenverstellung, Neigung (-5° bis +21°), Schwenken (±45°) und 90° Pivot-Funktion.</w:t>
      </w:r>
    </w:p>
    <w:p>
      <w:pPr>
        <w:pStyle w:val="ListBullet"/>
        <w:spacing w:before="0" w:after="60" w:line="276" w:lineRule="auto"/>
      </w:pPr>
      <w:r>
        <w:rPr>
          <w:rFonts w:ascii="Calibri" w:hAnsi="Calibri"/>
          <w:b/>
          <w:color w:val="222222"/>
          <w:sz w:val="20"/>
        </w:rPr>
        <w:t xml:space="preserve">16× Tastatur-Maus-Sets: </w:t>
      </w:r>
      <w:r>
        <w:rPr>
          <w:rFonts w:ascii="Calibri" w:hAnsi="Calibri"/>
          <w:color w:val="222222"/>
          <w:sz w:val="20"/>
        </w:rPr>
        <w:t>Logitech MK650 Signature Business. Kabellose Funk-/Bluetooth-Verbindung mit sicherer AES-128 Bit Verschlüsselung gegen Keylogger-Angriffe, leise Tastenmechanik, ergonomische Handballenauflage.</w:t>
      </w:r>
    </w:p>
    <w:p>
      <w:pPr>
        <w:pStyle w:val="ListBullet"/>
        <w:spacing w:before="0" w:after="60" w:line="276" w:lineRule="auto"/>
      </w:pPr>
      <w:r>
        <w:rPr>
          <w:rFonts w:ascii="Calibri" w:hAnsi="Calibri"/>
          <w:b/>
          <w:color w:val="222222"/>
          <w:sz w:val="20"/>
        </w:rPr>
        <w:t xml:space="preserve">16× Externe SSDs: </w:t>
      </w:r>
      <w:r>
        <w:rPr>
          <w:rFonts w:ascii="Calibri" w:hAnsi="Calibri"/>
          <w:color w:val="222222"/>
          <w:sz w:val="20"/>
        </w:rPr>
        <w:t>Samsung T7 Shield 1 TB. Robustes IP65-zertifiziertes Gehäuse (stoß- und spritzwassergeschützt), USB 3.2 Gen 2 Schnittstelle (bis zu 1.050 MB/s Übertragungsrate) zur lokalen täglichen Datensicherung.</w:t>
      </w:r>
    </w:p>
    <w:p>
      <w:pPr>
        <w:pStyle w:val="ListBullet"/>
        <w:spacing w:before="0" w:after="60" w:line="276" w:lineRule="auto"/>
      </w:pPr>
      <w:r>
        <w:rPr>
          <w:rFonts w:ascii="Calibri" w:hAnsi="Calibri"/>
          <w:b/>
          <w:color w:val="222222"/>
          <w:sz w:val="20"/>
        </w:rPr>
        <w:t xml:space="preserve">1× Zentraler MFP-Drucker: </w:t>
      </w:r>
      <w:r>
        <w:rPr>
          <w:rFonts w:ascii="Calibri" w:hAnsi="Calibri"/>
          <w:color w:val="222222"/>
          <w:sz w:val="20"/>
        </w:rPr>
        <w:t>Lexmark CX930dse A3/A4 Farblaser-Multifunktionsgerät. Bis zu 35 Seiten/Minute in Farbe und Schwarzweiß, 1.200 × 1.200 dpi Druckauflösung, Duplex-Single-Pass-Vorlageneinzug (ADF) für schnelles Scannen von Plänen und Verträgen, PostScript 3 / PCL 6 Emulation, integrierte Gigabit-Netzwerkkarte.</w:t>
      </w:r>
    </w:p>
    <w:p>
      <w:pPr>
        <w:spacing w:before="200" w:after="80" w:line="276" w:lineRule="auto"/>
      </w:pPr>
      <w:r>
        <w:rPr>
          <w:rFonts w:ascii="Calibri" w:hAnsi="Calibri"/>
          <w:b/>
          <w:color w:val="006699"/>
          <w:sz w:val="25"/>
        </w:rPr>
        <w:t>4.3 Softwareausstattung und Lizenzierung</w:t>
      </w:r>
    </w:p>
    <w:p>
      <w:pPr>
        <w:pStyle w:val="ListBullet"/>
        <w:spacing w:before="0" w:after="60" w:line="276" w:lineRule="auto"/>
      </w:pPr>
      <w:r>
        <w:rPr>
          <w:rFonts w:ascii="Calibri" w:hAnsi="Calibri"/>
          <w:b/>
          <w:color w:val="222222"/>
          <w:sz w:val="20"/>
        </w:rPr>
        <w:t xml:space="preserve">Betriebssystem: </w:t>
      </w:r>
      <w:r>
        <w:rPr>
          <w:rFonts w:ascii="Calibri" w:hAnsi="Calibri"/>
          <w:color w:val="222222"/>
          <w:sz w:val="20"/>
        </w:rPr>
        <w:t>16 OEM-Lizenzen Windows 11 Pro 64-Bit mit nativer BitLocker-Laufwerksverschlüsselung, Domain-Join und Gruppenrichtlinienunterstützung.</w:t>
      </w:r>
    </w:p>
    <w:p>
      <w:pPr>
        <w:pStyle w:val="ListBullet"/>
        <w:spacing w:before="0" w:after="60" w:line="276" w:lineRule="auto"/>
      </w:pPr>
      <w:r>
        <w:rPr>
          <w:rFonts w:ascii="Calibri" w:hAnsi="Calibri"/>
          <w:b/>
          <w:color w:val="222222"/>
          <w:sz w:val="20"/>
        </w:rPr>
        <w:t xml:space="preserve">Bürosoftware: </w:t>
      </w:r>
      <w:r>
        <w:rPr>
          <w:rFonts w:ascii="Calibri" w:hAnsi="Calibri"/>
          <w:color w:val="222222"/>
          <w:sz w:val="20"/>
        </w:rPr>
        <w:t>16 Benutzer-Jahresabonnements Microsoft 365 Business Standard (Word, Excel, PowerPoint, Outlook, Teams, OneDrive/SharePoint mit 1 TB Cloud-Speicher).</w:t>
      </w:r>
    </w:p>
    <w:p>
      <w:pPr>
        <w:pStyle w:val="ListBullet"/>
        <w:spacing w:before="0" w:after="60" w:line="276" w:lineRule="auto"/>
      </w:pPr>
      <w:r>
        <w:rPr>
          <w:rFonts w:ascii="Calibri" w:hAnsi="Calibri"/>
          <w:b/>
          <w:color w:val="222222"/>
          <w:sz w:val="20"/>
        </w:rPr>
        <w:t xml:space="preserve">PDF-Verarbeitung: </w:t>
      </w:r>
      <w:r>
        <w:rPr>
          <w:rFonts w:ascii="Calibri" w:hAnsi="Calibri"/>
          <w:color w:val="222222"/>
          <w:sz w:val="20"/>
        </w:rPr>
        <w:t>16 Jahreslizenzen Adobe Acrobat Pro for Teams zur Erstellung, Kommentierung, Bearbeitung und digitalen Signatur von PDF/A-Bauakten und Ausschreibungen.</w:t>
      </w:r>
    </w:p>
    <w:p>
      <w:pPr>
        <w:pStyle w:val="ListBullet"/>
        <w:spacing w:before="0" w:after="60" w:line="276" w:lineRule="auto"/>
      </w:pPr>
      <w:r>
        <w:rPr>
          <w:rFonts w:ascii="Calibri" w:hAnsi="Calibri"/>
          <w:b/>
          <w:color w:val="222222"/>
          <w:sz w:val="20"/>
        </w:rPr>
        <w:t xml:space="preserve">Endpoint Security: </w:t>
      </w:r>
      <w:r>
        <w:rPr>
          <w:rFonts w:ascii="Calibri" w:hAnsi="Calibri"/>
          <w:color w:val="222222"/>
          <w:sz w:val="20"/>
        </w:rPr>
        <w:t>16 Jahreslizenzen ESET PROTECT Entry (zentral über Cloud-Konsole verwaltbarer Next-Gen-Virenschutz mit Verhaltensanalyse, Exploit Blocker und Ransomware Shield).</w:t>
      </w:r>
    </w:p>
    <w:p>
      <w:pPr>
        <w:spacing w:before="280" w:after="120" w:line="276" w:lineRule="auto"/>
      </w:pPr>
      <w:r>
        <w:rPr>
          <w:rFonts w:ascii="Calibri" w:hAnsi="Calibri"/>
          <w:b/>
          <w:color w:val="003366"/>
          <w:sz w:val="30"/>
        </w:rPr>
        <w:t>5. Marktrecherche &amp; Nutzwertanalysen (Aufgabe 3)</w:t>
      </w:r>
    </w:p>
    <w:p>
      <w:pPr>
        <w:spacing w:before="0" w:after="100" w:line="276" w:lineRule="auto"/>
      </w:pPr>
      <w:r>
        <w:rPr>
          <w:rFonts w:ascii="Calibri" w:hAnsi="Calibri"/>
          <w:color w:val="222222"/>
          <w:sz w:val="20"/>
        </w:rPr>
        <w:t>Um eine objektive, nachvollziehbare und revisionssichere Kaufentscheidung zu treffen, führte das Team Marian Bolecke und Mathias Vonau eine zweistufige Marktrecherche sowie gewichtete Nutzwertanalysen (NWA nach VDI 2225) auf einer Skala von 1 bis 10 Punkten durch.</w:t>
      </w:r>
    </w:p>
    <w:p>
      <w:pPr>
        <w:spacing w:before="200" w:after="80" w:line="276" w:lineRule="auto"/>
      </w:pPr>
      <w:r>
        <w:rPr>
          <w:rFonts w:ascii="Calibri" w:hAnsi="Calibri"/>
          <w:b/>
          <w:color w:val="006699"/>
          <w:sz w:val="25"/>
        </w:rPr>
        <w:t>5.1 Nutzwertanalyse CAD/BIM-Workstations</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1958"/>
        <w:gridCol w:w="1958"/>
        <w:gridCol w:w="1958"/>
        <w:gridCol w:w="1958"/>
        <w:gridCol w:w="1958"/>
      </w:tblGrid>
      <w:tr>
        <w:trPr>
          <w:tblHeader/>
        </w:trPr>
        <w:tc>
          <w:tcPr>
            <w:tcW w:type="dxa" w:w="3456"/>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Entscheidungskriterium</w:t>
            </w:r>
          </w:p>
        </w:tc>
        <w:tc>
          <w:tcPr>
            <w:tcW w:type="dxa" w:w="1440"/>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Gewichtung</w:t>
            </w:r>
          </w:p>
        </w:tc>
        <w:tc>
          <w:tcPr>
            <w:tcW w:type="dxa" w:w="201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Lenovo ThinkStation P3</w:t>
            </w:r>
          </w:p>
        </w:tc>
        <w:tc>
          <w:tcPr>
            <w:tcW w:type="dxa" w:w="201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Dell Precision 3660</w:t>
            </w:r>
          </w:p>
        </w:tc>
        <w:tc>
          <w:tcPr>
            <w:tcW w:type="dxa" w:w="201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HP Z2 Tower G9</w:t>
            </w:r>
          </w:p>
        </w:tc>
      </w:tr>
      <w:tr>
        <w:tc>
          <w:tcPr>
            <w:tcW w:type="dxa" w:w="3456"/>
            <w:tcMar>
              <w:top w:w="80" w:type="dxa"/>
              <w:bottom w:w="80" w:type="dxa"/>
              <w:left w:w="120" w:type="dxa"/>
              <w:right w:w="120" w:type="dxa"/>
            </w:tcMar>
          </w:tcPr>
          <w:p>
            <w:pPr>
              <w:spacing w:before="0" w:after="0" w:line="276" w:lineRule="auto"/>
              <w:jc w:val="left"/>
            </w:pPr>
            <w:r>
              <w:rPr>
                <w:rFonts w:ascii="Calibri" w:hAnsi="Calibri"/>
                <w:color w:val="222222"/>
                <w:sz w:val="18"/>
              </w:rPr>
              <w:t>Rechen- &amp; Grafikleistung (GPU/CPU)</w:t>
            </w:r>
          </w:p>
        </w:tc>
        <w:tc>
          <w:tcPr>
            <w:tcW w:type="dxa" w:w="1440"/>
            <w:tcMar>
              <w:top w:w="80" w:type="dxa"/>
              <w:bottom w:w="80" w:type="dxa"/>
              <w:left w:w="120" w:type="dxa"/>
              <w:right w:w="120" w:type="dxa"/>
            </w:tcMar>
          </w:tcPr>
          <w:p>
            <w:pPr>
              <w:spacing w:before="0" w:after="0" w:line="276" w:lineRule="auto"/>
              <w:jc w:val="center"/>
            </w:pPr>
            <w:r>
              <w:rPr>
                <w:rFonts w:ascii="Calibri" w:hAnsi="Calibri"/>
                <w:color w:val="222222"/>
                <w:sz w:val="18"/>
              </w:rPr>
              <w:t>35 %</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9 / 3,15</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 / 2,80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6 / 2,10</w:t>
            </w:r>
          </w:p>
        </w:tc>
      </w:tr>
      <w:tr>
        <w:tc>
          <w:tcPr>
            <w:tcW w:type="dxa" w:w="3456"/>
            <w:shd w:fill="F4F6F9"/>
            <w:tcMar>
              <w:top w:w="80" w:type="dxa"/>
              <w:bottom w:w="80" w:type="dxa"/>
              <w:left w:w="120" w:type="dxa"/>
              <w:right w:w="120" w:type="dxa"/>
            </w:tcMar>
          </w:tcPr>
          <w:p>
            <w:pPr>
              <w:spacing w:before="0" w:after="0" w:line="276" w:lineRule="auto"/>
              <w:jc w:val="left"/>
            </w:pPr>
            <w:r>
              <w:rPr>
                <w:rFonts w:ascii="Calibri" w:hAnsi="Calibri"/>
                <w:color w:val="222222"/>
                <w:sz w:val="18"/>
              </w:rPr>
              <w:t>Arbeitsspeicher &amp; Erweiterbarkeit</w:t>
            </w:r>
          </w:p>
        </w:tc>
        <w:tc>
          <w:tcPr>
            <w:tcW w:type="dxa" w:w="144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15 %</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1,20</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9 / 1,35</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7 / 1,05</w:t>
            </w:r>
          </w:p>
        </w:tc>
      </w:tr>
      <w:tr>
        <w:tc>
          <w:tcPr>
            <w:tcW w:type="dxa" w:w="3456"/>
            <w:tcMar>
              <w:top w:w="80" w:type="dxa"/>
              <w:bottom w:w="80" w:type="dxa"/>
              <w:left w:w="120" w:type="dxa"/>
              <w:right w:w="120" w:type="dxa"/>
            </w:tcMar>
          </w:tcPr>
          <w:p>
            <w:pPr>
              <w:spacing w:before="0" w:after="0" w:line="276" w:lineRule="auto"/>
              <w:jc w:val="left"/>
            </w:pPr>
            <w:r>
              <w:rPr>
                <w:rFonts w:ascii="Calibri" w:hAnsi="Calibri"/>
                <w:color w:val="222222"/>
                <w:sz w:val="18"/>
              </w:rPr>
              <w:t>Preis-Leistungs-Verhältnis</w:t>
            </w:r>
          </w:p>
        </w:tc>
        <w:tc>
          <w:tcPr>
            <w:tcW w:type="dxa" w:w="1440"/>
            <w:tcMar>
              <w:top w:w="80" w:type="dxa"/>
              <w:bottom w:w="80" w:type="dxa"/>
              <w:left w:w="120" w:type="dxa"/>
              <w:right w:w="120" w:type="dxa"/>
            </w:tcMar>
          </w:tcPr>
          <w:p>
            <w:pPr>
              <w:spacing w:before="0" w:after="0" w:line="276" w:lineRule="auto"/>
              <w:jc w:val="center"/>
            </w:pPr>
            <w:r>
              <w:rPr>
                <w:rFonts w:ascii="Calibri" w:hAnsi="Calibri"/>
                <w:color w:val="222222"/>
                <w:sz w:val="18"/>
              </w:rPr>
              <w:t>20 %</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7 / 1,40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 / 1,60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9 / 1,80</w:t>
            </w:r>
          </w:p>
        </w:tc>
      </w:tr>
      <w:tr>
        <w:tc>
          <w:tcPr>
            <w:tcW w:type="dxa" w:w="3456"/>
            <w:shd w:fill="F4F6F9"/>
            <w:tcMar>
              <w:top w:w="80" w:type="dxa"/>
              <w:bottom w:w="80" w:type="dxa"/>
              <w:left w:w="120" w:type="dxa"/>
              <w:right w:w="120" w:type="dxa"/>
            </w:tcMar>
          </w:tcPr>
          <w:p>
            <w:pPr>
              <w:spacing w:before="0" w:after="0" w:line="276" w:lineRule="auto"/>
              <w:jc w:val="left"/>
            </w:pPr>
            <w:r>
              <w:rPr>
                <w:rFonts w:ascii="Calibri" w:hAnsi="Calibri"/>
                <w:color w:val="222222"/>
                <w:sz w:val="18"/>
              </w:rPr>
              <w:t>Garantie &amp; Servicelevel (3J Vor-Ort)</w:t>
            </w:r>
          </w:p>
        </w:tc>
        <w:tc>
          <w:tcPr>
            <w:tcW w:type="dxa" w:w="144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15 %</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1,20</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9 / 1,35</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1,20</w:t>
            </w:r>
          </w:p>
        </w:tc>
      </w:tr>
      <w:tr>
        <w:tc>
          <w:tcPr>
            <w:tcW w:type="dxa" w:w="3456"/>
            <w:tcMar>
              <w:top w:w="80" w:type="dxa"/>
              <w:bottom w:w="80" w:type="dxa"/>
              <w:left w:w="120" w:type="dxa"/>
              <w:right w:w="120" w:type="dxa"/>
            </w:tcMar>
          </w:tcPr>
          <w:p>
            <w:pPr>
              <w:spacing w:before="0" w:after="0" w:line="276" w:lineRule="auto"/>
              <w:jc w:val="left"/>
            </w:pPr>
            <w:r>
              <w:rPr>
                <w:rFonts w:ascii="Calibri" w:hAnsi="Calibri"/>
                <w:color w:val="222222"/>
                <w:sz w:val="18"/>
              </w:rPr>
              <w:t>Energieeffizienz &amp; Geräuschemission</w:t>
            </w:r>
          </w:p>
        </w:tc>
        <w:tc>
          <w:tcPr>
            <w:tcW w:type="dxa" w:w="1440"/>
            <w:tcMar>
              <w:top w:w="80" w:type="dxa"/>
              <w:bottom w:w="80" w:type="dxa"/>
              <w:left w:w="120" w:type="dxa"/>
              <w:right w:w="120" w:type="dxa"/>
            </w:tcMar>
          </w:tcPr>
          <w:p>
            <w:pPr>
              <w:spacing w:before="0" w:after="0" w:line="276" w:lineRule="auto"/>
              <w:jc w:val="center"/>
            </w:pPr>
            <w:r>
              <w:rPr>
                <w:rFonts w:ascii="Calibri" w:hAnsi="Calibri"/>
                <w:color w:val="222222"/>
                <w:sz w:val="18"/>
              </w:rPr>
              <w:t>10 %</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7 / 0,70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7 / 0,70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 / 0,80</w:t>
            </w:r>
          </w:p>
        </w:tc>
      </w:tr>
      <w:tr>
        <w:tc>
          <w:tcPr>
            <w:tcW w:type="dxa" w:w="3456"/>
            <w:shd w:fill="F4F6F9"/>
            <w:tcMar>
              <w:top w:w="80" w:type="dxa"/>
              <w:bottom w:w="80" w:type="dxa"/>
              <w:left w:w="120" w:type="dxa"/>
              <w:right w:w="120" w:type="dxa"/>
            </w:tcMar>
          </w:tcPr>
          <w:p>
            <w:pPr>
              <w:spacing w:before="0" w:after="0" w:line="276" w:lineRule="auto"/>
              <w:jc w:val="left"/>
            </w:pPr>
            <w:r>
              <w:rPr>
                <w:rFonts w:ascii="Calibri" w:hAnsi="Calibri"/>
                <w:color w:val="222222"/>
                <w:sz w:val="18"/>
              </w:rPr>
              <w:t>Lieferzeit &amp; Marktverfügbarkeit</w:t>
            </w:r>
          </w:p>
        </w:tc>
        <w:tc>
          <w:tcPr>
            <w:tcW w:type="dxa" w:w="144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5 %</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9 / 0,45</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0,40</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0,40</w:t>
            </w:r>
          </w:p>
        </w:tc>
      </w:tr>
      <w:tr>
        <w:tc>
          <w:tcPr>
            <w:tcW w:type="dxa" w:w="3456"/>
            <w:tcMar>
              <w:top w:w="80" w:type="dxa"/>
              <w:bottom w:w="80" w:type="dxa"/>
              <w:left w:w="120" w:type="dxa"/>
              <w:right w:w="120" w:type="dxa"/>
            </w:tcMar>
          </w:tcPr>
          <w:p>
            <w:pPr>
              <w:spacing w:before="0" w:after="0" w:line="276" w:lineRule="auto"/>
              <w:jc w:val="left"/>
            </w:pPr>
            <w:r>
              <w:rPr>
                <w:rFonts w:ascii="Calibri" w:hAnsi="Calibri"/>
                <w:color w:val="222222"/>
                <w:sz w:val="18"/>
              </w:rPr>
              <w:t>GESAMTER NUTZWERT (100 %)</w:t>
            </w:r>
          </w:p>
        </w:tc>
        <w:tc>
          <w:tcPr>
            <w:tcW w:type="dxa" w:w="1440"/>
            <w:tcMar>
              <w:top w:w="80" w:type="dxa"/>
              <w:bottom w:w="80" w:type="dxa"/>
              <w:left w:w="120" w:type="dxa"/>
              <w:right w:w="120" w:type="dxa"/>
            </w:tcMar>
          </w:tcPr>
          <w:p>
            <w:pPr>
              <w:spacing w:before="0" w:after="0" w:line="276" w:lineRule="auto"/>
              <w:jc w:val="center"/>
            </w:pPr>
            <w:r>
              <w:rPr>
                <w:rFonts w:ascii="Calibri" w:hAnsi="Calibri"/>
                <w:color w:val="222222"/>
                <w:sz w:val="18"/>
              </w:rPr>
              <w:t>100 %</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8,70 Punkte (Rang 1)</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8,25 Punkte (Rang 2)</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7,30 Punkte (Rang 3)</w:t>
            </w:r>
          </w:p>
        </w:tc>
      </w:tr>
    </w:tbl>
    <w:p>
      <w:pPr>
        <w:spacing w:after="120"/>
      </w:pPr>
    </w:p>
    <w:p>
      <w:pPr>
        <w:spacing w:before="0" w:after="100" w:line="276" w:lineRule="auto"/>
      </w:pPr>
      <w:r>
        <w:rPr>
          <w:rFonts w:ascii="Calibri" w:hAnsi="Calibri"/>
          <w:b/>
          <w:color w:val="222222"/>
          <w:sz w:val="20"/>
        </w:rPr>
        <w:t xml:space="preserve">Begründung der Auswahl: </w:t>
      </w:r>
      <w:r>
        <w:rPr>
          <w:rFonts w:ascii="Calibri" w:hAnsi="Calibri"/>
          <w:color w:val="222222"/>
          <w:sz w:val="20"/>
        </w:rPr>
        <w:t>Die Lenovo ThinkStation P3 Tower gewinnt die Nutzwertanalyse mit deutlichem Vorsprung (8,70 Punkte). Ausschlaggebend war die überlegene Grafikleistung der NVIDIA RTX 4000 Ada mit 20 GB VRAM. Die schwächere GPU der HP Z2 (RTX A2000 mit nur 12 GB) fiel für komplexe BIM-Modelle durch.</w:t>
      </w:r>
    </w:p>
    <w:p>
      <w:pPr>
        <w:spacing w:before="200" w:after="80" w:line="276" w:lineRule="auto"/>
      </w:pPr>
      <w:r>
        <w:rPr>
          <w:rFonts w:ascii="Calibri" w:hAnsi="Calibri"/>
          <w:b/>
          <w:color w:val="006699"/>
          <w:sz w:val="25"/>
        </w:rPr>
        <w:t>5.2 Nutzwertanalyse Monitore</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1958"/>
        <w:gridCol w:w="1958"/>
        <w:gridCol w:w="1958"/>
        <w:gridCol w:w="1958"/>
        <w:gridCol w:w="1958"/>
      </w:tblGrid>
      <w:tr>
        <w:trPr>
          <w:tblHeader/>
        </w:trPr>
        <w:tc>
          <w:tcPr>
            <w:tcW w:type="dxa" w:w="3456"/>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Entscheidungskriterium</w:t>
            </w:r>
          </w:p>
        </w:tc>
        <w:tc>
          <w:tcPr>
            <w:tcW w:type="dxa" w:w="1440"/>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Gewichtung</w:t>
            </w:r>
          </w:p>
        </w:tc>
        <w:tc>
          <w:tcPr>
            <w:tcW w:type="dxa" w:w="201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Dell UltraSharp U2724D</w:t>
            </w:r>
          </w:p>
        </w:tc>
        <w:tc>
          <w:tcPr>
            <w:tcW w:type="dxa" w:w="201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Lenovo ThinkVision P27h</w:t>
            </w:r>
          </w:p>
        </w:tc>
        <w:tc>
          <w:tcPr>
            <w:tcW w:type="dxa" w:w="201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EIZO FlexScan EV2781</w:t>
            </w:r>
          </w:p>
        </w:tc>
      </w:tr>
      <w:tr>
        <w:tc>
          <w:tcPr>
            <w:tcW w:type="dxa" w:w="3456"/>
            <w:tcMar>
              <w:top w:w="80" w:type="dxa"/>
              <w:bottom w:w="80" w:type="dxa"/>
              <w:left w:w="120" w:type="dxa"/>
              <w:right w:w="120" w:type="dxa"/>
            </w:tcMar>
          </w:tcPr>
          <w:p>
            <w:pPr>
              <w:spacing w:before="0" w:after="0" w:line="276" w:lineRule="auto"/>
              <w:jc w:val="left"/>
            </w:pPr>
            <w:r>
              <w:rPr>
                <w:rFonts w:ascii="Calibri" w:hAnsi="Calibri"/>
                <w:color w:val="222222"/>
                <w:sz w:val="18"/>
              </w:rPr>
              <w:t>Bildqualität &amp; Panel (IPS, WQHD)</w:t>
            </w:r>
          </w:p>
        </w:tc>
        <w:tc>
          <w:tcPr>
            <w:tcW w:type="dxa" w:w="1440"/>
            <w:tcMar>
              <w:top w:w="80" w:type="dxa"/>
              <w:bottom w:w="80" w:type="dxa"/>
              <w:left w:w="120" w:type="dxa"/>
              <w:right w:w="120" w:type="dxa"/>
            </w:tcMar>
          </w:tcPr>
          <w:p>
            <w:pPr>
              <w:spacing w:before="0" w:after="0" w:line="276" w:lineRule="auto"/>
              <w:jc w:val="center"/>
            </w:pPr>
            <w:r>
              <w:rPr>
                <w:rFonts w:ascii="Calibri" w:hAnsi="Calibri"/>
                <w:color w:val="222222"/>
                <w:sz w:val="18"/>
              </w:rPr>
              <w:t>25 %</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9 / 2,25</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 / 2,00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9 / 2,25</w:t>
            </w:r>
          </w:p>
        </w:tc>
      </w:tr>
      <w:tr>
        <w:tc>
          <w:tcPr>
            <w:tcW w:type="dxa" w:w="3456"/>
            <w:shd w:fill="F4F6F9"/>
            <w:tcMar>
              <w:top w:w="80" w:type="dxa"/>
              <w:bottom w:w="80" w:type="dxa"/>
              <w:left w:w="120" w:type="dxa"/>
              <w:right w:w="120" w:type="dxa"/>
            </w:tcMar>
          </w:tcPr>
          <w:p>
            <w:pPr>
              <w:spacing w:before="0" w:after="0" w:line="276" w:lineRule="auto"/>
              <w:jc w:val="left"/>
            </w:pPr>
            <w:r>
              <w:rPr>
                <w:rFonts w:ascii="Calibri" w:hAnsi="Calibri"/>
                <w:color w:val="222222"/>
                <w:sz w:val="18"/>
              </w:rPr>
              <w:t>Ergonomie (Höhe, Pivot, Tilt, Swivel)</w:t>
            </w:r>
          </w:p>
        </w:tc>
        <w:tc>
          <w:tcPr>
            <w:tcW w:type="dxa" w:w="144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25 %</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9 / 2,25</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2,00</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10 / 2,50</w:t>
            </w:r>
          </w:p>
        </w:tc>
      </w:tr>
      <w:tr>
        <w:tc>
          <w:tcPr>
            <w:tcW w:type="dxa" w:w="3456"/>
            <w:tcMar>
              <w:top w:w="80" w:type="dxa"/>
              <w:bottom w:w="80" w:type="dxa"/>
              <w:left w:w="120" w:type="dxa"/>
              <w:right w:w="120" w:type="dxa"/>
            </w:tcMar>
          </w:tcPr>
          <w:p>
            <w:pPr>
              <w:spacing w:before="0" w:after="0" w:line="276" w:lineRule="auto"/>
              <w:jc w:val="left"/>
            </w:pPr>
            <w:r>
              <w:rPr>
                <w:rFonts w:ascii="Calibri" w:hAnsi="Calibri"/>
                <w:color w:val="222222"/>
                <w:sz w:val="18"/>
              </w:rPr>
              <w:t>Augenschonung &amp; Blaulichtfilter</w:t>
            </w:r>
          </w:p>
        </w:tc>
        <w:tc>
          <w:tcPr>
            <w:tcW w:type="dxa" w:w="1440"/>
            <w:tcMar>
              <w:top w:w="80" w:type="dxa"/>
              <w:bottom w:w="80" w:type="dxa"/>
              <w:left w:w="120" w:type="dxa"/>
              <w:right w:w="120" w:type="dxa"/>
            </w:tcMar>
          </w:tcPr>
          <w:p>
            <w:pPr>
              <w:spacing w:before="0" w:after="0" w:line="276" w:lineRule="auto"/>
              <w:jc w:val="center"/>
            </w:pPr>
            <w:r>
              <w:rPr>
                <w:rFonts w:ascii="Calibri" w:hAnsi="Calibri"/>
                <w:color w:val="222222"/>
                <w:sz w:val="18"/>
              </w:rPr>
              <w:t>15 %</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 / 1,20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 / 1,20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10 / 1,50</w:t>
            </w:r>
          </w:p>
        </w:tc>
      </w:tr>
      <w:tr>
        <w:tc>
          <w:tcPr>
            <w:tcW w:type="dxa" w:w="3456"/>
            <w:shd w:fill="F4F6F9"/>
            <w:tcMar>
              <w:top w:w="80" w:type="dxa"/>
              <w:bottom w:w="80" w:type="dxa"/>
              <w:left w:w="120" w:type="dxa"/>
              <w:right w:w="120" w:type="dxa"/>
            </w:tcMar>
          </w:tcPr>
          <w:p>
            <w:pPr>
              <w:spacing w:before="0" w:after="0" w:line="276" w:lineRule="auto"/>
              <w:jc w:val="left"/>
            </w:pPr>
            <w:r>
              <w:rPr>
                <w:rFonts w:ascii="Calibri" w:hAnsi="Calibri"/>
                <w:color w:val="222222"/>
                <w:sz w:val="18"/>
              </w:rPr>
              <w:t>Preis-Leistungs-Verhältnis</w:t>
            </w:r>
          </w:p>
        </w:tc>
        <w:tc>
          <w:tcPr>
            <w:tcW w:type="dxa" w:w="144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20 %</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9 / 1,80</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1,60</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5 / 1,00</w:t>
            </w:r>
          </w:p>
        </w:tc>
      </w:tr>
      <w:tr>
        <w:tc>
          <w:tcPr>
            <w:tcW w:type="dxa" w:w="3456"/>
            <w:tcMar>
              <w:top w:w="80" w:type="dxa"/>
              <w:bottom w:w="80" w:type="dxa"/>
              <w:left w:w="120" w:type="dxa"/>
              <w:right w:w="120" w:type="dxa"/>
            </w:tcMar>
          </w:tcPr>
          <w:p>
            <w:pPr>
              <w:spacing w:before="0" w:after="0" w:line="276" w:lineRule="auto"/>
              <w:jc w:val="left"/>
            </w:pPr>
            <w:r>
              <w:rPr>
                <w:rFonts w:ascii="Calibri" w:hAnsi="Calibri"/>
                <w:color w:val="222222"/>
                <w:sz w:val="18"/>
              </w:rPr>
              <w:t>Garantie &amp; Service (Austauschservice)</w:t>
            </w:r>
          </w:p>
        </w:tc>
        <w:tc>
          <w:tcPr>
            <w:tcW w:type="dxa" w:w="1440"/>
            <w:tcMar>
              <w:top w:w="80" w:type="dxa"/>
              <w:bottom w:w="80" w:type="dxa"/>
              <w:left w:w="120" w:type="dxa"/>
              <w:right w:w="120" w:type="dxa"/>
            </w:tcMar>
          </w:tcPr>
          <w:p>
            <w:pPr>
              <w:spacing w:before="0" w:after="0" w:line="276" w:lineRule="auto"/>
              <w:jc w:val="center"/>
            </w:pPr>
            <w:r>
              <w:rPr>
                <w:rFonts w:ascii="Calibri" w:hAnsi="Calibri"/>
                <w:color w:val="222222"/>
                <w:sz w:val="18"/>
              </w:rPr>
              <w:t>10 %</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7 / 0,70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7 / 0,70</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10 / 1,00</w:t>
            </w:r>
          </w:p>
        </w:tc>
      </w:tr>
      <w:tr>
        <w:tc>
          <w:tcPr>
            <w:tcW w:type="dxa" w:w="3456"/>
            <w:shd w:fill="F4F6F9"/>
            <w:tcMar>
              <w:top w:w="80" w:type="dxa"/>
              <w:bottom w:w="80" w:type="dxa"/>
              <w:left w:w="120" w:type="dxa"/>
              <w:right w:w="120" w:type="dxa"/>
            </w:tcMar>
          </w:tcPr>
          <w:p>
            <w:pPr>
              <w:spacing w:before="0" w:after="0" w:line="276" w:lineRule="auto"/>
              <w:jc w:val="left"/>
            </w:pPr>
            <w:r>
              <w:rPr>
                <w:rFonts w:ascii="Calibri" w:hAnsi="Calibri"/>
                <w:color w:val="222222"/>
                <w:sz w:val="18"/>
              </w:rPr>
              <w:t>Konnektivität &amp; Anschlüsse (DP/HDMI)</w:t>
            </w:r>
          </w:p>
        </w:tc>
        <w:tc>
          <w:tcPr>
            <w:tcW w:type="dxa" w:w="1440"/>
            <w:shd w:fill="F4F6F9"/>
            <w:tcMar>
              <w:top w:w="80" w:type="dxa"/>
              <w:bottom w:w="80" w:type="dxa"/>
              <w:left w:w="120" w:type="dxa"/>
              <w:right w:w="120" w:type="dxa"/>
            </w:tcMar>
          </w:tcPr>
          <w:p>
            <w:pPr>
              <w:spacing w:before="0" w:after="0" w:line="276" w:lineRule="auto"/>
              <w:jc w:val="center"/>
            </w:pPr>
            <w:r>
              <w:rPr>
                <w:rFonts w:ascii="Calibri" w:hAnsi="Calibri"/>
                <w:color w:val="222222"/>
                <w:sz w:val="18"/>
              </w:rPr>
              <w:t>5 %</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0,40</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10 / 0,50</w:t>
            </w:r>
          </w:p>
        </w:tc>
        <w:tc>
          <w:tcPr>
            <w:tcW w:type="dxa" w:w="201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8 / 0,40</w:t>
            </w:r>
          </w:p>
        </w:tc>
      </w:tr>
      <w:tr>
        <w:tc>
          <w:tcPr>
            <w:tcW w:type="dxa" w:w="3456"/>
            <w:tcMar>
              <w:top w:w="80" w:type="dxa"/>
              <w:bottom w:w="80" w:type="dxa"/>
              <w:left w:w="120" w:type="dxa"/>
              <w:right w:w="120" w:type="dxa"/>
            </w:tcMar>
          </w:tcPr>
          <w:p>
            <w:pPr>
              <w:spacing w:before="0" w:after="0" w:line="276" w:lineRule="auto"/>
              <w:jc w:val="left"/>
            </w:pPr>
            <w:r>
              <w:rPr>
                <w:rFonts w:ascii="Calibri" w:hAnsi="Calibri"/>
                <w:color w:val="222222"/>
                <w:sz w:val="18"/>
              </w:rPr>
              <w:t>GESAMTER NUTZWERT (100 %)</w:t>
            </w:r>
          </w:p>
        </w:tc>
        <w:tc>
          <w:tcPr>
            <w:tcW w:type="dxa" w:w="1440"/>
            <w:tcMar>
              <w:top w:w="80" w:type="dxa"/>
              <w:bottom w:w="80" w:type="dxa"/>
              <w:left w:w="120" w:type="dxa"/>
              <w:right w:w="120" w:type="dxa"/>
            </w:tcMar>
          </w:tcPr>
          <w:p>
            <w:pPr>
              <w:spacing w:before="0" w:after="0" w:line="276" w:lineRule="auto"/>
              <w:jc w:val="center"/>
            </w:pPr>
            <w:r>
              <w:rPr>
                <w:rFonts w:ascii="Calibri" w:hAnsi="Calibri"/>
                <w:color w:val="222222"/>
                <w:sz w:val="18"/>
              </w:rPr>
              <w:t>100 %</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9,10 Punkte (Rang 1)</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8,30 Punkte (Rang 2)</w:t>
            </w:r>
          </w:p>
        </w:tc>
        <w:tc>
          <w:tcPr>
            <w:tcW w:type="dxa" w:w="2016"/>
            <w:tcMar>
              <w:top w:w="80" w:type="dxa"/>
              <w:bottom w:w="80" w:type="dxa"/>
              <w:left w:w="120" w:type="dxa"/>
              <w:right w:w="120" w:type="dxa"/>
            </w:tcMar>
          </w:tcPr>
          <w:p>
            <w:pPr>
              <w:spacing w:before="0" w:after="0" w:line="276" w:lineRule="auto"/>
              <w:jc w:val="center"/>
            </w:pPr>
            <w:r>
              <w:rPr>
                <w:rFonts w:ascii="Calibri" w:hAnsi="Calibri"/>
                <w:color w:val="222222"/>
                <w:sz w:val="18"/>
              </w:rPr>
              <w:t>8,15 Punkte (Rang 3)</w:t>
            </w:r>
          </w:p>
        </w:tc>
      </w:tr>
    </w:tbl>
    <w:p>
      <w:pPr>
        <w:spacing w:after="120"/>
      </w:pPr>
    </w:p>
    <w:p>
      <w:pPr>
        <w:spacing w:before="0" w:after="100" w:line="276" w:lineRule="auto"/>
      </w:pPr>
      <w:r>
        <w:rPr>
          <w:rFonts w:ascii="Calibri" w:hAnsi="Calibri"/>
          <w:b/>
          <w:color w:val="222222"/>
          <w:sz w:val="20"/>
        </w:rPr>
        <w:t xml:space="preserve">Begründung der Auswahl: </w:t>
      </w:r>
      <w:r>
        <w:rPr>
          <w:rFonts w:ascii="Calibri" w:hAnsi="Calibri"/>
          <w:color w:val="222222"/>
          <w:sz w:val="20"/>
        </w:rPr>
        <w:t>Der Dell UltraSharp U2724D setzt sich mit hervorragenden 9,10 Punkten als Testsieger durch. Er bietet dank IPS Black Technologie die beste Bild- und Kontrastqualität bei hervorragender Ergonomie zu einem sehr attraktiven Einkaufspreis von 310,00 € netto (im Vergleich zum EIZO mit 480,00 € netto).</w:t>
      </w:r>
    </w:p>
    <w:p>
      <w:pPr>
        <w:spacing w:before="280" w:after="120" w:line="276" w:lineRule="auto"/>
      </w:pPr>
      <w:r>
        <w:rPr>
          <w:rFonts w:ascii="Calibri" w:hAnsi="Calibri"/>
          <w:b/>
          <w:color w:val="003366"/>
          <w:sz w:val="30"/>
        </w:rPr>
        <w:t>6. Kaufmännische Preiskalkulation &amp; Angebot (Aufgabe 4)</w:t>
      </w:r>
    </w:p>
    <w:p>
      <w:pPr>
        <w:spacing w:before="0" w:after="100" w:line="276" w:lineRule="auto"/>
      </w:pPr>
      <w:r>
        <w:rPr>
          <w:rFonts w:ascii="Calibri" w:hAnsi="Calibri"/>
          <w:color w:val="222222"/>
          <w:sz w:val="20"/>
        </w:rPr>
        <w:t>Die Preiskalkulation erfolgte nach den Grundsätzen der kaufmännischen Vorwärtskalkulation (Vollkostenrechnung) im Großhandel gemäß Lehrplan für IT-Berufe.</w:t>
      </w:r>
    </w:p>
    <w:p>
      <w:pPr>
        <w:spacing w:before="200" w:after="80" w:line="276" w:lineRule="auto"/>
      </w:pPr>
      <w:r>
        <w:rPr>
          <w:rFonts w:ascii="Calibri" w:hAnsi="Calibri"/>
          <w:b/>
          <w:color w:val="006699"/>
          <w:sz w:val="25"/>
        </w:rPr>
        <w:t>6.1 Kaufmännisches Vorwärtskalkulationsschema</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3264"/>
        <w:gridCol w:w="3264"/>
        <w:gridCol w:w="3264"/>
      </w:tblGrid>
      <w:tr>
        <w:trPr>
          <w:tblHeader/>
        </w:trPr>
        <w:tc>
          <w:tcPr>
            <w:tcW w:type="dxa" w:w="3600"/>
            <w:shd w:fill="003366"/>
            <w:tcMar>
              <w:top w:w="100" w:type="dxa"/>
              <w:bottom w:w="100" w:type="dxa"/>
              <w:left w:w="120" w:type="dxa"/>
              <w:right w:w="120" w:type="dxa"/>
            </w:tcMar>
          </w:tcPr>
          <w:p>
            <w:pPr>
              <w:spacing w:before="0" w:after="0" w:line="276" w:lineRule="auto"/>
            </w:pPr>
            <w:r>
              <w:rPr>
                <w:rFonts w:ascii="Calibri" w:hAnsi="Calibri"/>
                <w:b/>
                <w:color w:val="FFFFFF"/>
                <w:sz w:val="19"/>
              </w:rPr>
              <w:t>Kalkulationsstufe</w:t>
            </w:r>
          </w:p>
        </w:tc>
        <w:tc>
          <w:tcPr>
            <w:tcW w:type="dxa" w:w="1728"/>
            <w:shd w:fill="003366"/>
            <w:tcMar>
              <w:top w:w="100" w:type="dxa"/>
              <w:bottom w:w="100" w:type="dxa"/>
              <w:left w:w="120" w:type="dxa"/>
              <w:right w:w="120" w:type="dxa"/>
            </w:tcMar>
          </w:tcPr>
          <w:p>
            <w:pPr>
              <w:spacing w:before="0" w:after="0" w:line="276" w:lineRule="auto"/>
            </w:pPr>
            <w:r>
              <w:rPr>
                <w:rFonts w:ascii="Calibri" w:hAnsi="Calibri"/>
                <w:b/>
                <w:color w:val="FFFFFF"/>
                <w:sz w:val="19"/>
              </w:rPr>
              <w:t>Prozentsatz</w:t>
            </w:r>
          </w:p>
        </w:tc>
        <w:tc>
          <w:tcPr>
            <w:tcW w:type="dxa" w:w="4464"/>
            <w:shd w:fill="003366"/>
            <w:tcMar>
              <w:top w:w="100" w:type="dxa"/>
              <w:bottom w:w="100" w:type="dxa"/>
              <w:left w:w="120" w:type="dxa"/>
              <w:right w:w="120" w:type="dxa"/>
            </w:tcMar>
          </w:tcPr>
          <w:p>
            <w:pPr>
              <w:spacing w:before="0" w:after="0" w:line="276" w:lineRule="auto"/>
            </w:pPr>
            <w:r>
              <w:rPr>
                <w:rFonts w:ascii="Calibri" w:hAnsi="Calibri"/>
                <w:b/>
                <w:color w:val="FFFFFF"/>
                <w:sz w:val="19"/>
              </w:rPr>
              <w:t>Kaufmännische Definition / Bedeutung</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Listen-Einkaufspreis (LEP)</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100,00 %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Ausgangspreis des Herstellers / Distributors</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 Lieferantenrabatt</w:t>
            </w:r>
          </w:p>
        </w:tc>
        <w:tc>
          <w:tcPr>
            <w:tcW w:type="dxa" w:w="1728"/>
            <w:shd w:fill="F4F6F9"/>
            <w:tcMar>
              <w:top w:w="80" w:type="dxa"/>
              <w:bottom w:w="80" w:type="dxa"/>
              <w:left w:w="120" w:type="dxa"/>
              <w:right w:w="120" w:type="dxa"/>
            </w:tcMar>
          </w:tcPr>
          <w:p>
            <w:pPr>
              <w:spacing w:before="0" w:after="0" w:line="276" w:lineRule="auto"/>
            </w:pPr>
            <w:r>
              <w:rPr>
                <w:rFonts w:ascii="Calibri" w:hAnsi="Calibri"/>
                <w:color w:val="222222"/>
                <w:sz w:val="18"/>
              </w:rPr>
              <w:t>10,00 %</w:t>
            </w:r>
          </w:p>
        </w:tc>
        <w:tc>
          <w:tcPr>
            <w:tcW w:type="dxa" w:w="4464"/>
            <w:shd w:fill="F4F6F9"/>
            <w:tcMar>
              <w:top w:w="80" w:type="dxa"/>
              <w:bottom w:w="80" w:type="dxa"/>
              <w:left w:w="120" w:type="dxa"/>
              <w:right w:w="120" w:type="dxa"/>
            </w:tcMar>
          </w:tcPr>
          <w:p>
            <w:pPr>
              <w:spacing w:before="0" w:after="0" w:line="276" w:lineRule="auto"/>
            </w:pPr>
            <w:r>
              <w:rPr>
                <w:rFonts w:ascii="Calibri" w:hAnsi="Calibri"/>
                <w:color w:val="222222"/>
                <w:sz w:val="18"/>
              </w:rPr>
              <w:t>Projektkonditionen / Mengenrabatt</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 Zieleinkaufspreis (ZEP)</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90,00 %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Zwischensumme nach Rabattabzug</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 Lieferantenskonto</w:t>
            </w:r>
          </w:p>
        </w:tc>
        <w:tc>
          <w:tcPr>
            <w:tcW w:type="dxa" w:w="1728"/>
            <w:shd w:fill="F4F6F9"/>
            <w:tcMar>
              <w:top w:w="80" w:type="dxa"/>
              <w:bottom w:w="80" w:type="dxa"/>
              <w:left w:w="120" w:type="dxa"/>
              <w:right w:w="120" w:type="dxa"/>
            </w:tcMar>
          </w:tcPr>
          <w:p>
            <w:pPr>
              <w:spacing w:before="0" w:after="0" w:line="276" w:lineRule="auto"/>
            </w:pPr>
            <w:r>
              <w:rPr>
                <w:rFonts w:ascii="Calibri" w:hAnsi="Calibri"/>
                <w:color w:val="222222"/>
                <w:sz w:val="18"/>
              </w:rPr>
              <w:t>2,00 %</w:t>
            </w:r>
          </w:p>
        </w:tc>
        <w:tc>
          <w:tcPr>
            <w:tcW w:type="dxa" w:w="4464"/>
            <w:shd w:fill="F4F6F9"/>
            <w:tcMar>
              <w:top w:w="80" w:type="dxa"/>
              <w:bottom w:w="80" w:type="dxa"/>
              <w:left w:w="120" w:type="dxa"/>
              <w:right w:w="120" w:type="dxa"/>
            </w:tcMar>
          </w:tcPr>
          <w:p>
            <w:pPr>
              <w:spacing w:before="0" w:after="0" w:line="276" w:lineRule="auto"/>
            </w:pPr>
            <w:r>
              <w:rPr>
                <w:rFonts w:ascii="Calibri" w:hAnsi="Calibri"/>
                <w:color w:val="222222"/>
                <w:sz w:val="18"/>
              </w:rPr>
              <w:t>Skontoabzug bei Zahlung binnen 14 Tagen</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 Bareinkaufspreis (BEP)</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88,20 %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Tatsächlich ausgezahlter Betrag an Lieferanten</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 Bezugskosten (Fracht/Versicherung)</w:t>
            </w:r>
          </w:p>
        </w:tc>
        <w:tc>
          <w:tcPr>
            <w:tcW w:type="dxa" w:w="1728"/>
            <w:shd w:fill="F4F6F9"/>
            <w:tcMar>
              <w:top w:w="80" w:type="dxa"/>
              <w:bottom w:w="80" w:type="dxa"/>
              <w:left w:w="120" w:type="dxa"/>
              <w:right w:w="120" w:type="dxa"/>
            </w:tcMar>
          </w:tcPr>
          <w:p>
            <w:pPr>
              <w:spacing w:before="0" w:after="0" w:line="276" w:lineRule="auto"/>
            </w:pPr>
            <w:r>
              <w:rPr>
                <w:rFonts w:ascii="Calibri" w:hAnsi="Calibri"/>
                <w:color w:val="222222"/>
                <w:sz w:val="18"/>
              </w:rPr>
              <w:t>3,00 %</w:t>
            </w:r>
          </w:p>
        </w:tc>
        <w:tc>
          <w:tcPr>
            <w:tcW w:type="dxa" w:w="4464"/>
            <w:shd w:fill="F4F6F9"/>
            <w:tcMar>
              <w:top w:w="80" w:type="dxa"/>
              <w:bottom w:w="80" w:type="dxa"/>
              <w:left w:w="120" w:type="dxa"/>
              <w:right w:w="120" w:type="dxa"/>
            </w:tcMar>
          </w:tcPr>
          <w:p>
            <w:pPr>
              <w:spacing w:before="0" w:after="0" w:line="276" w:lineRule="auto"/>
            </w:pPr>
            <w:r>
              <w:rPr>
                <w:rFonts w:ascii="Calibri" w:hAnsi="Calibri"/>
                <w:color w:val="222222"/>
                <w:sz w:val="18"/>
              </w:rPr>
              <w:t>Spedition, Transportversicherung, Verpackung</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 Bezugspreis (Einstandspreis BP)</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90,85 %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Kaufmännischer Einstandspreis (= Startpunkt Fachhandel)</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 Handlungskostenzuschlag (HKZ)</w:t>
            </w:r>
          </w:p>
        </w:tc>
        <w:tc>
          <w:tcPr>
            <w:tcW w:type="dxa" w:w="1728"/>
            <w:shd w:fill="F4F6F9"/>
            <w:tcMar>
              <w:top w:w="80" w:type="dxa"/>
              <w:bottom w:w="80" w:type="dxa"/>
              <w:left w:w="120" w:type="dxa"/>
              <w:right w:w="120" w:type="dxa"/>
            </w:tcMar>
          </w:tcPr>
          <w:p>
            <w:pPr>
              <w:spacing w:before="0" w:after="0" w:line="276" w:lineRule="auto"/>
            </w:pPr>
            <w:r>
              <w:rPr>
                <w:rFonts w:ascii="Calibri" w:hAnsi="Calibri"/>
                <w:color w:val="222222"/>
                <w:sz w:val="18"/>
              </w:rPr>
              <w:t>25,00 %</w:t>
            </w:r>
          </w:p>
        </w:tc>
        <w:tc>
          <w:tcPr>
            <w:tcW w:type="dxa" w:w="4464"/>
            <w:shd w:fill="F4F6F9"/>
            <w:tcMar>
              <w:top w:w="80" w:type="dxa"/>
              <w:bottom w:w="80" w:type="dxa"/>
              <w:left w:w="120" w:type="dxa"/>
              <w:right w:w="120" w:type="dxa"/>
            </w:tcMar>
          </w:tcPr>
          <w:p>
            <w:pPr>
              <w:spacing w:before="0" w:after="0" w:line="276" w:lineRule="auto"/>
            </w:pPr>
            <w:r>
              <w:rPr>
                <w:rFonts w:ascii="Calibri" w:hAnsi="Calibri"/>
                <w:color w:val="222222"/>
                <w:sz w:val="18"/>
              </w:rPr>
              <w:t>Lager, Verwaltung, Gehälter, Gebäude, IT-Infrastruktur</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 Selbstkostenpreis (SKP)</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113,56 %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Vollkosten des IT-Systemhauses</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 Gewinnzuschlag</w:t>
            </w:r>
          </w:p>
        </w:tc>
        <w:tc>
          <w:tcPr>
            <w:tcW w:type="dxa" w:w="1728"/>
            <w:shd w:fill="F4F6F9"/>
            <w:tcMar>
              <w:top w:w="80" w:type="dxa"/>
              <w:bottom w:w="80" w:type="dxa"/>
              <w:left w:w="120" w:type="dxa"/>
              <w:right w:w="120" w:type="dxa"/>
            </w:tcMar>
          </w:tcPr>
          <w:p>
            <w:pPr>
              <w:spacing w:before="0" w:after="0" w:line="276" w:lineRule="auto"/>
            </w:pPr>
            <w:r>
              <w:rPr>
                <w:rFonts w:ascii="Calibri" w:hAnsi="Calibri"/>
                <w:color w:val="222222"/>
                <w:sz w:val="18"/>
              </w:rPr>
              <w:t>12,00 %</w:t>
            </w:r>
          </w:p>
        </w:tc>
        <w:tc>
          <w:tcPr>
            <w:tcW w:type="dxa" w:w="4464"/>
            <w:shd w:fill="F4F6F9"/>
            <w:tcMar>
              <w:top w:w="80" w:type="dxa"/>
              <w:bottom w:w="80" w:type="dxa"/>
              <w:left w:w="120" w:type="dxa"/>
              <w:right w:w="120" w:type="dxa"/>
            </w:tcMar>
          </w:tcPr>
          <w:p>
            <w:pPr>
              <w:spacing w:before="0" w:after="0" w:line="276" w:lineRule="auto"/>
            </w:pPr>
            <w:r>
              <w:rPr>
                <w:rFonts w:ascii="Calibri" w:hAnsi="Calibri"/>
                <w:color w:val="222222"/>
                <w:sz w:val="18"/>
              </w:rPr>
              <w:t>Angestrebte kalkulierte Marge des IT-Systemhauses</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 Barverkaufspreis (BVP)</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127,19 %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Mindestverkaufspreis bei Barzahlung</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 Kundenskonto</w:t>
            </w:r>
          </w:p>
        </w:tc>
        <w:tc>
          <w:tcPr>
            <w:tcW w:type="dxa" w:w="1728"/>
            <w:shd w:fill="F4F6F9"/>
            <w:tcMar>
              <w:top w:w="80" w:type="dxa"/>
              <w:bottom w:w="80" w:type="dxa"/>
              <w:left w:w="120" w:type="dxa"/>
              <w:right w:w="120" w:type="dxa"/>
            </w:tcMar>
          </w:tcPr>
          <w:p>
            <w:pPr>
              <w:spacing w:before="0" w:after="0" w:line="276" w:lineRule="auto"/>
            </w:pPr>
            <w:r>
              <w:rPr>
                <w:rFonts w:ascii="Calibri" w:hAnsi="Calibri"/>
                <w:color w:val="222222"/>
                <w:sz w:val="18"/>
              </w:rPr>
              <w:t>3,00 %</w:t>
            </w:r>
          </w:p>
        </w:tc>
        <w:tc>
          <w:tcPr>
            <w:tcW w:type="dxa" w:w="4464"/>
            <w:shd w:fill="F4F6F9"/>
            <w:tcMar>
              <w:top w:w="80" w:type="dxa"/>
              <w:bottom w:w="80" w:type="dxa"/>
              <w:left w:w="120" w:type="dxa"/>
              <w:right w:w="120" w:type="dxa"/>
            </w:tcMar>
          </w:tcPr>
          <w:p>
            <w:pPr>
              <w:spacing w:before="0" w:after="0" w:line="276" w:lineRule="auto"/>
            </w:pPr>
            <w:r>
              <w:rPr>
                <w:rFonts w:ascii="Calibri" w:hAnsi="Calibri"/>
                <w:color w:val="222222"/>
                <w:sz w:val="18"/>
              </w:rPr>
              <w:t>Vom Kunden beanspruchbarer Skontoabzug</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 Zielverkaufspreis (ZVP)</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131,12 %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Listenverkaufspreis netto vor Rabatt</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 Kundenrabatt (Neukunde = 0 %)</w:t>
            </w:r>
          </w:p>
        </w:tc>
        <w:tc>
          <w:tcPr>
            <w:tcW w:type="dxa" w:w="1728"/>
            <w:shd w:fill="F4F6F9"/>
            <w:tcMar>
              <w:top w:w="80" w:type="dxa"/>
              <w:bottom w:w="80" w:type="dxa"/>
              <w:left w:w="120" w:type="dxa"/>
              <w:right w:w="120" w:type="dxa"/>
            </w:tcMar>
          </w:tcPr>
          <w:p>
            <w:pPr>
              <w:spacing w:before="0" w:after="0" w:line="276" w:lineRule="auto"/>
            </w:pPr>
            <w:r>
              <w:rPr>
                <w:rFonts w:ascii="Calibri" w:hAnsi="Calibri"/>
                <w:color w:val="222222"/>
                <w:sz w:val="18"/>
              </w:rPr>
              <w:t>0,00 %</w:t>
            </w:r>
          </w:p>
        </w:tc>
        <w:tc>
          <w:tcPr>
            <w:tcW w:type="dxa" w:w="4464"/>
            <w:shd w:fill="F4F6F9"/>
            <w:tcMar>
              <w:top w:w="80" w:type="dxa"/>
              <w:bottom w:w="80" w:type="dxa"/>
              <w:left w:w="120" w:type="dxa"/>
              <w:right w:w="120" w:type="dxa"/>
            </w:tcMar>
          </w:tcPr>
          <w:p>
            <w:pPr>
              <w:spacing w:before="0" w:after="0" w:line="276" w:lineRule="auto"/>
            </w:pPr>
            <w:r>
              <w:rPr>
                <w:rFonts w:ascii="Calibri" w:hAnsi="Calibri"/>
                <w:color w:val="222222"/>
                <w:sz w:val="18"/>
              </w:rPr>
              <w:t>Kein Rabatt für Erstauftrag (Projektpreis)</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 LISTENVERKAUFSPREIS NETTO (LVP)</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131,12 %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Angebotspreis netto an die VektorPlan GmbH</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 Umsatzsteuer (19 % gesetzliche MwSt.)</w:t>
            </w:r>
          </w:p>
        </w:tc>
        <w:tc>
          <w:tcPr>
            <w:tcW w:type="dxa" w:w="1728"/>
            <w:shd w:fill="F4F6F9"/>
            <w:tcMar>
              <w:top w:w="80" w:type="dxa"/>
              <w:bottom w:w="80" w:type="dxa"/>
              <w:left w:w="120" w:type="dxa"/>
              <w:right w:w="120" w:type="dxa"/>
            </w:tcMar>
          </w:tcPr>
          <w:p>
            <w:pPr>
              <w:spacing w:before="0" w:after="0" w:line="276" w:lineRule="auto"/>
            </w:pPr>
            <w:r>
              <w:rPr>
                <w:rFonts w:ascii="Calibri" w:hAnsi="Calibri"/>
                <w:color w:val="222222"/>
                <w:sz w:val="18"/>
              </w:rPr>
              <w:t>24,91 %</w:t>
            </w:r>
          </w:p>
        </w:tc>
        <w:tc>
          <w:tcPr>
            <w:tcW w:type="dxa" w:w="4464"/>
            <w:shd w:fill="F4F6F9"/>
            <w:tcMar>
              <w:top w:w="80" w:type="dxa"/>
              <w:bottom w:w="80" w:type="dxa"/>
              <w:left w:w="120" w:type="dxa"/>
              <w:right w:w="120" w:type="dxa"/>
            </w:tcMar>
          </w:tcPr>
          <w:p>
            <w:pPr>
              <w:spacing w:before="0" w:after="0" w:line="276" w:lineRule="auto"/>
            </w:pPr>
            <w:r>
              <w:rPr>
                <w:rFonts w:ascii="Calibri" w:hAnsi="Calibri"/>
                <w:color w:val="222222"/>
                <w:sz w:val="18"/>
              </w:rPr>
              <w:t>Durchlaufender Posten / Vorsteuerabzugsberechtigt</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 BRUTTO-VERKAUFSPREIS</w:t>
            </w:r>
          </w:p>
        </w:tc>
        <w:tc>
          <w:tcPr>
            <w:tcW w:type="dxa" w:w="1728"/>
            <w:tcMar>
              <w:top w:w="80" w:type="dxa"/>
              <w:bottom w:w="80" w:type="dxa"/>
              <w:left w:w="120" w:type="dxa"/>
              <w:right w:w="120" w:type="dxa"/>
            </w:tcMar>
          </w:tcPr>
          <w:p>
            <w:pPr>
              <w:spacing w:before="0" w:after="0" w:line="276" w:lineRule="auto"/>
            </w:pPr>
            <w:r>
              <w:rPr>
                <w:rFonts w:ascii="Calibri" w:hAnsi="Calibri"/>
                <w:color w:val="222222"/>
                <w:sz w:val="18"/>
              </w:rPr>
              <w:t>156,03 %</w:t>
            </w:r>
          </w:p>
        </w:tc>
        <w:tc>
          <w:tcPr>
            <w:tcW w:type="dxa" w:w="4464"/>
            <w:tcMar>
              <w:top w:w="80" w:type="dxa"/>
              <w:bottom w:w="80" w:type="dxa"/>
              <w:left w:w="120" w:type="dxa"/>
              <w:right w:w="120" w:type="dxa"/>
            </w:tcMar>
          </w:tcPr>
          <w:p>
            <w:pPr>
              <w:spacing w:before="0" w:after="0" w:line="276" w:lineRule="auto"/>
            </w:pPr>
            <w:r>
              <w:rPr>
                <w:rFonts w:ascii="Calibri" w:hAnsi="Calibri"/>
                <w:color w:val="222222"/>
                <w:sz w:val="18"/>
              </w:rPr>
              <w:t>Endbetrag des Angebots inkl. 19 % USt.</w:t>
            </w:r>
          </w:p>
        </w:tc>
      </w:tr>
    </w:tbl>
    <w:p>
      <w:pPr>
        <w:spacing w:after="120"/>
      </w:pPr>
    </w:p>
    <w:p>
      <w:pPr>
        <w:spacing w:before="200" w:after="80" w:line="276" w:lineRule="auto"/>
      </w:pPr>
      <w:r>
        <w:rPr>
          <w:rFonts w:ascii="Calibri" w:hAnsi="Calibri"/>
          <w:b/>
          <w:color w:val="006699"/>
          <w:sz w:val="25"/>
        </w:rPr>
        <w:t>6.2 Kaufmännisches Angebot Nr. NL-2026-VP-001</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1632"/>
        <w:gridCol w:w="1632"/>
        <w:gridCol w:w="1632"/>
        <w:gridCol w:w="1632"/>
        <w:gridCol w:w="1632"/>
        <w:gridCol w:w="1632"/>
      </w:tblGrid>
      <w:tr>
        <w:trPr>
          <w:tblHeader/>
        </w:trPr>
        <w:tc>
          <w:tcPr>
            <w:tcW w:type="dxa" w:w="576"/>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Pos.</w:t>
            </w:r>
          </w:p>
        </w:tc>
        <w:tc>
          <w:tcPr>
            <w:tcW w:type="dxa" w:w="3888"/>
            <w:shd w:fill="003366"/>
            <w:tcMar>
              <w:top w:w="100" w:type="dxa"/>
              <w:bottom w:w="100" w:type="dxa"/>
              <w:left w:w="120" w:type="dxa"/>
              <w:right w:w="120" w:type="dxa"/>
            </w:tcMar>
          </w:tcPr>
          <w:p>
            <w:pPr>
              <w:spacing w:before="0" w:after="0" w:line="276" w:lineRule="auto"/>
              <w:jc w:val="left"/>
            </w:pPr>
            <w:r>
              <w:rPr>
                <w:rFonts w:ascii="Calibri" w:hAnsi="Calibri"/>
                <w:b/>
                <w:color w:val="FFFFFF"/>
                <w:sz w:val="19"/>
              </w:rPr>
              <w:t>Bezeichnung der Liefer- &amp; Serviceleistung</w:t>
            </w:r>
          </w:p>
        </w:tc>
        <w:tc>
          <w:tcPr>
            <w:tcW w:type="dxa" w:w="1152"/>
            <w:shd w:fill="003366"/>
            <w:tcMar>
              <w:top w:w="100" w:type="dxa"/>
              <w:bottom w:w="100" w:type="dxa"/>
              <w:left w:w="120" w:type="dxa"/>
              <w:right w:w="120" w:type="dxa"/>
            </w:tcMar>
          </w:tcPr>
          <w:p>
            <w:pPr>
              <w:spacing w:before="0" w:after="0" w:line="276" w:lineRule="auto"/>
              <w:jc w:val="center"/>
            </w:pPr>
            <w:r>
              <w:rPr>
                <w:rFonts w:ascii="Calibri" w:hAnsi="Calibri"/>
                <w:b/>
                <w:color w:val="FFFFFF"/>
                <w:sz w:val="19"/>
              </w:rPr>
              <w:t>Menge</w:t>
            </w:r>
          </w:p>
        </w:tc>
        <w:tc>
          <w:tcPr>
            <w:tcW w:type="dxa" w:w="1296"/>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EK netto</w:t>
            </w:r>
          </w:p>
        </w:tc>
        <w:tc>
          <w:tcPr>
            <w:tcW w:type="dxa" w:w="1296"/>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VK netto</w:t>
            </w:r>
          </w:p>
        </w:tc>
        <w:tc>
          <w:tcPr>
            <w:tcW w:type="dxa" w:w="1584"/>
            <w:shd w:fill="003366"/>
            <w:tcMar>
              <w:top w:w="100" w:type="dxa"/>
              <w:bottom w:w="100" w:type="dxa"/>
              <w:left w:w="120" w:type="dxa"/>
              <w:right w:w="120" w:type="dxa"/>
            </w:tcMar>
          </w:tcPr>
          <w:p>
            <w:pPr>
              <w:spacing w:before="0" w:after="0" w:line="276" w:lineRule="auto"/>
              <w:jc w:val="right"/>
            </w:pPr>
            <w:r>
              <w:rPr>
                <w:rFonts w:ascii="Calibri" w:hAnsi="Calibri"/>
                <w:b/>
                <w:color w:val="FFFFFF"/>
                <w:sz w:val="19"/>
              </w:rPr>
              <w:t>Gesamt netto</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1</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Lenovo ThinkCentre M70s Gen 4 (Büro-PC)</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12 Stk.</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690,00 €</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1.000,50 €</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12.006,00 €</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2</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Lenovo ThinkStation P3 Tower (CAD)</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4 Stk.</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3.200,00 €</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4.640,00 €</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18.560,00 €</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3</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Dell UltraSharp U2724D (27" WQHD Monitor)</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32 Stk.</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310,00 €</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449,50 €</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14.384,00 €</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4</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Logitech MK650 Signature Business Set</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16 Stk.</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65,00 €</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94,25 €</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1.508,00 €</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5</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Samsung T7 Shield 1 TB externe SSD</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16 Stk.</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95,00 €</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137,75 €</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2.204,00 €</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6</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Cat.6a S/FTP Patchkabel 3 m (InLine)</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16 Stk.</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5,50 €</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7,98 €</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127,68 €</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7</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Lexmark CX930dse A3 Farb-MFP-Drucker</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1 Stk.</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2.200,00 €</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3.190,00 €</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3.190,00 €</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ZWISCHENSUMME HARDWARE</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51.979,68 €</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8</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Windows 11 Pro 64-Bit OEM-Lizenz</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16 Stk.</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135,00 €</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165,00 €</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2.640,00 €</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9</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Microsoft 365 Business Standard (1 Jahr)</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16 User</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125,40 €</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149,00 €</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2.384,00 €</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10</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Adobe Acrobat Pro for Teams (1 Jahr)</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16 User</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287,88 €</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339,00 €</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5.424,00 €</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11</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ESET PROTECT Entry Endpoint Security (1 J.)</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16 User</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36,00 €</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45,00 €</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720,00 €</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ZWISCHENSUMME SOFTWARE (JAHR 1)</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11.168,00 €</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12</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Dienstleistungen: Projektierung &amp; Montage</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Pauschal</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3.881,64 €</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GESAMTANGEBOTSSUMME NETTO</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67.179,32 €</w:t>
            </w:r>
          </w:p>
        </w:tc>
      </w:tr>
      <w:tr>
        <w:tc>
          <w:tcPr>
            <w:tcW w:type="dxa" w:w="576"/>
            <w:shd w:fill="F4F6F9"/>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3888"/>
            <w:shd w:fill="F4F6F9"/>
            <w:tcMar>
              <w:top w:w="80" w:type="dxa"/>
              <w:bottom w:w="80" w:type="dxa"/>
              <w:left w:w="120" w:type="dxa"/>
              <w:right w:w="120" w:type="dxa"/>
            </w:tcMar>
          </w:tcPr>
          <w:p>
            <w:pPr>
              <w:spacing w:before="0" w:after="0" w:line="276" w:lineRule="auto"/>
              <w:jc w:val="left"/>
            </w:pPr>
            <w:r>
              <w:rPr>
                <w:rFonts w:ascii="Calibri" w:hAnsi="Calibri"/>
                <w:color w:val="222222"/>
                <w:sz w:val="18"/>
              </w:rPr>
              <w:t>Zuzüglich 19 % Umsatzsteuer</w:t>
            </w:r>
          </w:p>
        </w:tc>
        <w:tc>
          <w:tcPr>
            <w:tcW w:type="dxa" w:w="1152"/>
            <w:shd w:fill="F4F6F9"/>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296"/>
            <w:shd w:fill="F4F6F9"/>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shd w:fill="F4F6F9"/>
            <w:tcMar>
              <w:top w:w="80" w:type="dxa"/>
              <w:bottom w:w="80" w:type="dxa"/>
              <w:left w:w="120" w:type="dxa"/>
              <w:right w:w="120" w:type="dxa"/>
            </w:tcMar>
          </w:tcPr>
          <w:p>
            <w:pPr>
              <w:spacing w:before="0" w:after="0" w:line="276" w:lineRule="auto"/>
              <w:jc w:val="right"/>
            </w:pPr>
            <w:r>
              <w:rPr>
                <w:rFonts w:ascii="Calibri" w:hAnsi="Calibri"/>
                <w:color w:val="222222"/>
                <w:sz w:val="18"/>
              </w:rPr>
              <w:t>12.764,07 €</w:t>
            </w:r>
          </w:p>
        </w:tc>
      </w:tr>
      <w:tr>
        <w:tc>
          <w:tcPr>
            <w:tcW w:type="dxa" w:w="576"/>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3888"/>
            <w:tcMar>
              <w:top w:w="80" w:type="dxa"/>
              <w:bottom w:w="80" w:type="dxa"/>
              <w:left w:w="120" w:type="dxa"/>
              <w:right w:w="120" w:type="dxa"/>
            </w:tcMar>
          </w:tcPr>
          <w:p>
            <w:pPr>
              <w:spacing w:before="0" w:after="0" w:line="276" w:lineRule="auto"/>
              <w:jc w:val="left"/>
            </w:pPr>
            <w:r>
              <w:rPr>
                <w:rFonts w:ascii="Calibri" w:hAnsi="Calibri"/>
                <w:color w:val="222222"/>
                <w:sz w:val="18"/>
              </w:rPr>
              <w:t>GESAMTBETRAG BRUTTO</w:t>
            </w:r>
          </w:p>
        </w:tc>
        <w:tc>
          <w:tcPr>
            <w:tcW w:type="dxa" w:w="1152"/>
            <w:tcMar>
              <w:top w:w="80" w:type="dxa"/>
              <w:bottom w:w="80" w:type="dxa"/>
              <w:left w:w="120" w:type="dxa"/>
              <w:right w:w="120" w:type="dxa"/>
            </w:tcMar>
          </w:tcPr>
          <w:p>
            <w:pPr>
              <w:spacing w:before="0" w:after="0" w:line="276" w:lineRule="auto"/>
              <w:jc w:val="center"/>
            </w:pPr>
            <w:r>
              <w:rPr>
                <w:rFonts w:ascii="Calibri" w:hAnsi="Calibri"/>
                <w:color w:val="222222"/>
                <w:sz w:val="18"/>
              </w:rPr>
              <w:t>—</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296"/>
            <w:tcMar>
              <w:top w:w="80" w:type="dxa"/>
              <w:bottom w:w="80" w:type="dxa"/>
              <w:left w:w="120" w:type="dxa"/>
              <w:right w:w="120" w:type="dxa"/>
            </w:tcMar>
          </w:tcPr>
          <w:p>
            <w:pPr>
              <w:spacing w:before="0" w:after="0" w:line="276" w:lineRule="auto"/>
              <w:jc w:val="right"/>
            </w:pPr>
            <w:r>
              <w:rPr>
                <w:rFonts w:ascii="Calibri" w:hAnsi="Calibri"/>
                <w:color w:val="222222"/>
                <w:sz w:val="18"/>
              </w:rPr>
              <w:t>—</w:t>
            </w:r>
          </w:p>
        </w:tc>
        <w:tc>
          <w:tcPr>
            <w:tcW w:type="dxa" w:w="1584"/>
            <w:tcMar>
              <w:top w:w="80" w:type="dxa"/>
              <w:bottom w:w="80" w:type="dxa"/>
              <w:left w:w="120" w:type="dxa"/>
              <w:right w:w="120" w:type="dxa"/>
            </w:tcMar>
          </w:tcPr>
          <w:p>
            <w:pPr>
              <w:spacing w:before="0" w:after="0" w:line="276" w:lineRule="auto"/>
              <w:jc w:val="right"/>
            </w:pPr>
            <w:r>
              <w:rPr>
                <w:rFonts w:ascii="Calibri" w:hAnsi="Calibri"/>
                <w:color w:val="222222"/>
                <w:sz w:val="18"/>
              </w:rPr>
              <w:t>79.943,39 €</w:t>
            </w:r>
          </w:p>
        </w:tc>
      </w:tr>
    </w:tbl>
    <w:p>
      <w:pPr>
        <w:spacing w:after="120"/>
      </w:pPr>
    </w:p>
    <w:p>
      <w:pPr>
        <w:spacing w:before="200" w:after="80" w:line="276" w:lineRule="auto"/>
      </w:pPr>
      <w:r>
        <w:rPr>
          <w:rFonts w:ascii="Calibri" w:hAnsi="Calibri"/>
          <w:b/>
          <w:color w:val="006699"/>
          <w:sz w:val="25"/>
        </w:rPr>
        <w:t>6.3 Finanzierungsberatung: IT-Leasing vs. Direktkauf</w:t>
      </w:r>
    </w:p>
    <w:p>
      <w:pPr>
        <w:spacing w:before="0" w:after="100" w:line="276" w:lineRule="auto"/>
      </w:pPr>
      <w:r>
        <w:rPr>
          <w:rFonts w:ascii="Calibri" w:hAnsi="Calibri"/>
          <w:color w:val="222222"/>
          <w:sz w:val="20"/>
        </w:rPr>
        <w:t>Für die Geschäftsleitung der VektorPlan GmbH wurde ein neutrales Informationsblatt (Infoblatt) erarbeitet, das die steuerlichen, bilanziellen und liquiditätsbezogenen Auswirkungen vergleicht:</w:t>
      </w:r>
    </w:p>
    <w:p>
      <w:pPr>
        <w:pStyle w:val="ListBullet"/>
        <w:spacing w:before="0" w:after="60" w:line="276" w:lineRule="auto"/>
      </w:pPr>
      <w:r>
        <w:rPr>
          <w:rFonts w:ascii="Calibri" w:hAnsi="Calibri"/>
          <w:b/>
          <w:color w:val="222222"/>
          <w:sz w:val="20"/>
        </w:rPr>
        <w:t xml:space="preserve">Direktkauf (Kaufvertrag): </w:t>
      </w:r>
      <w:r>
        <w:rPr>
          <w:rFonts w:ascii="Calibri" w:hAnsi="Calibri"/>
          <w:color w:val="222222"/>
          <w:sz w:val="20"/>
        </w:rPr>
        <w:t>Investitionsausgabe (CAPEX). Die Hardware muss im Anlagevermögen aktiviert und über die betriebsgewöhnliche Nutzungsdauer von 3 Jahren nach amtlicher AfA-Tabelle abgeschrieben werden. Erfordert hohen sofortigen Liquiditätsabfluss (79.943,39 € brutto).</w:t>
      </w:r>
    </w:p>
    <w:p>
      <w:pPr>
        <w:pStyle w:val="ListBullet"/>
        <w:spacing w:before="0" w:after="60" w:line="276" w:lineRule="auto"/>
      </w:pPr>
      <w:r>
        <w:rPr>
          <w:rFonts w:ascii="Calibri" w:hAnsi="Calibri"/>
          <w:b/>
          <w:color w:val="222222"/>
          <w:sz w:val="20"/>
        </w:rPr>
        <w:t xml:space="preserve">IT-Leasing (Nutzungsvertrag): </w:t>
      </w:r>
      <w:r>
        <w:rPr>
          <w:rFonts w:ascii="Calibri" w:hAnsi="Calibri"/>
          <w:color w:val="222222"/>
          <w:sz w:val="20"/>
        </w:rPr>
        <w:t>Betriebsausgabe (OPEX). Vollständige Schonung der Kreditlinie und Eigenliquidität. Die monatlichen Leasingraten (ca. 1.620,00 € bei 36 Monaten Laufzeit) sind steuerlich sofort in voller Höhe als Betriebsausgaben abzugsfähig. Am Ende der Laufzeit besteht die Option auf Technologiewechsel ohne Entsorgungsrisiko.</w:t>
      </w:r>
    </w:p>
    <w:p>
      <w:pPr>
        <w:spacing w:before="0" w:after="100" w:line="276" w:lineRule="auto"/>
      </w:pPr>
      <w:r>
        <w:rPr>
          <w:rFonts w:ascii="Calibri" w:hAnsi="Calibri"/>
          <w:b/>
          <w:color w:val="222222"/>
          <w:sz w:val="20"/>
        </w:rPr>
        <w:t xml:space="preserve">Empfehlung: </w:t>
      </w:r>
      <w:r>
        <w:rPr>
          <w:rFonts w:ascii="Calibri" w:hAnsi="Calibri"/>
          <w:color w:val="222222"/>
          <w:sz w:val="20"/>
        </w:rPr>
        <w:t>Da IT-Hardware im Architekturbüro nach 3 Jahren technisch überholt ist (neue CAD-Releases erfordern mehr Grafikleistung), empfiehlt NextLevel IT Solutions der VektorPlan GmbH klar das Leasingmodell.</w:t>
      </w:r>
    </w:p>
    <w:p>
      <w:pPr>
        <w:spacing w:before="280" w:after="120" w:line="276" w:lineRule="auto"/>
      </w:pPr>
      <w:r>
        <w:rPr>
          <w:rFonts w:ascii="Calibri" w:hAnsi="Calibri"/>
          <w:b/>
          <w:color w:val="003366"/>
          <w:sz w:val="30"/>
        </w:rPr>
        <w:t>7. Wareneingangsprüfung &amp; Störungsmanagement (Aufgabe 5)</w:t>
      </w:r>
    </w:p>
    <w:p>
      <w:pPr>
        <w:spacing w:before="0" w:after="100" w:line="276" w:lineRule="auto"/>
      </w:pPr>
      <w:r>
        <w:rPr>
          <w:rFonts w:ascii="Calibri" w:hAnsi="Calibri"/>
          <w:color w:val="222222"/>
          <w:sz w:val="20"/>
        </w:rPr>
        <w:t>Bei Geschäften zwischen Kaufleuten (B2B) gelten strenge handelsrechtliche Sorgfaltspflichten. Das Team von Marco Schmidt definierte den genauen Prüfprozess und bearbeitete ein reales Störungs-Fallbeispiel.</w:t>
      </w:r>
    </w:p>
    <w:p>
      <w:pPr>
        <w:spacing w:before="200" w:after="80" w:line="276" w:lineRule="auto"/>
      </w:pPr>
      <w:r>
        <w:rPr>
          <w:rFonts w:ascii="Calibri" w:hAnsi="Calibri"/>
          <w:b/>
          <w:color w:val="006699"/>
          <w:sz w:val="25"/>
        </w:rPr>
        <w:t>7.1 Die gesetzliche Rügepflicht nach § 377 HGB</w:t>
      </w:r>
    </w:p>
    <w:p>
      <w:pPr>
        <w:pStyle w:val="ListBullet"/>
        <w:spacing w:before="0" w:after="60" w:line="276" w:lineRule="auto"/>
      </w:pPr>
      <w:r>
        <w:rPr>
          <w:rFonts w:ascii="Calibri" w:hAnsi="Calibri"/>
          <w:b/>
          <w:color w:val="222222"/>
          <w:sz w:val="20"/>
        </w:rPr>
        <w:t xml:space="preserve">Beiderseitiger Handelskauf: </w:t>
      </w:r>
      <w:r>
        <w:rPr>
          <w:rFonts w:ascii="Calibri" w:hAnsi="Calibri"/>
          <w:color w:val="222222"/>
          <w:sz w:val="20"/>
        </w:rPr>
        <w:t>Sowohl die NextLevel IT Solutions GmbH als auch der Distributor sind Kaufleute im Sinne des HGB. Es gelten die Bestimmungen des Handelskaufs nach §§ 373 ff. HGB.</w:t>
      </w:r>
    </w:p>
    <w:p>
      <w:pPr>
        <w:pStyle w:val="ListBullet"/>
        <w:spacing w:before="0" w:after="60" w:line="276" w:lineRule="auto"/>
      </w:pPr>
      <w:r>
        <w:rPr>
          <w:rFonts w:ascii="Calibri" w:hAnsi="Calibri"/>
          <w:b/>
          <w:color w:val="222222"/>
          <w:sz w:val="20"/>
        </w:rPr>
        <w:t xml:space="preserve">Gesetzlicher Wortlaut: </w:t>
      </w:r>
      <w:r>
        <w:rPr>
          <w:rFonts w:ascii="Calibri" w:hAnsi="Calibri"/>
          <w:color w:val="222222"/>
          <w:sz w:val="20"/>
        </w:rPr>
        <w:t>Der Käufer hat die Ware unverzüglich nach der Ablieferung durch den Verkäufer, soweit dies nach ordnungsmäßigem Geschäftsgange tunlich ist, zu untersuchen und, wenn sich ein Mangel zeigt, dem Verkäufer unverzüglich Anzeige zu machen (§ 377 Abs. 1 HGB).</w:t>
      </w:r>
    </w:p>
    <w:p>
      <w:pPr>
        <w:pStyle w:val="ListBullet"/>
        <w:spacing w:before="0" w:after="60" w:line="276" w:lineRule="auto"/>
      </w:pPr>
      <w:r>
        <w:rPr>
          <w:rFonts w:ascii="Calibri" w:hAnsi="Calibri"/>
          <w:b/>
          <w:color w:val="222222"/>
          <w:sz w:val="20"/>
        </w:rPr>
        <w:t xml:space="preserve">Offene Mängel: </w:t>
      </w:r>
      <w:r>
        <w:rPr>
          <w:rFonts w:ascii="Calibri" w:hAnsi="Calibri"/>
          <w:color w:val="222222"/>
          <w:sz w:val="20"/>
        </w:rPr>
        <w:t>Äußerlich sichtbare Schäden, Falschlieferungen (Aliud) und Mengenabweichungen. Müssen unverzüglich – in der kaufmännischen Praxis binnen 1 bis maximal 2 Werktagen – gerügt werden.</w:t>
      </w:r>
    </w:p>
    <w:p>
      <w:pPr>
        <w:pStyle w:val="ListBullet"/>
        <w:spacing w:before="0" w:after="60" w:line="276" w:lineRule="auto"/>
      </w:pPr>
      <w:r>
        <w:rPr>
          <w:rFonts w:ascii="Calibri" w:hAnsi="Calibri"/>
          <w:b/>
          <w:color w:val="222222"/>
          <w:sz w:val="20"/>
        </w:rPr>
        <w:t xml:space="preserve">Verdeckte Mängel: </w:t>
      </w:r>
      <w:r>
        <w:rPr>
          <w:rFonts w:ascii="Calibri" w:hAnsi="Calibri"/>
          <w:color w:val="222222"/>
          <w:sz w:val="20"/>
        </w:rPr>
        <w:t>Mängel, die bei einer ordnungsgemäßen Erstprüfung nicht erkennbar waren (z. B. thermische Abstürze nach 4 Stunden Volllast). Müssen unverzüglich nach ihrer Entdeckung gerügt werden.</w:t>
      </w:r>
    </w:p>
    <w:p>
      <w:pPr>
        <w:pStyle w:val="ListBullet"/>
        <w:spacing w:before="0" w:after="60" w:line="276" w:lineRule="auto"/>
      </w:pPr>
      <w:r>
        <w:rPr>
          <w:rFonts w:ascii="Calibri" w:hAnsi="Calibri"/>
          <w:b/>
          <w:color w:val="222222"/>
          <w:sz w:val="20"/>
        </w:rPr>
        <w:t xml:space="preserve">Rechtsfolge bei Fristversäumnis: </w:t>
      </w:r>
      <w:r>
        <w:rPr>
          <w:rFonts w:ascii="Calibri" w:hAnsi="Calibri"/>
          <w:color w:val="222222"/>
          <w:sz w:val="20"/>
        </w:rPr>
        <w:t>Unterlässt der Käufer die rechtzeitige Rüge, gilt die Ware gemäß § 377 Abs. 2 HGB als genehmigt! Das Systemhaus verliert alle gesetzlichen Gewährleistungsrechte (Nachbesserung, Nachlieferung, Minderung, Rücktritt, Schadensersatz) und bliebe auf den Kosten defekter Geräte sitzen.</w:t>
      </w:r>
    </w:p>
    <w:p>
      <w:pPr>
        <w:spacing w:before="200" w:after="80" w:line="276" w:lineRule="auto"/>
      </w:pPr>
      <w:r>
        <w:rPr>
          <w:rFonts w:ascii="Calibri" w:hAnsi="Calibri"/>
          <w:b/>
          <w:color w:val="006699"/>
          <w:sz w:val="25"/>
        </w:rPr>
        <w:t>7.2 Ablauf der 4-stufigen Wareneingangsprüfung</w:t>
      </w:r>
    </w:p>
    <w:p>
      <w:pPr>
        <w:pStyle w:val="ListBullet"/>
        <w:spacing w:before="0" w:after="60" w:line="276" w:lineRule="auto"/>
      </w:pPr>
      <w:r>
        <w:rPr>
          <w:rFonts w:ascii="Calibri" w:hAnsi="Calibri"/>
          <w:b/>
          <w:color w:val="222222"/>
          <w:sz w:val="20"/>
        </w:rPr>
        <w:t xml:space="preserve">1. Identitätsprüfung: </w:t>
      </w:r>
      <w:r>
        <w:rPr>
          <w:rFonts w:ascii="Calibri" w:hAnsi="Calibri"/>
          <w:color w:val="222222"/>
          <w:sz w:val="20"/>
        </w:rPr>
        <w:t>Abgleich Frachtbrief/Lieferschein mit unserer Bestellung (Lieferant, Empfänger, Auftragsnummer).</w:t>
      </w:r>
    </w:p>
    <w:p>
      <w:pPr>
        <w:pStyle w:val="ListBullet"/>
        <w:spacing w:before="0" w:after="60" w:line="276" w:lineRule="auto"/>
      </w:pPr>
      <w:r>
        <w:rPr>
          <w:rFonts w:ascii="Calibri" w:hAnsi="Calibri"/>
          <w:b/>
          <w:color w:val="222222"/>
          <w:sz w:val="20"/>
        </w:rPr>
        <w:t xml:space="preserve">2. Mengenkontrolle: </w:t>
      </w:r>
      <w:r>
        <w:rPr>
          <w:rFonts w:ascii="Calibri" w:hAnsi="Calibri"/>
          <w:color w:val="222222"/>
          <w:sz w:val="20"/>
        </w:rPr>
        <w:t>Vollständigkeitskontrolle der Packstücke, Zählen der Colli vor Entgegennahme vom Spediteur.</w:t>
      </w:r>
    </w:p>
    <w:p>
      <w:pPr>
        <w:pStyle w:val="ListBullet"/>
        <w:spacing w:before="0" w:after="60" w:line="276" w:lineRule="auto"/>
      </w:pPr>
      <w:r>
        <w:rPr>
          <w:rFonts w:ascii="Calibri" w:hAnsi="Calibri"/>
          <w:b/>
          <w:color w:val="222222"/>
          <w:sz w:val="20"/>
        </w:rPr>
        <w:t xml:space="preserve">3. Äußere Sichtkontrolle: </w:t>
      </w:r>
      <w:r>
        <w:rPr>
          <w:rFonts w:ascii="Calibri" w:hAnsi="Calibri"/>
          <w:color w:val="222222"/>
          <w:sz w:val="20"/>
        </w:rPr>
        <w:t>Prüfung der Kartonagen auf Risse, Stauchungen, Feuchtigkeit oder gebrochene Sicherheitssiegel noch im Beisein des Fahrers (Vermerk auf dem Frachtbrief!).</w:t>
      </w:r>
    </w:p>
    <w:p>
      <w:pPr>
        <w:pStyle w:val="ListBullet"/>
        <w:spacing w:before="0" w:after="60" w:line="276" w:lineRule="auto"/>
      </w:pPr>
      <w:r>
        <w:rPr>
          <w:rFonts w:ascii="Calibri" w:hAnsi="Calibri"/>
          <w:b/>
          <w:color w:val="222222"/>
          <w:sz w:val="20"/>
        </w:rPr>
        <w:t xml:space="preserve">4. Qualitäts- &amp; Funktionsprüfung: </w:t>
      </w:r>
      <w:r>
        <w:rPr>
          <w:rFonts w:ascii="Calibri" w:hAnsi="Calibri"/>
          <w:color w:val="222222"/>
          <w:sz w:val="20"/>
        </w:rPr>
        <w:t>Öffnen der Geräte, Kontrolle auf Transportschäden, Einschaltprüfung (POST-Test), Displaykontrolle auf Pixelfehler und Prüfung der Seriennummern.</w:t>
      </w:r>
    </w:p>
    <w:p>
      <w:pPr>
        <w:spacing w:before="200" w:after="80" w:line="276" w:lineRule="auto"/>
      </w:pPr>
      <w:r>
        <w:rPr>
          <w:rFonts w:ascii="Calibri" w:hAnsi="Calibri"/>
          <w:b/>
          <w:color w:val="006699"/>
          <w:sz w:val="25"/>
        </w:rPr>
        <w:t>7.3 Fallbeispiel: Bearbeitung der Mängelrüge an den Distributor</w:t>
      </w:r>
    </w:p>
    <w:p>
      <w:pPr>
        <w:spacing w:before="0" w:after="100" w:line="276" w:lineRule="auto"/>
      </w:pPr>
      <w:r>
        <w:rPr>
          <w:rFonts w:ascii="Calibri" w:hAnsi="Calibri"/>
          <w:color w:val="222222"/>
          <w:sz w:val="20"/>
        </w:rPr>
        <w:t>Bei der Lieferung traten zwei Mängel auf: An einer CAD-Workstation wies das Tower-Gehäuse einen massiven Transportschaden (verbogene Seitenwand) auf; zudem wurde versehentlich ein 24" Full-HD-Monitor anstelle des bestellten 27" WQHD-Monitors geliefert.</w:t>
      </w:r>
    </w:p>
    <w:p>
      <w:pPr>
        <w:spacing w:before="0" w:after="100" w:line="276" w:lineRule="auto"/>
      </w:pPr>
      <w:r>
        <w:rPr>
          <w:rFonts w:ascii="Calibri" w:hAnsi="Calibri"/>
          <w:b/>
          <w:color w:val="222222"/>
          <w:sz w:val="20"/>
        </w:rPr>
        <w:t xml:space="preserve">Eingeleitete Maßnahmen: </w:t>
      </w:r>
      <w:r>
        <w:rPr>
          <w:rFonts w:ascii="Calibri" w:hAnsi="Calibri"/>
          <w:color w:val="222222"/>
          <w:sz w:val="20"/>
        </w:rPr>
        <w:t>NextLevel IT Solutions versandte noch am selben Werktag eine formgerechte Mängelrüge nach DIN 5008 mit folgenden Kernpunkten:</w:t>
      </w:r>
    </w:p>
    <w:p>
      <w:pPr>
        <w:pStyle w:val="ListBullet"/>
        <w:spacing w:before="0" w:after="60" w:line="276" w:lineRule="auto"/>
      </w:pPr>
      <w:r>
        <w:rPr>
          <w:rFonts w:ascii="Calibri" w:hAnsi="Calibri"/>
          <w:b/>
          <w:color w:val="222222"/>
          <w:sz w:val="20"/>
        </w:rPr>
        <w:t xml:space="preserve">Fristsetzung: </w:t>
      </w:r>
      <w:r>
        <w:rPr>
          <w:rFonts w:ascii="Calibri" w:hAnsi="Calibri"/>
          <w:color w:val="222222"/>
          <w:sz w:val="20"/>
        </w:rPr>
        <w:t>Fristsetzung von exakt 14 Kalendertagen zur kostenfreien Nacherfüllung (Ersatzlieferung).</w:t>
      </w:r>
    </w:p>
    <w:p>
      <w:pPr>
        <w:pStyle w:val="ListBullet"/>
        <w:spacing w:before="0" w:after="60" w:line="276" w:lineRule="auto"/>
      </w:pPr>
      <w:r>
        <w:rPr>
          <w:rFonts w:ascii="Calibri" w:hAnsi="Calibri"/>
          <w:b/>
          <w:color w:val="222222"/>
          <w:sz w:val="20"/>
        </w:rPr>
        <w:t xml:space="preserve">Beweissicherung: </w:t>
      </w:r>
      <w:r>
        <w:rPr>
          <w:rFonts w:ascii="Calibri" w:hAnsi="Calibri"/>
          <w:color w:val="222222"/>
          <w:sz w:val="20"/>
        </w:rPr>
        <w:t>Genaue Dokumentation mit Seriennummern und beigefügten Schadensfotos.</w:t>
      </w:r>
    </w:p>
    <w:p>
      <w:pPr>
        <w:pStyle w:val="ListBullet"/>
        <w:spacing w:before="0" w:after="60" w:line="276" w:lineRule="auto"/>
      </w:pPr>
      <w:r>
        <w:rPr>
          <w:rFonts w:ascii="Calibri" w:hAnsi="Calibri"/>
          <w:b/>
          <w:color w:val="222222"/>
          <w:sz w:val="20"/>
        </w:rPr>
        <w:t xml:space="preserve">Gefahrenübergang: </w:t>
      </w:r>
      <w:r>
        <w:rPr>
          <w:rFonts w:ascii="Calibri" w:hAnsi="Calibri"/>
          <w:color w:val="222222"/>
          <w:sz w:val="20"/>
        </w:rPr>
        <w:t>Bereitstellung der mangelhaften Ware zur Abholung gegen Austausch.</w:t>
      </w:r>
    </w:p>
    <w:p>
      <w:pPr>
        <w:pStyle w:val="ListBullet"/>
        <w:spacing w:before="0" w:after="60" w:line="276" w:lineRule="auto"/>
      </w:pPr>
      <w:r>
        <w:rPr>
          <w:rFonts w:ascii="Calibri" w:hAnsi="Calibri"/>
          <w:b/>
          <w:color w:val="222222"/>
          <w:sz w:val="20"/>
        </w:rPr>
        <w:t xml:space="preserve">Rechtsvorbehalt: </w:t>
      </w:r>
      <w:r>
        <w:rPr>
          <w:rFonts w:ascii="Calibri" w:hAnsi="Calibri"/>
          <w:color w:val="222222"/>
          <w:sz w:val="20"/>
        </w:rPr>
        <w:t>Hinweis auf Geltendmachung von Schadensersatz wegen Verzögerung der Leistung bei Nichteinhaltung der Frist.</w:t>
      </w:r>
    </w:p>
    <w:p>
      <w:pPr>
        <w:spacing w:before="280" w:after="120" w:line="276" w:lineRule="auto"/>
      </w:pPr>
      <w:r>
        <w:rPr>
          <w:rFonts w:ascii="Calibri" w:hAnsi="Calibri"/>
          <w:b/>
          <w:color w:val="003366"/>
          <w:sz w:val="30"/>
        </w:rPr>
        <w:t>8. Umwelt- &amp; Datenschutzgerechte Entsorgung (Aufgabe 6)</w:t>
      </w:r>
    </w:p>
    <w:p>
      <w:pPr>
        <w:spacing w:before="0" w:after="100" w:line="276" w:lineRule="auto"/>
      </w:pPr>
      <w:r>
        <w:rPr>
          <w:rFonts w:ascii="Calibri" w:hAnsi="Calibri"/>
          <w:color w:val="222222"/>
          <w:sz w:val="20"/>
        </w:rPr>
        <w:t>Die Entsorgung des alten Schwarzweiß-Bürodruckers der VektorPlan GmbH erfordert höchste Sorgfalt, da moderne Multifunktionssysteme vertrauliche Druckdaten zwischenspeichern und umweltgefährdende Schadstoffe enthalten.</w:t>
      </w:r>
    </w:p>
    <w:p>
      <w:pPr>
        <w:spacing w:before="200" w:after="80" w:line="276" w:lineRule="auto"/>
      </w:pPr>
      <w:r>
        <w:rPr>
          <w:rFonts w:ascii="Calibri" w:hAnsi="Calibri"/>
          <w:b/>
          <w:color w:val="006699"/>
          <w:sz w:val="25"/>
        </w:rPr>
        <w:t>8.1 Gesetzliche Rahmenbedingungen</w:t>
      </w:r>
    </w:p>
    <w:p>
      <w:pPr>
        <w:pStyle w:val="ListBullet"/>
        <w:spacing w:before="0" w:after="60" w:line="276" w:lineRule="auto"/>
      </w:pPr>
      <w:r>
        <w:rPr>
          <w:rFonts w:ascii="Calibri" w:hAnsi="Calibri"/>
          <w:b/>
          <w:color w:val="222222"/>
          <w:sz w:val="20"/>
        </w:rPr>
        <w:t xml:space="preserve">ElektroG: </w:t>
      </w:r>
      <w:r>
        <w:rPr>
          <w:rFonts w:ascii="Calibri" w:hAnsi="Calibri"/>
          <w:color w:val="222222"/>
          <w:sz w:val="20"/>
        </w:rPr>
        <w:t>Elektro- und Elektronikgerätegesetz. Der Bürodrucker fällt unter B2B-Geräte der Kategorie 6 (IT- und Telekommunikationsgeräte). Die Entsorgung über den normalen Hausmüll/Gewerbeabfall ist streng untersagt.</w:t>
      </w:r>
    </w:p>
    <w:p>
      <w:pPr>
        <w:pStyle w:val="ListBullet"/>
        <w:spacing w:before="0" w:after="60" w:line="276" w:lineRule="auto"/>
      </w:pPr>
      <w:r>
        <w:rPr>
          <w:rFonts w:ascii="Calibri" w:hAnsi="Calibri"/>
          <w:b/>
          <w:color w:val="222222"/>
          <w:sz w:val="20"/>
        </w:rPr>
        <w:t xml:space="preserve">WEEE &amp; KrWG: </w:t>
      </w:r>
      <w:r>
        <w:rPr>
          <w:rFonts w:ascii="Calibri" w:hAnsi="Calibri"/>
          <w:color w:val="222222"/>
          <w:sz w:val="20"/>
        </w:rPr>
        <w:t>WEEE-Richtlinie 2012/19/EU und Kreislaufwirtschaftsgesetz (KrWG). Vorgeschriebene Recyclingquote von mindestens 80 % zur Schonung von Primärrohstoffen (Kupfer, Gold, seltene Erden, Kunststoffe).</w:t>
      </w:r>
    </w:p>
    <w:p>
      <w:pPr>
        <w:pStyle w:val="ListBullet"/>
        <w:spacing w:before="0" w:after="60" w:line="276" w:lineRule="auto"/>
      </w:pPr>
      <w:r>
        <w:rPr>
          <w:rFonts w:ascii="Calibri" w:hAnsi="Calibri"/>
          <w:b/>
          <w:color w:val="222222"/>
          <w:sz w:val="20"/>
        </w:rPr>
        <w:t xml:space="preserve">DSGVO &amp; Datenschutz: </w:t>
      </w:r>
      <w:r>
        <w:rPr>
          <w:rFonts w:ascii="Calibri" w:hAnsi="Calibri"/>
          <w:color w:val="222222"/>
          <w:sz w:val="20"/>
        </w:rPr>
        <w:t>Bürodrucker speichern temporäre Spool-Dateien, Scans und Druckjobs auf internen Datenträgern. Es gilt die DSGVO zur Verhinderung des unbefugten Abflusses von Bauplänen und Kalkulationen.</w:t>
      </w:r>
    </w:p>
    <w:p>
      <w:pPr>
        <w:spacing w:before="200" w:after="80" w:line="276" w:lineRule="auto"/>
      </w:pPr>
      <w:r>
        <w:rPr>
          <w:rFonts w:ascii="Calibri" w:hAnsi="Calibri"/>
          <w:b/>
          <w:color w:val="006699"/>
          <w:sz w:val="25"/>
        </w:rPr>
        <w:t>8.2 Mehrstufiger Entsorgungsprozess</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3264"/>
        <w:gridCol w:w="3264"/>
        <w:gridCol w:w="3264"/>
      </w:tblGrid>
      <w:tr>
        <w:trPr>
          <w:tblHeader/>
        </w:trPr>
        <w:tc>
          <w:tcPr>
            <w:tcW w:type="dxa" w:w="2592"/>
            <w:shd w:fill="003366"/>
            <w:tcMar>
              <w:top w:w="100" w:type="dxa"/>
              <w:bottom w:w="100" w:type="dxa"/>
              <w:left w:w="120" w:type="dxa"/>
              <w:right w:w="120" w:type="dxa"/>
            </w:tcMar>
          </w:tcPr>
          <w:p>
            <w:pPr>
              <w:spacing w:before="0" w:after="0" w:line="276" w:lineRule="auto"/>
            </w:pPr>
            <w:r>
              <w:rPr>
                <w:rFonts w:ascii="Calibri" w:hAnsi="Calibri"/>
                <w:b/>
                <w:color w:val="FFFFFF"/>
                <w:sz w:val="19"/>
              </w:rPr>
              <w:t>Prozessschritt</w:t>
            </w:r>
          </w:p>
        </w:tc>
        <w:tc>
          <w:tcPr>
            <w:tcW w:type="dxa" w:w="3168"/>
            <w:shd w:fill="003366"/>
            <w:tcMar>
              <w:top w:w="100" w:type="dxa"/>
              <w:bottom w:w="100" w:type="dxa"/>
              <w:left w:w="120" w:type="dxa"/>
              <w:right w:w="120" w:type="dxa"/>
            </w:tcMar>
          </w:tcPr>
          <w:p>
            <w:pPr>
              <w:spacing w:before="0" w:after="0" w:line="276" w:lineRule="auto"/>
            </w:pPr>
            <w:r>
              <w:rPr>
                <w:rFonts w:ascii="Calibri" w:hAnsi="Calibri"/>
                <w:b/>
                <w:color w:val="FFFFFF"/>
                <w:sz w:val="19"/>
              </w:rPr>
              <w:t>Betroffenes Bauteil</w:t>
            </w:r>
          </w:p>
        </w:tc>
        <w:tc>
          <w:tcPr>
            <w:tcW w:type="dxa" w:w="4032"/>
            <w:shd w:fill="003366"/>
            <w:tcMar>
              <w:top w:w="100" w:type="dxa"/>
              <w:bottom w:w="100" w:type="dxa"/>
              <w:left w:w="120" w:type="dxa"/>
              <w:right w:w="120" w:type="dxa"/>
            </w:tcMar>
          </w:tcPr>
          <w:p>
            <w:pPr>
              <w:spacing w:before="0" w:after="0" w:line="276" w:lineRule="auto"/>
            </w:pPr>
            <w:r>
              <w:rPr>
                <w:rFonts w:ascii="Calibri" w:hAnsi="Calibri"/>
                <w:b/>
                <w:color w:val="FFFFFF"/>
                <w:sz w:val="19"/>
              </w:rPr>
              <w:t>Durchzuführende Maßnahme</w:t>
            </w:r>
          </w:p>
        </w:tc>
      </w:tr>
      <w:tr>
        <w:tc>
          <w:tcPr>
            <w:tcW w:type="dxa" w:w="2592"/>
            <w:tcMar>
              <w:top w:w="80" w:type="dxa"/>
              <w:bottom w:w="80" w:type="dxa"/>
              <w:left w:w="120" w:type="dxa"/>
              <w:right w:w="120" w:type="dxa"/>
            </w:tcMar>
          </w:tcPr>
          <w:p>
            <w:pPr>
              <w:spacing w:before="0" w:after="0" w:line="276" w:lineRule="auto"/>
            </w:pPr>
            <w:r>
              <w:rPr>
                <w:rFonts w:ascii="Calibri" w:hAnsi="Calibri"/>
                <w:color w:val="222222"/>
                <w:sz w:val="18"/>
              </w:rPr>
              <w:t>1. Ausbau Datenspeicher</w:t>
            </w:r>
          </w:p>
        </w:tc>
        <w:tc>
          <w:tcPr>
            <w:tcW w:type="dxa" w:w="3168"/>
            <w:tcMar>
              <w:top w:w="80" w:type="dxa"/>
              <w:bottom w:w="80" w:type="dxa"/>
              <w:left w:w="120" w:type="dxa"/>
              <w:right w:w="120" w:type="dxa"/>
            </w:tcMar>
          </w:tcPr>
          <w:p>
            <w:pPr>
              <w:spacing w:before="0" w:after="0" w:line="276" w:lineRule="auto"/>
            </w:pPr>
            <w:r>
              <w:rPr>
                <w:rFonts w:ascii="Calibri" w:hAnsi="Calibri"/>
                <w:color w:val="222222"/>
                <w:sz w:val="18"/>
              </w:rPr>
              <w:t>Interne Festplatte / NVRAM</w:t>
            </w:r>
          </w:p>
        </w:tc>
        <w:tc>
          <w:tcPr>
            <w:tcW w:type="dxa" w:w="4032"/>
            <w:tcMar>
              <w:top w:w="80" w:type="dxa"/>
              <w:bottom w:w="80" w:type="dxa"/>
              <w:left w:w="120" w:type="dxa"/>
              <w:right w:w="120" w:type="dxa"/>
            </w:tcMar>
          </w:tcPr>
          <w:p>
            <w:pPr>
              <w:spacing w:before="0" w:after="0" w:line="276" w:lineRule="auto"/>
            </w:pPr>
            <w:r>
              <w:rPr>
                <w:rFonts w:ascii="Calibri" w:hAnsi="Calibri"/>
                <w:color w:val="222222"/>
                <w:sz w:val="18"/>
              </w:rPr>
              <w:t>Ausbau der internen Festplatte im Beisein des Datenschutzbeauftragten</w:t>
            </w:r>
          </w:p>
        </w:tc>
      </w:tr>
      <w:tr>
        <w:tc>
          <w:tcPr>
            <w:tcW w:type="dxa" w:w="2592"/>
            <w:shd w:fill="F4F6F9"/>
            <w:tcMar>
              <w:top w:w="80" w:type="dxa"/>
              <w:bottom w:w="80" w:type="dxa"/>
              <w:left w:w="120" w:type="dxa"/>
              <w:right w:w="120" w:type="dxa"/>
            </w:tcMar>
          </w:tcPr>
          <w:p>
            <w:pPr>
              <w:spacing w:before="0" w:after="0" w:line="276" w:lineRule="auto"/>
            </w:pPr>
            <w:r>
              <w:rPr>
                <w:rFonts w:ascii="Calibri" w:hAnsi="Calibri"/>
                <w:color w:val="222222"/>
                <w:sz w:val="18"/>
              </w:rPr>
              <w:t>2. Sichere Datenlöschung</w:t>
            </w:r>
          </w:p>
        </w:tc>
        <w:tc>
          <w:tcPr>
            <w:tcW w:type="dxa" w:w="3168"/>
            <w:shd w:fill="F4F6F9"/>
            <w:tcMar>
              <w:top w:w="80" w:type="dxa"/>
              <w:bottom w:w="80" w:type="dxa"/>
              <w:left w:w="120" w:type="dxa"/>
              <w:right w:w="120" w:type="dxa"/>
            </w:tcMar>
          </w:tcPr>
          <w:p>
            <w:pPr>
              <w:spacing w:before="0" w:after="0" w:line="276" w:lineRule="auto"/>
            </w:pPr>
            <w:r>
              <w:rPr>
                <w:rFonts w:ascii="Calibri" w:hAnsi="Calibri"/>
                <w:color w:val="222222"/>
                <w:sz w:val="18"/>
              </w:rPr>
              <w:t>BSI / DIN 66399 (H-4/H-5)</w:t>
            </w:r>
          </w:p>
        </w:tc>
        <w:tc>
          <w:tcPr>
            <w:tcW w:type="dxa" w:w="4032"/>
            <w:shd w:fill="F4F6F9"/>
            <w:tcMar>
              <w:top w:w="80" w:type="dxa"/>
              <w:bottom w:w="80" w:type="dxa"/>
              <w:left w:w="120" w:type="dxa"/>
              <w:right w:w="120" w:type="dxa"/>
            </w:tcMar>
          </w:tcPr>
          <w:p>
            <w:pPr>
              <w:spacing w:before="0" w:after="0" w:line="276" w:lineRule="auto"/>
            </w:pPr>
            <w:r>
              <w:rPr>
                <w:rFonts w:ascii="Calibri" w:hAnsi="Calibri"/>
                <w:color w:val="222222"/>
                <w:sz w:val="18"/>
              </w:rPr>
              <w:t>3-fache Überschreibung nach BSI-Standard bzw. mechanische Schredderung</w:t>
            </w:r>
          </w:p>
        </w:tc>
      </w:tr>
      <w:tr>
        <w:tc>
          <w:tcPr>
            <w:tcW w:type="dxa" w:w="2592"/>
            <w:tcMar>
              <w:top w:w="80" w:type="dxa"/>
              <w:bottom w:w="80" w:type="dxa"/>
              <w:left w:w="120" w:type="dxa"/>
              <w:right w:w="120" w:type="dxa"/>
            </w:tcMar>
          </w:tcPr>
          <w:p>
            <w:pPr>
              <w:spacing w:before="0" w:after="0" w:line="276" w:lineRule="auto"/>
            </w:pPr>
            <w:r>
              <w:rPr>
                <w:rFonts w:ascii="Calibri" w:hAnsi="Calibri"/>
                <w:color w:val="222222"/>
                <w:sz w:val="18"/>
              </w:rPr>
              <w:t>3. Löschzertifikat</w:t>
            </w:r>
          </w:p>
        </w:tc>
        <w:tc>
          <w:tcPr>
            <w:tcW w:type="dxa" w:w="3168"/>
            <w:tcMar>
              <w:top w:w="80" w:type="dxa"/>
              <w:bottom w:w="80" w:type="dxa"/>
              <w:left w:w="120" w:type="dxa"/>
              <w:right w:w="120" w:type="dxa"/>
            </w:tcMar>
          </w:tcPr>
          <w:p>
            <w:pPr>
              <w:spacing w:before="0" w:after="0" w:line="276" w:lineRule="auto"/>
            </w:pPr>
            <w:r>
              <w:rPr>
                <w:rFonts w:ascii="Calibri" w:hAnsi="Calibri"/>
                <w:color w:val="222222"/>
                <w:sz w:val="18"/>
              </w:rPr>
              <w:t>DSGVO-Nachweis</w:t>
            </w:r>
          </w:p>
        </w:tc>
        <w:tc>
          <w:tcPr>
            <w:tcW w:type="dxa" w:w="4032"/>
            <w:tcMar>
              <w:top w:w="80" w:type="dxa"/>
              <w:bottom w:w="80" w:type="dxa"/>
              <w:left w:w="120" w:type="dxa"/>
              <w:right w:w="120" w:type="dxa"/>
            </w:tcMar>
          </w:tcPr>
          <w:p>
            <w:pPr>
              <w:spacing w:before="0" w:after="0" w:line="276" w:lineRule="auto"/>
            </w:pPr>
            <w:r>
              <w:rPr>
                <w:rFonts w:ascii="Calibri" w:hAnsi="Calibri"/>
                <w:color w:val="222222"/>
                <w:sz w:val="18"/>
              </w:rPr>
              <w:t>Erstellung eines revisionssicheren Vernichtungsnachweises</w:t>
            </w:r>
          </w:p>
        </w:tc>
      </w:tr>
      <w:tr>
        <w:tc>
          <w:tcPr>
            <w:tcW w:type="dxa" w:w="2592"/>
            <w:shd w:fill="F4F6F9"/>
            <w:tcMar>
              <w:top w:w="80" w:type="dxa"/>
              <w:bottom w:w="80" w:type="dxa"/>
              <w:left w:w="120" w:type="dxa"/>
              <w:right w:w="120" w:type="dxa"/>
            </w:tcMar>
          </w:tcPr>
          <w:p>
            <w:pPr>
              <w:spacing w:before="0" w:after="0" w:line="276" w:lineRule="auto"/>
            </w:pPr>
            <w:r>
              <w:rPr>
                <w:rFonts w:ascii="Calibri" w:hAnsi="Calibri"/>
                <w:color w:val="222222"/>
                <w:sz w:val="18"/>
              </w:rPr>
              <w:t>4. Tonerextraktion</w:t>
            </w:r>
          </w:p>
        </w:tc>
        <w:tc>
          <w:tcPr>
            <w:tcW w:type="dxa" w:w="3168"/>
            <w:shd w:fill="F4F6F9"/>
            <w:tcMar>
              <w:top w:w="80" w:type="dxa"/>
              <w:bottom w:w="80" w:type="dxa"/>
              <w:left w:w="120" w:type="dxa"/>
              <w:right w:w="120" w:type="dxa"/>
            </w:tcMar>
          </w:tcPr>
          <w:p>
            <w:pPr>
              <w:spacing w:before="0" w:after="0" w:line="276" w:lineRule="auto"/>
            </w:pPr>
            <w:r>
              <w:rPr>
                <w:rFonts w:ascii="Calibri" w:hAnsi="Calibri"/>
                <w:color w:val="222222"/>
                <w:sz w:val="18"/>
              </w:rPr>
              <w:t>Gefahrstoffvermeidung</w:t>
            </w:r>
          </w:p>
        </w:tc>
        <w:tc>
          <w:tcPr>
            <w:tcW w:type="dxa" w:w="4032"/>
            <w:shd w:fill="F4F6F9"/>
            <w:tcMar>
              <w:top w:w="80" w:type="dxa"/>
              <w:bottom w:w="80" w:type="dxa"/>
              <w:left w:w="120" w:type="dxa"/>
              <w:right w:w="120" w:type="dxa"/>
            </w:tcMar>
          </w:tcPr>
          <w:p>
            <w:pPr>
              <w:spacing w:before="0" w:after="0" w:line="276" w:lineRule="auto"/>
            </w:pPr>
            <w:r>
              <w:rPr>
                <w:rFonts w:ascii="Calibri" w:hAnsi="Calibri"/>
                <w:color w:val="222222"/>
                <w:sz w:val="18"/>
              </w:rPr>
              <w:t>Entnahme der Tonerkassetten und Rückführung ins Hersteller-Recyclingprogramm</w:t>
            </w:r>
          </w:p>
        </w:tc>
      </w:tr>
      <w:tr>
        <w:tc>
          <w:tcPr>
            <w:tcW w:type="dxa" w:w="2592"/>
            <w:tcMar>
              <w:top w:w="80" w:type="dxa"/>
              <w:bottom w:w="80" w:type="dxa"/>
              <w:left w:w="120" w:type="dxa"/>
              <w:right w:w="120" w:type="dxa"/>
            </w:tcMar>
          </w:tcPr>
          <w:p>
            <w:pPr>
              <w:spacing w:before="0" w:after="0" w:line="276" w:lineRule="auto"/>
            </w:pPr>
            <w:r>
              <w:rPr>
                <w:rFonts w:ascii="Calibri" w:hAnsi="Calibri"/>
                <w:color w:val="222222"/>
                <w:sz w:val="18"/>
              </w:rPr>
              <w:t>5. Feinstaubschutz</w:t>
            </w:r>
          </w:p>
        </w:tc>
        <w:tc>
          <w:tcPr>
            <w:tcW w:type="dxa" w:w="3168"/>
            <w:tcMar>
              <w:top w:w="80" w:type="dxa"/>
              <w:bottom w:w="80" w:type="dxa"/>
              <w:left w:w="120" w:type="dxa"/>
              <w:right w:w="120" w:type="dxa"/>
            </w:tcMar>
          </w:tcPr>
          <w:p>
            <w:pPr>
              <w:spacing w:before="0" w:after="0" w:line="276" w:lineRule="auto"/>
            </w:pPr>
            <w:r>
              <w:rPr>
                <w:rFonts w:ascii="Calibri" w:hAnsi="Calibri"/>
                <w:color w:val="222222"/>
                <w:sz w:val="18"/>
              </w:rPr>
              <w:t>Arbeitsschutz (TRGS 528)</w:t>
            </w:r>
          </w:p>
        </w:tc>
        <w:tc>
          <w:tcPr>
            <w:tcW w:type="dxa" w:w="4032"/>
            <w:tcMar>
              <w:top w:w="80" w:type="dxa"/>
              <w:bottom w:w="80" w:type="dxa"/>
              <w:left w:w="120" w:type="dxa"/>
              <w:right w:w="120" w:type="dxa"/>
            </w:tcMar>
          </w:tcPr>
          <w:p>
            <w:pPr>
              <w:spacing w:before="0" w:after="0" w:line="276" w:lineRule="auto"/>
            </w:pPr>
            <w:r>
              <w:rPr>
                <w:rFonts w:ascii="Calibri" w:hAnsi="Calibri"/>
                <w:color w:val="222222"/>
                <w:sz w:val="18"/>
              </w:rPr>
              <w:t>Verwendung geschlossener Transportbeutel und FFP2-Masken beim Handling</w:t>
            </w:r>
          </w:p>
        </w:tc>
      </w:tr>
      <w:tr>
        <w:tc>
          <w:tcPr>
            <w:tcW w:type="dxa" w:w="2592"/>
            <w:shd w:fill="F4F6F9"/>
            <w:tcMar>
              <w:top w:w="80" w:type="dxa"/>
              <w:bottom w:w="80" w:type="dxa"/>
              <w:left w:w="120" w:type="dxa"/>
              <w:right w:w="120" w:type="dxa"/>
            </w:tcMar>
          </w:tcPr>
          <w:p>
            <w:pPr>
              <w:spacing w:before="0" w:after="0" w:line="276" w:lineRule="auto"/>
            </w:pPr>
            <w:r>
              <w:rPr>
                <w:rFonts w:ascii="Calibri" w:hAnsi="Calibri"/>
                <w:color w:val="222222"/>
                <w:sz w:val="18"/>
              </w:rPr>
              <w:t>6. Zertifizierter Entsorger</w:t>
            </w:r>
          </w:p>
        </w:tc>
        <w:tc>
          <w:tcPr>
            <w:tcW w:type="dxa" w:w="3168"/>
            <w:shd w:fill="F4F6F9"/>
            <w:tcMar>
              <w:top w:w="80" w:type="dxa"/>
              <w:bottom w:w="80" w:type="dxa"/>
              <w:left w:w="120" w:type="dxa"/>
              <w:right w:w="120" w:type="dxa"/>
            </w:tcMar>
          </w:tcPr>
          <w:p>
            <w:pPr>
              <w:spacing w:before="0" w:after="0" w:line="276" w:lineRule="auto"/>
            </w:pPr>
            <w:r>
              <w:rPr>
                <w:rFonts w:ascii="Calibri" w:hAnsi="Calibri"/>
                <w:color w:val="222222"/>
                <w:sz w:val="18"/>
              </w:rPr>
              <w:t>ElektroG Erstbehandlung</w:t>
            </w:r>
          </w:p>
        </w:tc>
        <w:tc>
          <w:tcPr>
            <w:tcW w:type="dxa" w:w="4032"/>
            <w:shd w:fill="F4F6F9"/>
            <w:tcMar>
              <w:top w:w="80" w:type="dxa"/>
              <w:bottom w:w="80" w:type="dxa"/>
              <w:left w:w="120" w:type="dxa"/>
              <w:right w:w="120" w:type="dxa"/>
            </w:tcMar>
          </w:tcPr>
          <w:p>
            <w:pPr>
              <w:spacing w:before="0" w:after="0" w:line="276" w:lineRule="auto"/>
            </w:pPr>
            <w:r>
              <w:rPr>
                <w:rFonts w:ascii="Calibri" w:hAnsi="Calibri"/>
                <w:color w:val="222222"/>
                <w:sz w:val="18"/>
              </w:rPr>
              <w:t>Übergabe an Entsorgungsfachbetrieb mit offiziellem Entsorgungsnachweis</w:t>
            </w:r>
          </w:p>
        </w:tc>
      </w:tr>
    </w:tbl>
    <w:p>
      <w:pPr>
        <w:spacing w:after="120"/>
      </w:pPr>
    </w:p>
    <w:p>
      <w:pPr>
        <w:spacing w:before="280" w:after="120" w:line="276" w:lineRule="auto"/>
      </w:pPr>
      <w:r>
        <w:rPr>
          <w:rFonts w:ascii="Calibri" w:hAnsi="Calibri"/>
          <w:b/>
          <w:color w:val="003366"/>
          <w:sz w:val="30"/>
        </w:rPr>
        <w:t>9. Rollout, Montage &amp; Inbetriebnahme vor Ort (Aufgabe 7)</w:t>
      </w:r>
    </w:p>
    <w:p>
      <w:pPr>
        <w:spacing w:before="0" w:after="100" w:line="276" w:lineRule="auto"/>
      </w:pPr>
      <w:r>
        <w:rPr>
          <w:rFonts w:ascii="Calibri" w:hAnsi="Calibri"/>
          <w:color w:val="222222"/>
          <w:sz w:val="20"/>
        </w:rPr>
        <w:t>Die Inbetriebnahme vor Ort erfolgte nach einer standardisierten Montage- und Ergonomie-Checkliste, um optimale Arbeitsbedingungen und Arbeitsschutz nach DGUV Information 215-410 sicherzustellen.</w:t>
      </w:r>
    </w:p>
    <w:p>
      <w:pPr>
        <w:spacing w:before="200" w:after="80" w:line="276" w:lineRule="auto"/>
      </w:pPr>
      <w:r>
        <w:rPr>
          <w:rFonts w:ascii="Calibri" w:hAnsi="Calibri"/>
          <w:b/>
          <w:color w:val="006699"/>
          <w:sz w:val="25"/>
        </w:rPr>
        <w:t>9.1 Ergonomie-Checkliste am Bildschirmarbeitsplatz (ArbStättV)</w:t>
      </w:r>
    </w:p>
    <w:p>
      <w:pPr>
        <w:pStyle w:val="ListBullet"/>
        <w:spacing w:before="0" w:after="60" w:line="276" w:lineRule="auto"/>
      </w:pPr>
      <w:r>
        <w:rPr>
          <w:rFonts w:ascii="Calibri" w:hAnsi="Calibri"/>
          <w:b/>
          <w:color w:val="222222"/>
          <w:sz w:val="20"/>
        </w:rPr>
        <w:t xml:space="preserve">Sehabstand zum Monitor: </w:t>
      </w:r>
      <w:r>
        <w:rPr>
          <w:rFonts w:ascii="Calibri" w:hAnsi="Calibri"/>
          <w:color w:val="222222"/>
          <w:sz w:val="20"/>
        </w:rPr>
        <w:t>50 bis 70 cm bei 27 Zoll Bildschirmdiagonale.</w:t>
      </w:r>
    </w:p>
    <w:p>
      <w:pPr>
        <w:pStyle w:val="ListBullet"/>
        <w:spacing w:before="0" w:after="60" w:line="276" w:lineRule="auto"/>
      </w:pPr>
      <w:r>
        <w:rPr>
          <w:rFonts w:ascii="Calibri" w:hAnsi="Calibri"/>
          <w:b/>
          <w:color w:val="222222"/>
          <w:sz w:val="20"/>
        </w:rPr>
        <w:t xml:space="preserve">Monitor-Höheneinstellung: </w:t>
      </w:r>
      <w:r>
        <w:rPr>
          <w:rFonts w:ascii="Calibri" w:hAnsi="Calibri"/>
          <w:color w:val="222222"/>
          <w:sz w:val="20"/>
        </w:rPr>
        <w:t>Die oberste Textzeile auf dem Bildschirm liegt maximal auf Augenhöhe oder leicht darunter. Der Blickwinkel ist ca. 20° bis 35° nach unten geneigt (Entlastung der Nackenmuskulatur).</w:t>
      </w:r>
    </w:p>
    <w:p>
      <w:pPr>
        <w:pStyle w:val="ListBullet"/>
        <w:spacing w:before="0" w:after="60" w:line="276" w:lineRule="auto"/>
      </w:pPr>
      <w:r>
        <w:rPr>
          <w:rFonts w:ascii="Calibri" w:hAnsi="Calibri"/>
          <w:b/>
          <w:color w:val="222222"/>
          <w:sz w:val="20"/>
        </w:rPr>
        <w:t xml:space="preserve">Lichtverhältnisse &amp; Reflexion: </w:t>
      </w:r>
      <w:r>
        <w:rPr>
          <w:rFonts w:ascii="Calibri" w:hAnsi="Calibri"/>
          <w:color w:val="222222"/>
          <w:sz w:val="20"/>
        </w:rPr>
        <w:t>Aufstellung der Bildschirme im 90°-Winkel zu den Fensterfronten. Keine direkte Sonneneinstrahlung im Rücken (Spiegelungen) oder vor den Augen (Blendung).</w:t>
      </w:r>
    </w:p>
    <w:p>
      <w:pPr>
        <w:pStyle w:val="ListBullet"/>
        <w:spacing w:before="0" w:after="60" w:line="276" w:lineRule="auto"/>
      </w:pPr>
      <w:r>
        <w:rPr>
          <w:rFonts w:ascii="Calibri" w:hAnsi="Calibri"/>
          <w:b/>
          <w:color w:val="222222"/>
          <w:sz w:val="20"/>
        </w:rPr>
        <w:t xml:space="preserve">Dual-Monitor-Anordnung: </w:t>
      </w:r>
      <w:r>
        <w:rPr>
          <w:rFonts w:ascii="Calibri" w:hAnsi="Calibri"/>
          <w:color w:val="222222"/>
          <w:sz w:val="20"/>
        </w:rPr>
        <w:t>Beide 27" Monitore stehen im leichten Halbkreis (konkav) zueinander. Bei den CAD-Workstations wird Monitor 1 für 3D-Modelle und Monitor 2 (optional im Pivot-Modus) für Pläne/Spezifikationen genutzt.</w:t>
      </w:r>
    </w:p>
    <w:p>
      <w:pPr>
        <w:pStyle w:val="ListBullet"/>
        <w:spacing w:before="0" w:after="60" w:line="276" w:lineRule="auto"/>
      </w:pPr>
      <w:r>
        <w:rPr>
          <w:rFonts w:ascii="Calibri" w:hAnsi="Calibri"/>
          <w:b/>
          <w:color w:val="222222"/>
          <w:sz w:val="20"/>
        </w:rPr>
        <w:t xml:space="preserve">Eingabegeräte: </w:t>
      </w:r>
      <w:r>
        <w:rPr>
          <w:rFonts w:ascii="Calibri" w:hAnsi="Calibri"/>
          <w:color w:val="222222"/>
          <w:sz w:val="20"/>
        </w:rPr>
        <w:t>Tastatur und Maus liegen 10 bis 15 cm von der Tischkante entfernt. Die Unterarme liegen waagerecht auf der Arbeitsfläche auf.</w:t>
      </w:r>
    </w:p>
    <w:p>
      <w:pPr>
        <w:pStyle w:val="ListBullet"/>
        <w:spacing w:before="0" w:after="60" w:line="276" w:lineRule="auto"/>
      </w:pPr>
      <w:r>
        <w:rPr>
          <w:rFonts w:ascii="Calibri" w:hAnsi="Calibri"/>
          <w:b/>
          <w:color w:val="222222"/>
          <w:sz w:val="20"/>
        </w:rPr>
        <w:t xml:space="preserve">Kabelmanagement: </w:t>
      </w:r>
      <w:r>
        <w:rPr>
          <w:rFonts w:ascii="Calibri" w:hAnsi="Calibri"/>
          <w:color w:val="222222"/>
          <w:sz w:val="20"/>
        </w:rPr>
        <w:t>Verlegung aller Strom- und Netzwerkkabel in flexiblen Kabelschläuchen unter der Tischplatte, keine Stolperfallen.</w:t>
      </w:r>
    </w:p>
    <w:p>
      <w:pPr>
        <w:spacing w:before="200" w:after="80" w:line="276" w:lineRule="auto"/>
      </w:pPr>
      <w:r>
        <w:rPr>
          <w:rFonts w:ascii="Calibri" w:hAnsi="Calibri"/>
          <w:b/>
          <w:color w:val="006699"/>
          <w:sz w:val="25"/>
        </w:rPr>
        <w:t>9.2 Abnahme- und Übergabeprotokoll (§ 640 BGB)</w:t>
      </w:r>
    </w:p>
    <w:p>
      <w:pPr>
        <w:spacing w:before="0" w:after="100" w:line="276" w:lineRule="auto"/>
      </w:pPr>
      <w:r>
        <w:rPr>
          <w:rFonts w:ascii="Calibri" w:hAnsi="Calibri"/>
          <w:color w:val="222222"/>
          <w:sz w:val="20"/>
        </w:rPr>
        <w:t>Die werkvertragliche Abnahme erfolgte formell durch die Geschäftsführung der VektorPlan GmbH und Projektleiter Jan Kluth:</w:t>
      </w:r>
    </w:p>
    <w:p>
      <w:pPr>
        <w:pStyle w:val="ListBullet"/>
        <w:spacing w:before="0" w:after="60" w:line="276" w:lineRule="auto"/>
      </w:pPr>
      <w:r>
        <w:rPr>
          <w:rFonts w:ascii="Calibri" w:hAnsi="Calibri"/>
          <w:b/>
          <w:color w:val="222222"/>
          <w:sz w:val="20"/>
        </w:rPr>
        <w:t xml:space="preserve">Funktionsnachweis: </w:t>
      </w:r>
      <w:r>
        <w:rPr>
          <w:rFonts w:ascii="Calibri" w:hAnsi="Calibri"/>
          <w:color w:val="222222"/>
          <w:sz w:val="20"/>
        </w:rPr>
        <w:t>Alle 16 PCs und Workstations booten fehlerfrei, Windows 11 Pro und Office 365 sind lizenziert und auf die Domäne geschaltet.</w:t>
      </w:r>
    </w:p>
    <w:p>
      <w:pPr>
        <w:pStyle w:val="ListBullet"/>
        <w:spacing w:before="0" w:after="60" w:line="276" w:lineRule="auto"/>
      </w:pPr>
      <w:r>
        <w:rPr>
          <w:rFonts w:ascii="Calibri" w:hAnsi="Calibri"/>
          <w:b/>
          <w:color w:val="222222"/>
          <w:sz w:val="20"/>
        </w:rPr>
        <w:t xml:space="preserve">Netzwerkperformance: </w:t>
      </w:r>
      <w:r>
        <w:rPr>
          <w:rFonts w:ascii="Calibri" w:hAnsi="Calibri"/>
          <w:color w:val="222222"/>
          <w:sz w:val="20"/>
        </w:rPr>
        <w:t>Beide Großraumbüros erreichen volle 1.000 Mbit/s (Gigabit) Durchsatz zum zentralen Fileserver.</w:t>
      </w:r>
    </w:p>
    <w:p>
      <w:pPr>
        <w:pStyle w:val="ListBullet"/>
        <w:spacing w:before="0" w:after="60" w:line="276" w:lineRule="auto"/>
      </w:pPr>
      <w:r>
        <w:rPr>
          <w:rFonts w:ascii="Calibri" w:hAnsi="Calibri"/>
          <w:b/>
          <w:color w:val="222222"/>
          <w:sz w:val="20"/>
        </w:rPr>
        <w:t xml:space="preserve">Monitorprüfung: </w:t>
      </w:r>
      <w:r>
        <w:rPr>
          <w:rFonts w:ascii="Calibri" w:hAnsi="Calibri"/>
          <w:color w:val="222222"/>
          <w:sz w:val="20"/>
        </w:rPr>
        <w:t>Alle 32 Dell UltraSharp Monitore wurden auf Pixelfehlerfreiheit und Farbtreue (Delta-E &lt; 2) geprüft.</w:t>
      </w:r>
    </w:p>
    <w:p>
      <w:pPr>
        <w:pStyle w:val="ListBullet"/>
        <w:spacing w:before="0" w:after="60" w:line="276" w:lineRule="auto"/>
      </w:pPr>
      <w:r>
        <w:rPr>
          <w:rFonts w:ascii="Calibri" w:hAnsi="Calibri"/>
          <w:b/>
          <w:color w:val="222222"/>
          <w:sz w:val="20"/>
        </w:rPr>
        <w:t xml:space="preserve">Plotterstation: </w:t>
      </w:r>
      <w:r>
        <w:rPr>
          <w:rFonts w:ascii="Calibri" w:hAnsi="Calibri"/>
          <w:color w:val="222222"/>
          <w:sz w:val="20"/>
        </w:rPr>
        <w:t>Der Lexmark MFP druckt und scannt A3/A4 Dokumente im Netzwerk einwandfrei.</w:t>
      </w:r>
    </w:p>
    <w:p>
      <w:pPr>
        <w:pStyle w:val="ListBullet"/>
        <w:spacing w:before="0" w:after="60" w:line="276" w:lineRule="auto"/>
      </w:pPr>
      <w:r>
        <w:rPr>
          <w:rFonts w:ascii="Calibri" w:hAnsi="Calibri"/>
          <w:b/>
          <w:color w:val="222222"/>
          <w:sz w:val="20"/>
        </w:rPr>
        <w:t xml:space="preserve">Abnahmeerklärung: </w:t>
      </w:r>
      <w:r>
        <w:rPr>
          <w:rFonts w:ascii="Calibri" w:hAnsi="Calibri"/>
          <w:color w:val="222222"/>
          <w:sz w:val="20"/>
        </w:rPr>
        <w:t>Die VektorPlan GmbH bestätigt die vollständige, mangelfreie und betriebsbereite Übergabe ohne Vorbehalte. Die 36-monatige Vor-Ort-Garantie tritt in Kraft.</w:t>
      </w:r>
    </w:p>
    <w:p>
      <w:pPr>
        <w:spacing w:before="280" w:after="120" w:line="276" w:lineRule="auto"/>
      </w:pPr>
      <w:r>
        <w:rPr>
          <w:rFonts w:ascii="Calibri" w:hAnsi="Calibri"/>
          <w:b/>
          <w:color w:val="003366"/>
          <w:sz w:val="30"/>
        </w:rPr>
        <w:t>10. Projektabschluss, Lessons Learned &amp; Selbstreflexion (Aufgabe 8)</w:t>
      </w:r>
    </w:p>
    <w:p>
      <w:pPr>
        <w:spacing w:before="0" w:after="100" w:line="276" w:lineRule="auto"/>
      </w:pPr>
      <w:r>
        <w:rPr>
          <w:rFonts w:ascii="Calibri" w:hAnsi="Calibri"/>
          <w:color w:val="222222"/>
          <w:sz w:val="20"/>
        </w:rPr>
        <w:t>Zum Abschluss des Projekts führte das gesamte Team eine strukturierte Selbstreflexion und einen kaufmännischen Soll-Ist-Vergleich durch.</w:t>
      </w:r>
    </w:p>
    <w:p>
      <w:pPr>
        <w:spacing w:before="200" w:after="80" w:line="276" w:lineRule="auto"/>
      </w:pPr>
      <w:r>
        <w:rPr>
          <w:rFonts w:ascii="Calibri" w:hAnsi="Calibri"/>
          <w:b/>
          <w:color w:val="006699"/>
          <w:sz w:val="25"/>
        </w:rPr>
        <w:t>10.1 Kaufmännischer und zeitlicher Soll-Ist-Vergleich</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2448"/>
        <w:gridCol w:w="2448"/>
        <w:gridCol w:w="2448"/>
        <w:gridCol w:w="2448"/>
      </w:tblGrid>
      <w:tr>
        <w:trPr>
          <w:tblHeader/>
        </w:trPr>
        <w:tc>
          <w:tcPr>
            <w:tcW w:type="dxa" w:w="3312"/>
            <w:shd w:fill="003366"/>
            <w:tcMar>
              <w:top w:w="100" w:type="dxa"/>
              <w:bottom w:w="100" w:type="dxa"/>
              <w:left w:w="120" w:type="dxa"/>
              <w:right w:w="120" w:type="dxa"/>
            </w:tcMar>
          </w:tcPr>
          <w:p>
            <w:pPr>
              <w:spacing w:before="0" w:after="0" w:line="276" w:lineRule="auto"/>
            </w:pPr>
            <w:r>
              <w:rPr>
                <w:rFonts w:ascii="Calibri" w:hAnsi="Calibri"/>
                <w:b/>
                <w:color w:val="FFFFFF"/>
                <w:sz w:val="19"/>
              </w:rPr>
              <w:t>Kennzahl / Projektkriterium</w:t>
            </w:r>
          </w:p>
        </w:tc>
        <w:tc>
          <w:tcPr>
            <w:tcW w:type="dxa" w:w="2304"/>
            <w:shd w:fill="003366"/>
            <w:tcMar>
              <w:top w:w="100" w:type="dxa"/>
              <w:bottom w:w="100" w:type="dxa"/>
              <w:left w:w="120" w:type="dxa"/>
              <w:right w:w="120" w:type="dxa"/>
            </w:tcMar>
          </w:tcPr>
          <w:p>
            <w:pPr>
              <w:spacing w:before="0" w:after="0" w:line="276" w:lineRule="auto"/>
            </w:pPr>
            <w:r>
              <w:rPr>
                <w:rFonts w:ascii="Calibri" w:hAnsi="Calibri"/>
                <w:b/>
                <w:color w:val="FFFFFF"/>
                <w:sz w:val="19"/>
              </w:rPr>
              <w:t>Soll-Vorgabe</w:t>
            </w:r>
          </w:p>
        </w:tc>
        <w:tc>
          <w:tcPr>
            <w:tcW w:type="dxa" w:w="2304"/>
            <w:shd w:fill="003366"/>
            <w:tcMar>
              <w:top w:w="100" w:type="dxa"/>
              <w:bottom w:w="100" w:type="dxa"/>
              <w:left w:w="120" w:type="dxa"/>
              <w:right w:w="120" w:type="dxa"/>
            </w:tcMar>
          </w:tcPr>
          <w:p>
            <w:pPr>
              <w:spacing w:before="0" w:after="0" w:line="276" w:lineRule="auto"/>
            </w:pPr>
            <w:r>
              <w:rPr>
                <w:rFonts w:ascii="Calibri" w:hAnsi="Calibri"/>
                <w:b/>
                <w:color w:val="FFFFFF"/>
                <w:sz w:val="19"/>
              </w:rPr>
              <w:t>Ist-Ergebnis</w:t>
            </w:r>
          </w:p>
        </w:tc>
        <w:tc>
          <w:tcPr>
            <w:tcW w:type="dxa" w:w="1872"/>
            <w:shd w:fill="003366"/>
            <w:tcMar>
              <w:top w:w="100" w:type="dxa"/>
              <w:bottom w:w="100" w:type="dxa"/>
              <w:left w:w="120" w:type="dxa"/>
              <w:right w:w="120" w:type="dxa"/>
            </w:tcMar>
          </w:tcPr>
          <w:p>
            <w:pPr>
              <w:spacing w:before="0" w:after="0" w:line="276" w:lineRule="auto"/>
            </w:pPr>
            <w:r>
              <w:rPr>
                <w:rFonts w:ascii="Calibri" w:hAnsi="Calibri"/>
                <w:b/>
                <w:color w:val="FFFFFF"/>
                <w:sz w:val="19"/>
              </w:rPr>
              <w:t>Abweichung / Bewertung</w:t>
            </w:r>
          </w:p>
        </w:tc>
      </w:tr>
      <w:tr>
        <w:tc>
          <w:tcPr>
            <w:tcW w:type="dxa" w:w="3312"/>
            <w:tcMar>
              <w:top w:w="80" w:type="dxa"/>
              <w:bottom w:w="80" w:type="dxa"/>
              <w:left w:w="120" w:type="dxa"/>
              <w:right w:w="120" w:type="dxa"/>
            </w:tcMar>
          </w:tcPr>
          <w:p>
            <w:pPr>
              <w:spacing w:before="0" w:after="0" w:line="276" w:lineRule="auto"/>
            </w:pPr>
            <w:r>
              <w:rPr>
                <w:rFonts w:ascii="Calibri" w:hAnsi="Calibri"/>
                <w:color w:val="222222"/>
                <w:sz w:val="18"/>
              </w:rPr>
              <w:t>Projektdauer (Termintreue)</w:t>
            </w:r>
          </w:p>
        </w:tc>
        <w:tc>
          <w:tcPr>
            <w:tcW w:type="dxa" w:w="2304"/>
            <w:tcMar>
              <w:top w:w="80" w:type="dxa"/>
              <w:bottom w:w="80" w:type="dxa"/>
              <w:left w:w="120" w:type="dxa"/>
              <w:right w:w="120" w:type="dxa"/>
            </w:tcMar>
          </w:tcPr>
          <w:p>
            <w:pPr>
              <w:spacing w:before="0" w:after="0" w:line="276" w:lineRule="auto"/>
            </w:pPr>
            <w:r>
              <w:rPr>
                <w:rFonts w:ascii="Calibri" w:hAnsi="Calibri"/>
                <w:color w:val="222222"/>
                <w:sz w:val="18"/>
              </w:rPr>
              <w:t>48 Arbeitstage (Plan)</w:t>
            </w:r>
          </w:p>
        </w:tc>
        <w:tc>
          <w:tcPr>
            <w:tcW w:type="dxa" w:w="2304"/>
            <w:tcMar>
              <w:top w:w="80" w:type="dxa"/>
              <w:bottom w:w="80" w:type="dxa"/>
              <w:left w:w="120" w:type="dxa"/>
              <w:right w:w="120" w:type="dxa"/>
            </w:tcMar>
          </w:tcPr>
          <w:p>
            <w:pPr>
              <w:spacing w:before="0" w:after="0" w:line="276" w:lineRule="auto"/>
            </w:pPr>
            <w:r>
              <w:rPr>
                <w:rFonts w:ascii="Calibri" w:hAnsi="Calibri"/>
                <w:color w:val="222222"/>
                <w:sz w:val="18"/>
              </w:rPr>
              <w:t>46 Arbeitstage (Ist)</w:t>
            </w:r>
          </w:p>
        </w:tc>
        <w:tc>
          <w:tcPr>
            <w:tcW w:type="dxa" w:w="1872"/>
            <w:tcMar>
              <w:top w:w="80" w:type="dxa"/>
              <w:bottom w:w="80" w:type="dxa"/>
              <w:left w:w="120" w:type="dxa"/>
              <w:right w:w="120" w:type="dxa"/>
            </w:tcMar>
          </w:tcPr>
          <w:p>
            <w:pPr>
              <w:spacing w:before="0" w:after="0" w:line="276" w:lineRule="auto"/>
            </w:pPr>
            <w:r>
              <w:rPr>
                <w:rFonts w:ascii="Calibri" w:hAnsi="Calibri"/>
                <w:color w:val="222222"/>
                <w:sz w:val="18"/>
              </w:rPr>
              <w:t>2 Tage Puffer eingespart (Erfolg)</w:t>
            </w:r>
          </w:p>
        </w:tc>
      </w:tr>
      <w:tr>
        <w:tc>
          <w:tcPr>
            <w:tcW w:type="dxa" w:w="3312"/>
            <w:shd w:fill="F4F6F9"/>
            <w:tcMar>
              <w:top w:w="80" w:type="dxa"/>
              <w:bottom w:w="80" w:type="dxa"/>
              <w:left w:w="120" w:type="dxa"/>
              <w:right w:w="120" w:type="dxa"/>
            </w:tcMar>
          </w:tcPr>
          <w:p>
            <w:pPr>
              <w:spacing w:before="0" w:after="0" w:line="276" w:lineRule="auto"/>
            </w:pPr>
            <w:r>
              <w:rPr>
                <w:rFonts w:ascii="Calibri" w:hAnsi="Calibri"/>
                <w:color w:val="222222"/>
                <w:sz w:val="18"/>
              </w:rPr>
              <w:t>Kostenbudget Hardware</w:t>
            </w:r>
          </w:p>
        </w:tc>
        <w:tc>
          <w:tcPr>
            <w:tcW w:type="dxa" w:w="2304"/>
            <w:shd w:fill="F4F6F9"/>
            <w:tcMar>
              <w:top w:w="80" w:type="dxa"/>
              <w:bottom w:w="80" w:type="dxa"/>
              <w:left w:w="120" w:type="dxa"/>
              <w:right w:w="120" w:type="dxa"/>
            </w:tcMar>
          </w:tcPr>
          <w:p>
            <w:pPr>
              <w:spacing w:before="0" w:after="0" w:line="276" w:lineRule="auto"/>
            </w:pPr>
            <w:r>
              <w:rPr>
                <w:rFonts w:ascii="Calibri" w:hAnsi="Calibri"/>
                <w:color w:val="222222"/>
                <w:sz w:val="18"/>
              </w:rPr>
              <w:t>53.000,00 € netto</w:t>
            </w:r>
          </w:p>
        </w:tc>
        <w:tc>
          <w:tcPr>
            <w:tcW w:type="dxa" w:w="2304"/>
            <w:shd w:fill="F4F6F9"/>
            <w:tcMar>
              <w:top w:w="80" w:type="dxa"/>
              <w:bottom w:w="80" w:type="dxa"/>
              <w:left w:w="120" w:type="dxa"/>
              <w:right w:w="120" w:type="dxa"/>
            </w:tcMar>
          </w:tcPr>
          <w:p>
            <w:pPr>
              <w:spacing w:before="0" w:after="0" w:line="276" w:lineRule="auto"/>
            </w:pPr>
            <w:r>
              <w:rPr>
                <w:rFonts w:ascii="Calibri" w:hAnsi="Calibri"/>
                <w:color w:val="222222"/>
                <w:sz w:val="18"/>
              </w:rPr>
              <w:t>51.979,68 € netto</w:t>
            </w:r>
          </w:p>
        </w:tc>
        <w:tc>
          <w:tcPr>
            <w:tcW w:type="dxa" w:w="1872"/>
            <w:shd w:fill="F4F6F9"/>
            <w:tcMar>
              <w:top w:w="80" w:type="dxa"/>
              <w:bottom w:w="80" w:type="dxa"/>
              <w:left w:w="120" w:type="dxa"/>
              <w:right w:w="120" w:type="dxa"/>
            </w:tcMar>
          </w:tcPr>
          <w:p>
            <w:pPr>
              <w:spacing w:before="0" w:after="0" w:line="276" w:lineRule="auto"/>
            </w:pPr>
            <w:r>
              <w:rPr>
                <w:rFonts w:ascii="Calibri" w:hAnsi="Calibri"/>
                <w:color w:val="222222"/>
                <w:sz w:val="18"/>
              </w:rPr>
              <w:t>1.020,32 € unter Budget (1,9 %)</w:t>
            </w:r>
          </w:p>
        </w:tc>
      </w:tr>
      <w:tr>
        <w:tc>
          <w:tcPr>
            <w:tcW w:type="dxa" w:w="3312"/>
            <w:tcMar>
              <w:top w:w="80" w:type="dxa"/>
              <w:bottom w:w="80" w:type="dxa"/>
              <w:left w:w="120" w:type="dxa"/>
              <w:right w:w="120" w:type="dxa"/>
            </w:tcMar>
          </w:tcPr>
          <w:p>
            <w:pPr>
              <w:spacing w:before="0" w:after="0" w:line="276" w:lineRule="auto"/>
            </w:pPr>
            <w:r>
              <w:rPr>
                <w:rFonts w:ascii="Calibri" w:hAnsi="Calibri"/>
                <w:color w:val="222222"/>
                <w:sz w:val="18"/>
              </w:rPr>
              <w:t>Dienstleistungsaufwand</w:t>
            </w:r>
          </w:p>
        </w:tc>
        <w:tc>
          <w:tcPr>
            <w:tcW w:type="dxa" w:w="2304"/>
            <w:tcMar>
              <w:top w:w="80" w:type="dxa"/>
              <w:bottom w:w="80" w:type="dxa"/>
              <w:left w:w="120" w:type="dxa"/>
              <w:right w:w="120" w:type="dxa"/>
            </w:tcMar>
          </w:tcPr>
          <w:p>
            <w:pPr>
              <w:spacing w:before="0" w:after="0" w:line="276" w:lineRule="auto"/>
            </w:pPr>
            <w:r>
              <w:rPr>
                <w:rFonts w:ascii="Calibri" w:hAnsi="Calibri"/>
                <w:color w:val="222222"/>
                <w:sz w:val="18"/>
              </w:rPr>
              <w:t>6.500,00 € netto</w:t>
            </w:r>
          </w:p>
        </w:tc>
        <w:tc>
          <w:tcPr>
            <w:tcW w:type="dxa" w:w="2304"/>
            <w:tcMar>
              <w:top w:w="80" w:type="dxa"/>
              <w:bottom w:w="80" w:type="dxa"/>
              <w:left w:w="120" w:type="dxa"/>
              <w:right w:w="120" w:type="dxa"/>
            </w:tcMar>
          </w:tcPr>
          <w:p>
            <w:pPr>
              <w:spacing w:before="0" w:after="0" w:line="276" w:lineRule="auto"/>
            </w:pPr>
            <w:r>
              <w:rPr>
                <w:rFonts w:ascii="Calibri" w:hAnsi="Calibri"/>
                <w:color w:val="222222"/>
                <w:sz w:val="18"/>
              </w:rPr>
              <w:t>6.050,00 € netto</w:t>
            </w:r>
          </w:p>
        </w:tc>
        <w:tc>
          <w:tcPr>
            <w:tcW w:type="dxa" w:w="1872"/>
            <w:tcMar>
              <w:top w:w="80" w:type="dxa"/>
              <w:bottom w:w="80" w:type="dxa"/>
              <w:left w:w="120" w:type="dxa"/>
              <w:right w:w="120" w:type="dxa"/>
            </w:tcMar>
          </w:tcPr>
          <w:p>
            <w:pPr>
              <w:spacing w:before="0" w:after="0" w:line="276" w:lineRule="auto"/>
            </w:pPr>
            <w:r>
              <w:rPr>
                <w:rFonts w:ascii="Calibri" w:hAnsi="Calibri"/>
                <w:color w:val="222222"/>
                <w:sz w:val="18"/>
              </w:rPr>
              <w:t>450,00 € unter Budget (6,9 %)</w:t>
            </w:r>
          </w:p>
        </w:tc>
      </w:tr>
      <w:tr>
        <w:tc>
          <w:tcPr>
            <w:tcW w:type="dxa" w:w="3312"/>
            <w:shd w:fill="F4F6F9"/>
            <w:tcMar>
              <w:top w:w="80" w:type="dxa"/>
              <w:bottom w:w="80" w:type="dxa"/>
              <w:left w:w="120" w:type="dxa"/>
              <w:right w:w="120" w:type="dxa"/>
            </w:tcMar>
          </w:tcPr>
          <w:p>
            <w:pPr>
              <w:spacing w:before="0" w:after="0" w:line="276" w:lineRule="auto"/>
            </w:pPr>
            <w:r>
              <w:rPr>
                <w:rFonts w:ascii="Calibri" w:hAnsi="Calibri"/>
                <w:color w:val="222222"/>
                <w:sz w:val="18"/>
              </w:rPr>
              <w:t>Qualitätskriterien</w:t>
            </w:r>
          </w:p>
        </w:tc>
        <w:tc>
          <w:tcPr>
            <w:tcW w:type="dxa" w:w="2304"/>
            <w:shd w:fill="F4F6F9"/>
            <w:tcMar>
              <w:top w:w="80" w:type="dxa"/>
              <w:bottom w:w="80" w:type="dxa"/>
              <w:left w:w="120" w:type="dxa"/>
              <w:right w:w="120" w:type="dxa"/>
            </w:tcMar>
          </w:tcPr>
          <w:p>
            <w:pPr>
              <w:spacing w:before="0" w:after="0" w:line="276" w:lineRule="auto"/>
            </w:pPr>
            <w:r>
              <w:rPr>
                <w:rFonts w:ascii="Calibri" w:hAnsi="Calibri"/>
                <w:color w:val="222222"/>
                <w:sz w:val="18"/>
              </w:rPr>
              <w:t>100 % Erfüllung Lastenheft</w:t>
            </w:r>
          </w:p>
        </w:tc>
        <w:tc>
          <w:tcPr>
            <w:tcW w:type="dxa" w:w="2304"/>
            <w:shd w:fill="F4F6F9"/>
            <w:tcMar>
              <w:top w:w="80" w:type="dxa"/>
              <w:bottom w:w="80" w:type="dxa"/>
              <w:left w:w="120" w:type="dxa"/>
              <w:right w:w="120" w:type="dxa"/>
            </w:tcMar>
          </w:tcPr>
          <w:p>
            <w:pPr>
              <w:spacing w:before="0" w:after="0" w:line="276" w:lineRule="auto"/>
            </w:pPr>
            <w:r>
              <w:rPr>
                <w:rFonts w:ascii="Calibri" w:hAnsi="Calibri"/>
                <w:color w:val="222222"/>
                <w:sz w:val="18"/>
              </w:rPr>
              <w:t>100 % Erfüllung Lastenheft</w:t>
            </w:r>
          </w:p>
        </w:tc>
        <w:tc>
          <w:tcPr>
            <w:tcW w:type="dxa" w:w="1872"/>
            <w:shd w:fill="F4F6F9"/>
            <w:tcMar>
              <w:top w:w="80" w:type="dxa"/>
              <w:bottom w:w="80" w:type="dxa"/>
              <w:left w:w="120" w:type="dxa"/>
              <w:right w:w="120" w:type="dxa"/>
            </w:tcMar>
          </w:tcPr>
          <w:p>
            <w:pPr>
              <w:spacing w:before="0" w:after="0" w:line="276" w:lineRule="auto"/>
            </w:pPr>
            <w:r>
              <w:rPr>
                <w:rFonts w:ascii="Calibri" w:hAnsi="Calibri"/>
                <w:color w:val="222222"/>
                <w:sz w:val="18"/>
              </w:rPr>
              <w:t>Vollständige Kundenzufriedenheit</w:t>
            </w:r>
          </w:p>
        </w:tc>
      </w:tr>
      <w:tr>
        <w:tc>
          <w:tcPr>
            <w:tcW w:type="dxa" w:w="3312"/>
            <w:tcMar>
              <w:top w:w="80" w:type="dxa"/>
              <w:bottom w:w="80" w:type="dxa"/>
              <w:left w:w="120" w:type="dxa"/>
              <w:right w:w="120" w:type="dxa"/>
            </w:tcMar>
          </w:tcPr>
          <w:p>
            <w:pPr>
              <w:spacing w:before="0" w:after="0" w:line="276" w:lineRule="auto"/>
            </w:pPr>
            <w:r>
              <w:rPr>
                <w:rFonts w:ascii="Calibri" w:hAnsi="Calibri"/>
                <w:color w:val="222222"/>
                <w:sz w:val="18"/>
              </w:rPr>
              <w:t>Mängelquote bei Abnahme</w:t>
            </w:r>
          </w:p>
        </w:tc>
        <w:tc>
          <w:tcPr>
            <w:tcW w:type="dxa" w:w="2304"/>
            <w:tcMar>
              <w:top w:w="80" w:type="dxa"/>
              <w:bottom w:w="80" w:type="dxa"/>
              <w:left w:w="120" w:type="dxa"/>
              <w:right w:w="120" w:type="dxa"/>
            </w:tcMar>
          </w:tcPr>
          <w:p>
            <w:pPr>
              <w:spacing w:before="0" w:after="0" w:line="276" w:lineRule="auto"/>
            </w:pPr>
            <w:r>
              <w:rPr>
                <w:rFonts w:ascii="Calibri" w:hAnsi="Calibri"/>
                <w:color w:val="222222"/>
                <w:sz w:val="18"/>
              </w:rPr>
              <w:t>0 wesentliche Mängel</w:t>
            </w:r>
          </w:p>
        </w:tc>
        <w:tc>
          <w:tcPr>
            <w:tcW w:type="dxa" w:w="2304"/>
            <w:tcMar>
              <w:top w:w="80" w:type="dxa"/>
              <w:bottom w:w="80" w:type="dxa"/>
              <w:left w:w="120" w:type="dxa"/>
              <w:right w:w="120" w:type="dxa"/>
            </w:tcMar>
          </w:tcPr>
          <w:p>
            <w:pPr>
              <w:spacing w:before="0" w:after="0" w:line="276" w:lineRule="auto"/>
            </w:pPr>
            <w:r>
              <w:rPr>
                <w:rFonts w:ascii="Calibri" w:hAnsi="Calibri"/>
                <w:color w:val="222222"/>
                <w:sz w:val="18"/>
              </w:rPr>
              <w:t>0 wesentliche Mängel</w:t>
            </w:r>
          </w:p>
        </w:tc>
        <w:tc>
          <w:tcPr>
            <w:tcW w:type="dxa" w:w="1872"/>
            <w:tcMar>
              <w:top w:w="80" w:type="dxa"/>
              <w:bottom w:w="80" w:type="dxa"/>
              <w:left w:w="120" w:type="dxa"/>
              <w:right w:w="120" w:type="dxa"/>
            </w:tcMar>
          </w:tcPr>
          <w:p>
            <w:pPr>
              <w:spacing w:before="0" w:after="0" w:line="276" w:lineRule="auto"/>
            </w:pPr>
            <w:r>
              <w:rPr>
                <w:rFonts w:ascii="Calibri" w:hAnsi="Calibri"/>
                <w:color w:val="222222"/>
                <w:sz w:val="18"/>
              </w:rPr>
              <w:t>Reibungslose Vorbehaltlose Abnahme</w:t>
            </w:r>
          </w:p>
        </w:tc>
      </w:tr>
    </w:tbl>
    <w:p>
      <w:pPr>
        <w:spacing w:after="120"/>
      </w:pPr>
    </w:p>
    <w:p>
      <w:pPr>
        <w:spacing w:before="200" w:after="80" w:line="276" w:lineRule="auto"/>
      </w:pPr>
      <w:r>
        <w:rPr>
          <w:rFonts w:ascii="Calibri" w:hAnsi="Calibri"/>
          <w:b/>
          <w:color w:val="006699"/>
          <w:sz w:val="25"/>
        </w:rPr>
        <w:t>10.2 Was lief hervorragend? (Best Practices)</w:t>
      </w:r>
    </w:p>
    <w:p>
      <w:pPr>
        <w:pStyle w:val="ListBullet"/>
        <w:spacing w:before="0" w:after="60" w:line="276" w:lineRule="auto"/>
      </w:pPr>
      <w:r>
        <w:rPr>
          <w:rFonts w:ascii="Calibri" w:hAnsi="Calibri"/>
          <w:b/>
          <w:color w:val="222222"/>
          <w:sz w:val="20"/>
        </w:rPr>
        <w:t xml:space="preserve">Disziplinierte Ablaufplanung: </w:t>
      </w:r>
      <w:r>
        <w:rPr>
          <w:rFonts w:ascii="Calibri" w:hAnsi="Calibri"/>
          <w:color w:val="222222"/>
          <w:sz w:val="20"/>
        </w:rPr>
        <w:t>Durch die strikte Einhaltung der Meilensteine und des DIN 69900 Netzplans traten zu keinem Zeitpunkt Leerlaufzeiten auf.</w:t>
      </w:r>
    </w:p>
    <w:p>
      <w:pPr>
        <w:pStyle w:val="ListBullet"/>
        <w:spacing w:before="0" w:after="60" w:line="276" w:lineRule="auto"/>
      </w:pPr>
      <w:r>
        <w:rPr>
          <w:rFonts w:ascii="Calibri" w:hAnsi="Calibri"/>
          <w:b/>
          <w:color w:val="222222"/>
          <w:sz w:val="20"/>
        </w:rPr>
        <w:t xml:space="preserve">Objektive Entscheidungsmatrix: </w:t>
      </w:r>
      <w:r>
        <w:rPr>
          <w:rFonts w:ascii="Calibri" w:hAnsi="Calibri"/>
          <w:color w:val="222222"/>
          <w:sz w:val="20"/>
        </w:rPr>
        <w:t>Die Nutzwertanalyse sicherte eine wissenschaftlich fundierte Produktauswahl ab und überzeugte die VektorPlan GmbH im ersten Gespräch.</w:t>
      </w:r>
    </w:p>
    <w:p>
      <w:pPr>
        <w:pStyle w:val="ListBullet"/>
        <w:spacing w:before="0" w:after="60" w:line="276" w:lineRule="auto"/>
      </w:pPr>
      <w:r>
        <w:rPr>
          <w:rFonts w:ascii="Calibri" w:hAnsi="Calibri"/>
          <w:b/>
          <w:color w:val="222222"/>
          <w:sz w:val="20"/>
        </w:rPr>
        <w:t xml:space="preserve">Rechts- &amp; Risikobewusstsein: </w:t>
      </w:r>
      <w:r>
        <w:rPr>
          <w:rFonts w:ascii="Calibri" w:hAnsi="Calibri"/>
          <w:color w:val="222222"/>
          <w:sz w:val="20"/>
        </w:rPr>
        <w:t>Die konsequente Anwendung von § 377 HGB sicherte das Systemhaus vor Gewährleistungsrisiken bei Transportschäden ab.</w:t>
      </w:r>
    </w:p>
    <w:p>
      <w:pPr>
        <w:spacing w:before="200" w:after="80" w:line="276" w:lineRule="auto"/>
      </w:pPr>
      <w:r>
        <w:rPr>
          <w:rFonts w:ascii="Calibri" w:hAnsi="Calibri"/>
          <w:b/>
          <w:color w:val="006699"/>
          <w:sz w:val="25"/>
        </w:rPr>
        <w:t>10.3 Wo gibt es Optimierungspotenzial für Folgeprojekte?</w:t>
      </w:r>
    </w:p>
    <w:p>
      <w:pPr>
        <w:pStyle w:val="ListBullet"/>
        <w:spacing w:before="0" w:after="60" w:line="276" w:lineRule="auto"/>
      </w:pPr>
      <w:r>
        <w:rPr>
          <w:rFonts w:ascii="Calibri" w:hAnsi="Calibri"/>
          <w:b/>
          <w:color w:val="222222"/>
          <w:sz w:val="20"/>
        </w:rPr>
        <w:t xml:space="preserve">Netzwerkdokumentation: </w:t>
      </w:r>
      <w:r>
        <w:rPr>
          <w:rFonts w:ascii="Calibri" w:hAnsi="Calibri"/>
          <w:color w:val="222222"/>
          <w:sz w:val="20"/>
        </w:rPr>
        <w:t>Vorab-Klärung der Switchport-Belegung vor Ort spart 0,5 Tage Suchaufwand im Patchfeld.</w:t>
      </w:r>
    </w:p>
    <w:p>
      <w:pPr>
        <w:pStyle w:val="ListBullet"/>
        <w:spacing w:before="0" w:after="60" w:line="276" w:lineRule="auto"/>
      </w:pPr>
      <w:r>
        <w:rPr>
          <w:rFonts w:ascii="Calibri" w:hAnsi="Calibri"/>
          <w:b/>
          <w:color w:val="222222"/>
          <w:sz w:val="20"/>
        </w:rPr>
        <w:t xml:space="preserve">Lieferantenverträge: </w:t>
      </w:r>
      <w:r>
        <w:rPr>
          <w:rFonts w:ascii="Calibri" w:hAnsi="Calibri"/>
          <w:color w:val="222222"/>
          <w:sz w:val="20"/>
        </w:rPr>
        <w:t>Bei Distributoren sollte zukünftig bei knappen Lieferzeiten eine vertraglich garantierte Lieferfrist (Fixkauf) vereinbart werden.</w:t>
      </w:r>
    </w:p>
    <w:p>
      <w:pPr>
        <w:pStyle w:val="ListBullet"/>
        <w:spacing w:before="0" w:after="60" w:line="276" w:lineRule="auto"/>
      </w:pPr>
      <w:r>
        <w:rPr>
          <w:rFonts w:ascii="Calibri" w:hAnsi="Calibri"/>
          <w:b/>
          <w:color w:val="222222"/>
          <w:sz w:val="20"/>
        </w:rPr>
        <w:t xml:space="preserve">Schulungskomponente: </w:t>
      </w:r>
      <w:r>
        <w:rPr>
          <w:rFonts w:ascii="Calibri" w:hAnsi="Calibri"/>
          <w:color w:val="222222"/>
          <w:sz w:val="20"/>
        </w:rPr>
        <w:t>Für komplexe CAD-Tools sollte künftig von vornherein ein 1-tägiger Kundenschulungs-Workshop als Dienstleistungsposition mitangeboten werden.</w:t>
      </w:r>
    </w:p>
    <w:p>
      <w:pPr>
        <w:spacing w:before="280" w:after="120" w:line="276" w:lineRule="auto"/>
      </w:pPr>
      <w:r>
        <w:rPr>
          <w:rFonts w:ascii="Calibri" w:hAnsi="Calibri"/>
          <w:b/>
          <w:color w:val="003366"/>
          <w:sz w:val="30"/>
        </w:rPr>
        <w:t>11. Anlagen- und Dateiverzeichnis</w:t>
      </w:r>
    </w:p>
    <w:p>
      <w:pPr>
        <w:spacing w:before="0" w:after="100" w:line="276" w:lineRule="auto"/>
      </w:pPr>
      <w:r>
        <w:rPr>
          <w:rFonts w:ascii="Calibri" w:hAnsi="Calibri"/>
          <w:color w:val="222222"/>
          <w:sz w:val="20"/>
        </w:rPr>
        <w:t>Alle in dieser Dokumentation zitierten Berechnungen, Tabellen und Detailkonzepte sind als eigenständige Arbeitsdateien im Projektverzeichnis hinterlegt:</w:t>
      </w:r>
    </w:p>
    <w:tbl>
      <w:tblPr>
        <w:tblW w:type="auto" w:w="0"/>
        <w:jc w:val="center"/>
        <w:tblLook w:firstColumn="1" w:firstRow="1" w:lastColumn="0" w:lastRow="0" w:noHBand="0" w:noVBand="1" w:val="04A0"/>
        <w:tblBorders>
          <w:top w:val="single" w:sz="4" w:space="0" w:color="D0D5DD"/>
          <w:left w:val="none"/>
          <w:bottom w:val="single" w:sz="6" w:space="0" w:color="003366"/>
          <w:right w:val="none"/>
          <w:insideH w:val="single" w:sz="4" w:space="0" w:color="D0D5DD"/>
          <w:insideV w:val="none"/>
        </w:tblBorders>
      </w:tblPr>
      <w:tblGrid>
        <w:gridCol w:w="3264"/>
        <w:gridCol w:w="3264"/>
        <w:gridCol w:w="3264"/>
      </w:tblGrid>
      <w:tr>
        <w:trPr>
          <w:tblHeader/>
        </w:trPr>
        <w:tc>
          <w:tcPr>
            <w:tcW w:type="dxa" w:w="3600"/>
            <w:shd w:fill="003366"/>
            <w:tcMar>
              <w:top w:w="100" w:type="dxa"/>
              <w:bottom w:w="100" w:type="dxa"/>
              <w:left w:w="120" w:type="dxa"/>
              <w:right w:w="120" w:type="dxa"/>
            </w:tcMar>
          </w:tcPr>
          <w:p>
            <w:pPr>
              <w:spacing w:before="0" w:after="0" w:line="276" w:lineRule="auto"/>
            </w:pPr>
            <w:r>
              <w:rPr>
                <w:rFonts w:ascii="Calibri" w:hAnsi="Calibri"/>
                <w:b/>
                <w:color w:val="FFFFFF"/>
                <w:sz w:val="19"/>
              </w:rPr>
              <w:t>Dateipfad im Repository</w:t>
            </w:r>
          </w:p>
        </w:tc>
        <w:tc>
          <w:tcPr>
            <w:tcW w:type="dxa" w:w="1296"/>
            <w:shd w:fill="003366"/>
            <w:tcMar>
              <w:top w:w="100" w:type="dxa"/>
              <w:bottom w:w="100" w:type="dxa"/>
              <w:left w:w="120" w:type="dxa"/>
              <w:right w:w="120" w:type="dxa"/>
            </w:tcMar>
          </w:tcPr>
          <w:p>
            <w:pPr>
              <w:spacing w:before="0" w:after="0" w:line="276" w:lineRule="auto"/>
            </w:pPr>
            <w:r>
              <w:rPr>
                <w:rFonts w:ascii="Calibri" w:hAnsi="Calibri"/>
                <w:b/>
                <w:color w:val="FFFFFF"/>
                <w:sz w:val="19"/>
              </w:rPr>
              <w:t>Bezug</w:t>
            </w:r>
          </w:p>
        </w:tc>
        <w:tc>
          <w:tcPr>
            <w:tcW w:type="dxa" w:w="4896"/>
            <w:shd w:fill="003366"/>
            <w:tcMar>
              <w:top w:w="100" w:type="dxa"/>
              <w:bottom w:w="100" w:type="dxa"/>
              <w:left w:w="120" w:type="dxa"/>
              <w:right w:w="120" w:type="dxa"/>
            </w:tcMar>
          </w:tcPr>
          <w:p>
            <w:pPr>
              <w:spacing w:before="0" w:after="0" w:line="276" w:lineRule="auto"/>
            </w:pPr>
            <w:r>
              <w:rPr>
                <w:rFonts w:ascii="Calibri" w:hAnsi="Calibri"/>
                <w:b/>
                <w:color w:val="FFFFFF"/>
                <w:sz w:val="19"/>
              </w:rPr>
              <w:t>Inhalt / Dokumentzweck</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docs/Berechnungen/Speicherplatzberechnung.xlsx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B.1</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Vollständiges Rechenmodell Speicherplatzbedarf (445 GiB)</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docs/Berechnungen/Energiekostenkalkulation.xlsx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B.2</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Kalkulation Stromkosten (1.771,26 €/a, 2.960 W Last)</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docs/Berechnungen/Kundenberechnungen.xlsx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B</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Master-Exceldatei mit beiden Kundenberechnungen</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docs/01_Projektorganisation/Vorgangsliste.xlsx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1a</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14 Vorgänge im Wasserfallmodell mit Verantwortlichen</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docs/01_Projektorganisation/Netzplan.xlsx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1b</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DIN 69900 Netzplan mit kritischem Pfad (46 Tage)</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docs/01_Projektorganisation/Projektstrukturplan.xlsx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1c</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DIN 69901 PSP mit 5 Phasen und 30 Arbeitspaketen</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docs/01_Projektorganisation/Gantt_Diagramm.xlsx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1d</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Visueller Terminbalkenplan</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docs/01_Projektorganisation/Risikoanalyse.xlsx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1e</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7 Risiken mit Bewertung und Risikomatrix</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docs/02_Anforderungsanalyse/Lastenheft.docx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2</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Detaillierte Spezifikationen und Soll-Konzept</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docs/03_Marktrecherche/Nutzwertanalyse_*.xlsx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3</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Gewichtete Matrizen für Workstations und Monitore</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docs/04_Angebot/Vorwaertskalkulation.xlsx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4a</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Kaufmännische Vollkostenkalkulation LEP bis LVP</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docs/04_Angebot/Angebot_VektorPlan.docx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4b</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Formgerechtes Angebot über 67.179,32 € netto</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docs/04_Angebot/Infoblatt_Leasing_vs_Kauf.docx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4c</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Kundeninformationsblatt CAPEX vs. OPEX</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docs/05_Wareneingang/Wareneingangspruefung.docx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5a</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Prüfungsleitfaden nach § 377 HGB</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docs/05_Wareneingang/Maengelruege.docx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5b</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Rechtssichere kaufmännische Mängelrüge</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docs/06_Entsorgung/Entsorgungskonzept.docx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6</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ElektroG, Toner- und BSI-Datenlöschungskonzept</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docs/07_Rollout/Checkliste_Inbetriebnahme.docx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7a</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Arbeitsstätten-Checkliste und Montageprotokoll</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docs/07_Rollout/Abnahmeprotokoll.docx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7b</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Rechtskonformes Abnahmeprotokoll nach § 640 BGB</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docs/08_Projektabschluss/Lessons_Learned.docx</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8a</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Soll-Ist-Vergleich und Lessons Learned Bericht</w:t>
            </w:r>
          </w:p>
        </w:tc>
      </w:tr>
      <w:tr>
        <w:tc>
          <w:tcPr>
            <w:tcW w:type="dxa" w:w="3600"/>
            <w:shd w:fill="F4F6F9"/>
            <w:tcMar>
              <w:top w:w="80" w:type="dxa"/>
              <w:bottom w:w="80" w:type="dxa"/>
              <w:left w:w="120" w:type="dxa"/>
              <w:right w:w="120" w:type="dxa"/>
            </w:tcMar>
          </w:tcPr>
          <w:p>
            <w:pPr>
              <w:spacing w:before="0" w:after="0" w:line="276" w:lineRule="auto"/>
            </w:pPr>
            <w:r>
              <w:rPr>
                <w:rFonts w:ascii="Calibri" w:hAnsi="Calibri"/>
                <w:color w:val="222222"/>
                <w:sz w:val="18"/>
              </w:rPr>
              <w:t>docs/08_Projektabschluss/Abschlusspraesentation.pptx</w:t>
            </w:r>
          </w:p>
        </w:tc>
        <w:tc>
          <w:tcPr>
            <w:tcW w:type="dxa" w:w="1296"/>
            <w:shd w:fill="F4F6F9"/>
            <w:tcMar>
              <w:top w:w="80" w:type="dxa"/>
              <w:bottom w:w="80" w:type="dxa"/>
              <w:left w:w="120" w:type="dxa"/>
              <w:right w:w="120" w:type="dxa"/>
            </w:tcMar>
          </w:tcPr>
          <w:p>
            <w:pPr>
              <w:spacing w:before="0" w:after="0" w:line="276" w:lineRule="auto"/>
            </w:pPr>
            <w:r>
              <w:rPr>
                <w:rFonts w:ascii="Calibri" w:hAnsi="Calibri"/>
                <w:color w:val="222222"/>
                <w:sz w:val="18"/>
              </w:rPr>
              <w:t>Aufgabe 8b</w:t>
            </w:r>
          </w:p>
        </w:tc>
        <w:tc>
          <w:tcPr>
            <w:tcW w:type="dxa" w:w="4896"/>
            <w:shd w:fill="F4F6F9"/>
            <w:tcMar>
              <w:top w:w="80" w:type="dxa"/>
              <w:bottom w:w="80" w:type="dxa"/>
              <w:left w:w="120" w:type="dxa"/>
              <w:right w:w="120" w:type="dxa"/>
            </w:tcMar>
          </w:tcPr>
          <w:p>
            <w:pPr>
              <w:spacing w:before="0" w:after="0" w:line="276" w:lineRule="auto"/>
            </w:pPr>
            <w:r>
              <w:rPr>
                <w:rFonts w:ascii="Calibri" w:hAnsi="Calibri"/>
                <w:color w:val="222222"/>
                <w:sz w:val="18"/>
              </w:rPr>
              <w:t>16-Folien Master-Präsentation mit Sprechernotizen</w:t>
            </w:r>
          </w:p>
        </w:tc>
      </w:tr>
      <w:tr>
        <w:tc>
          <w:tcPr>
            <w:tcW w:type="dxa" w:w="3600"/>
            <w:tcMar>
              <w:top w:w="80" w:type="dxa"/>
              <w:bottom w:w="80" w:type="dxa"/>
              <w:left w:w="120" w:type="dxa"/>
              <w:right w:w="120" w:type="dxa"/>
            </w:tcMar>
          </w:tcPr>
          <w:p>
            <w:pPr>
              <w:spacing w:before="0" w:after="0" w:line="276" w:lineRule="auto"/>
            </w:pPr>
            <w:r>
              <w:rPr>
                <w:rFonts w:ascii="Calibri" w:hAnsi="Calibri"/>
                <w:color w:val="222222"/>
                <w:sz w:val="18"/>
              </w:rPr>
              <w:t>docs/08_Projektabschluss/Gespraechsleitfaden_Praesentation.pdf</w:t>
            </w:r>
          </w:p>
        </w:tc>
        <w:tc>
          <w:tcPr>
            <w:tcW w:type="dxa" w:w="1296"/>
            <w:tcMar>
              <w:top w:w="80" w:type="dxa"/>
              <w:bottom w:w="80" w:type="dxa"/>
              <w:left w:w="120" w:type="dxa"/>
              <w:right w:w="120" w:type="dxa"/>
            </w:tcMar>
          </w:tcPr>
          <w:p>
            <w:pPr>
              <w:spacing w:before="0" w:after="0" w:line="276" w:lineRule="auto"/>
            </w:pPr>
            <w:r>
              <w:rPr>
                <w:rFonts w:ascii="Calibri" w:hAnsi="Calibri"/>
                <w:color w:val="222222"/>
                <w:sz w:val="18"/>
              </w:rPr>
              <w:t>Aufgabe 8c</w:t>
            </w:r>
          </w:p>
        </w:tc>
        <w:tc>
          <w:tcPr>
            <w:tcW w:type="dxa" w:w="4896"/>
            <w:tcMar>
              <w:top w:w="80" w:type="dxa"/>
              <w:bottom w:w="80" w:type="dxa"/>
              <w:left w:w="120" w:type="dxa"/>
              <w:right w:w="120" w:type="dxa"/>
            </w:tcMar>
          </w:tcPr>
          <w:p>
            <w:pPr>
              <w:spacing w:before="0" w:after="0" w:line="276" w:lineRule="auto"/>
            </w:pPr>
            <w:r>
              <w:rPr>
                <w:rFonts w:ascii="Calibri" w:hAnsi="Calibri"/>
                <w:color w:val="222222"/>
                <w:sz w:val="18"/>
              </w:rPr>
              <w:t>Gedruckter Wortlaut-Leitfaden für alle 5 Sprecher</w:t>
            </w:r>
          </w:p>
        </w:tc>
      </w:tr>
    </w:tbl>
    <w:p>
      <w:pPr>
        <w:spacing w:after="12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E78"/>
        <w:sz w:val="17"/>
      </w:rPr>
      <w:t>Handlungsaufgabe: Ausstattung eines Planungs- und Konstruktionsbüros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NextLevel IT Solutions GmbH | Projektdokumentation: VektorPlan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