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IT-Beschaffung: Leasing oder Direktkauf?</w:t>
      </w:r>
    </w:p>
    <w:p>
      <w:r>
        <w:t>Dieses Informationsblatt hilft Ihnen bei der Entscheidung zwischen dem Direktkauf und dem IT-Leasing Ihrer neuen Hardware-Infrastruktur.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Kriterium</w:t>
            </w:r>
          </w:p>
        </w:tc>
        <w:tc>
          <w:tcPr>
            <w:tcW w:type="dxa" w:w="2880"/>
          </w:tcPr>
          <w:p>
            <w:r>
              <w:t>Direktkauf</w:t>
            </w:r>
          </w:p>
        </w:tc>
        <w:tc>
          <w:tcPr>
            <w:tcW w:type="dxa" w:w="2880"/>
          </w:tcPr>
          <w:p>
            <w:r>
              <w:t>IT-Leasing</w:t>
            </w:r>
          </w:p>
        </w:tc>
      </w:tr>
      <w:tr>
        <w:tc>
          <w:tcPr>
            <w:tcW w:type="dxa" w:w="2880"/>
          </w:tcPr>
          <w:p>
            <w:r>
              <w:t>Zahlungsart</w:t>
            </w:r>
          </w:p>
        </w:tc>
        <w:tc>
          <w:tcPr>
            <w:tcW w:type="dxa" w:w="2880"/>
          </w:tcPr>
          <w:p>
            <w:r>
              <w:t>Einmalzahlung</w:t>
            </w:r>
          </w:p>
        </w:tc>
        <w:tc>
          <w:tcPr>
            <w:tcW w:type="dxa" w:w="2880"/>
          </w:tcPr>
          <w:p>
            <w:r>
              <w:t>Monatliche Raten</w:t>
            </w:r>
          </w:p>
        </w:tc>
      </w:tr>
      <w:tr>
        <w:tc>
          <w:tcPr>
            <w:tcW w:type="dxa" w:w="2880"/>
          </w:tcPr>
          <w:p>
            <w:r>
              <w:t>Bilanzierung</w:t>
            </w:r>
          </w:p>
        </w:tc>
        <w:tc>
          <w:tcPr>
            <w:tcW w:type="dxa" w:w="2880"/>
          </w:tcPr>
          <w:p>
            <w:r>
              <w:t>CAPEX (Aktivierung)</w:t>
            </w:r>
          </w:p>
        </w:tc>
        <w:tc>
          <w:tcPr>
            <w:tcW w:type="dxa" w:w="2880"/>
          </w:tcPr>
          <w:p>
            <w:r>
              <w:t>OPEX (Betriebsausgabe)</w:t>
            </w:r>
          </w:p>
        </w:tc>
      </w:tr>
      <w:tr>
        <w:tc>
          <w:tcPr>
            <w:tcW w:type="dxa" w:w="2880"/>
          </w:tcPr>
          <w:p>
            <w:r>
              <w:t>Liquidität</w:t>
            </w:r>
          </w:p>
        </w:tc>
        <w:tc>
          <w:tcPr>
            <w:tcW w:type="dxa" w:w="2880"/>
          </w:tcPr>
          <w:p>
            <w:r>
              <w:t>Hohe Anfangsinvestition</w:t>
            </w:r>
          </w:p>
        </w:tc>
        <w:tc>
          <w:tcPr>
            <w:tcW w:type="dxa" w:w="2880"/>
          </w:tcPr>
          <w:p>
            <w:r>
              <w:t>Liquidität bleibt erhalten</w:t>
            </w:r>
          </w:p>
        </w:tc>
      </w:tr>
      <w:tr>
        <w:tc>
          <w:tcPr>
            <w:tcW w:type="dxa" w:w="2880"/>
          </w:tcPr>
          <w:p>
            <w:r>
              <w:t>Steuerlich</w:t>
            </w:r>
          </w:p>
        </w:tc>
        <w:tc>
          <w:tcPr>
            <w:tcW w:type="dxa" w:w="2880"/>
          </w:tcPr>
          <w:p>
            <w:r>
              <w:t>AfA über 3 Jahre (PC)</w:t>
            </w:r>
          </w:p>
        </w:tc>
        <w:tc>
          <w:tcPr>
            <w:tcW w:type="dxa" w:w="2880"/>
          </w:tcPr>
          <w:p>
            <w:r>
              <w:t>Leasingraten voll absetzbar</w:t>
            </w:r>
          </w:p>
        </w:tc>
      </w:tr>
      <w:tr>
        <w:tc>
          <w:tcPr>
            <w:tcW w:type="dxa" w:w="2880"/>
          </w:tcPr>
          <w:p>
            <w:r>
              <w:t>Eigentum</w:t>
            </w:r>
          </w:p>
        </w:tc>
        <w:tc>
          <w:tcPr>
            <w:tcW w:type="dxa" w:w="2880"/>
          </w:tcPr>
          <w:p>
            <w:r>
              <w:t>Sofort Eigentümer</w:t>
            </w:r>
          </w:p>
        </w:tc>
        <w:tc>
          <w:tcPr>
            <w:tcW w:type="dxa" w:w="2880"/>
          </w:tcPr>
          <w:p>
            <w:r>
              <w:t>Eigentum beim Leasinggeber</w:t>
            </w:r>
          </w:p>
        </w:tc>
      </w:tr>
      <w:tr>
        <w:tc>
          <w:tcPr>
            <w:tcW w:type="dxa" w:w="2880"/>
          </w:tcPr>
          <w:p>
            <w:r>
              <w:t>Technologiewechsel</w:t>
            </w:r>
          </w:p>
        </w:tc>
        <w:tc>
          <w:tcPr>
            <w:tcW w:type="dxa" w:w="2880"/>
          </w:tcPr>
          <w:p>
            <w:r>
              <w:t>Aufwendiger</w:t>
            </w:r>
          </w:p>
        </w:tc>
        <w:tc>
          <w:tcPr>
            <w:tcW w:type="dxa" w:w="2880"/>
          </w:tcPr>
          <w:p>
            <w:r>
              <w:t>Einfach nach Leasingende</w:t>
            </w:r>
          </w:p>
        </w:tc>
      </w:tr>
      <w:tr>
        <w:tc>
          <w:tcPr>
            <w:tcW w:type="dxa" w:w="2880"/>
          </w:tcPr>
          <w:p>
            <w:r>
              <w:t>Gesamtkosten</w:t>
            </w:r>
          </w:p>
        </w:tc>
        <w:tc>
          <w:tcPr>
            <w:tcW w:type="dxa" w:w="2880"/>
          </w:tcPr>
          <w:p>
            <w:r>
              <w:t>Günstiger langfristig</w:t>
            </w:r>
          </w:p>
        </w:tc>
        <w:tc>
          <w:tcPr>
            <w:tcW w:type="dxa" w:w="2880"/>
          </w:tcPr>
          <w:p>
            <w:r>
              <w:t>Höhere Gesamtkosten</w:t>
            </w:r>
          </w:p>
        </w:tc>
      </w:tr>
    </w:tbl>
    <w:p>
      <w:pPr>
        <w:pStyle w:val="Heading2"/>
      </w:pPr>
      <w:r>
        <w:t>Empfehlung</w:t>
      </w:r>
    </w:p>
    <w:p>
      <w:r>
        <w:t>Aufgrund der schnellen technologischen Entwicklung und zur Schonung der Liquidität empfehlen wir in vielen Fällen das IT-Leasing. Es ermöglicht Ihnen, nach Ablauf der Leasingdauer (z.B. 48 Monate) unkompliziert auf aktuelle Hardware zu wechseln.</w:t>
      </w:r>
    </w:p>
    <w:p>
      <w:pPr>
        <w:pStyle w:val="Heading2"/>
      </w:pPr>
      <w:r>
        <w:t>Musterrechnung (48 Monate)</w:t>
      </w:r>
    </w:p>
    <w:p>
      <w:r>
        <w:t>Kauf: Einmalig ca. 50.000 € (Netto), Abschreibung über 3 Jahre.</w:t>
      </w:r>
    </w:p>
    <w:p>
      <w:r>
        <w:t>Leasing: Monatliche Rate ca. 1.150 € (Netto). Liquiditätsschonend, jedoch in der Summe ca. 55.200 € (Netto) über 48 Monate.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