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Wareneingangsprüfung</w:t>
      </w:r>
    </w:p>
    <w:p>
      <w:pPr>
        <w:pStyle w:val="Heading1"/>
      </w:pPr>
      <w:r>
        <w:t>1. Rechtliche Grundlage</w:t>
      </w:r>
    </w:p>
    <w:p>
      <w:r>
        <w:t>Gemäß § 377 HGB (Handelsgesetzbuch) besteht für Kaufleute bei beidseitigen Handelsgeschäften eine Untersuchungs- und Rügepflicht. Die Ware ist unverzüglich nach der Ablieferung zu untersuchen und eventuelle Mängel sind dem Verkäufer unverzüglich anzuzeigen.</w:t>
      </w:r>
    </w:p>
    <w:p>
      <w:pPr>
        <w:pStyle w:val="Heading1"/>
      </w:pPr>
      <w:r>
        <w:t>2. Ablauf der Wareneingangsprüfung</w:t>
      </w:r>
    </w:p>
    <w:p>
      <w:pPr>
        <w:pStyle w:val="ListBullet"/>
      </w:pPr>
      <w:r>
        <w:t>Identitätsprüfung: Abgleich der gelieferten Artikel mit dem Lieferschein und der ursprünglichen Bestellung.</w:t>
      </w:r>
    </w:p>
    <w:p>
      <w:pPr>
        <w:pStyle w:val="ListBullet"/>
      </w:pPr>
      <w:r>
        <w:t>Mengenkontrolle: Zählung der Packstücke und Abgleich mit den Lieferdokumenten.</w:t>
      </w:r>
    </w:p>
    <w:p>
      <w:pPr>
        <w:pStyle w:val="ListBullet"/>
      </w:pPr>
      <w:r>
        <w:t>Sichtkontrolle: Überprüfung der Verpackung und der Geräte auf äußere Beschädigungen (Transportschäden).</w:t>
      </w:r>
    </w:p>
    <w:p>
      <w:pPr>
        <w:pStyle w:val="ListBullet"/>
      </w:pPr>
      <w:r>
        <w:t>Qualitätskontrolle: Stichprobenartiger oder vollständiger Funktionstest der Hardwarekomponenten.</w:t>
      </w:r>
    </w:p>
    <w:p>
      <w:pPr>
        <w:pStyle w:val="Heading1"/>
      </w:pPr>
      <w:r>
        <w:t>3. Fristen bei offenen Mängeln</w:t>
      </w:r>
    </w:p>
    <w:p>
      <w:r>
        <w:t>Offene Mängel (direkt erkennbare Mängel wie beschädigte Verpackungen, Falschlieferungen oder Fehlmengen) müssen unverzüglich nach Entdeckung und Ablieferung gerügt werden.</w:t>
      </w:r>
    </w:p>
    <w:p>
      <w:pPr>
        <w:pStyle w:val="Heading1"/>
      </w:pPr>
      <w:r>
        <w:t>4. Fristen bei verdeckten Mängeln</w:t>
      </w:r>
    </w:p>
    <w:p>
      <w:r>
        <w:t>Verdeckte Mängel (Mängel, die bei der ordnungsgemäßen Untersuchung nicht erkennbar waren) müssen unverzüglich nach ihrer Entdeckung gerügt werden. Die Rüge muss jedoch zwingend innerhalb der Gewährleistungsfrist erfolgen.</w:t>
      </w:r>
    </w:p>
    <w:p>
      <w:pPr>
        <w:pStyle w:val="Heading1"/>
      </w:pPr>
      <w:r>
        <w:t>5. Rechtsfolgen bei verspäteter Rüge</w:t>
      </w:r>
    </w:p>
    <w:p>
      <w:r>
        <w:t>Wird ein Mangel nicht rechtzeitig gerügt, gilt die Ware gemäß § 377 Abs. 2 HGB als genehmigt. Gewährleistungsansprüche für diesen Mangel entfallen in diesem Fall vollständig.</w:t>
      </w:r>
    </w:p>
    <w:p>
      <w:pPr>
        <w:pStyle w:val="Heading1"/>
      </w:pPr>
      <w:r>
        <w:t>6. Dokumentationspflichten</w:t>
      </w:r>
    </w:p>
    <w:p>
      <w:r>
        <w:t>Jede Wareneingangsprüfung ist schriftlich zu dokumentieren. Mängel sind fotografisch festzuhalten und auf dem Frachtbrief oder Lieferschein durch den Spediteur bestätigen zu lassen.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