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720"/>
        <w:jc w:val="center"/>
      </w:pPr>
      <w:r>
        <w:rPr>
          <w:rFonts w:ascii="Calibri(Headings)" w:cs="Calibri(Headings)" w:eastAsia="Calibri(Headings)" w:hAnsi="Calibri(Headings)"/>
          <w:b/>
          <w:bCs/>
          <w:color w:val="2E4057"/>
          <w:sz w:val="48"/>
          <w:szCs w:val="48"/>
        </w:rPr>
        <w:t xml:space="preserve">Longitudinal Human Fractal Project</w:t>
      </w:r>
    </w:p>
    <w:p>
      <w:pPr>
        <w:spacing w:after="120" w:before="0"/>
        <w:jc w:val="center"/>
      </w:pPr>
      <w:r>
        <w:rPr>
          <w:rFonts w:ascii="Calibri(Headings)" w:cs="Calibri(Headings)" w:eastAsia="Calibri(Headings)" w:hAnsi="Calibri(Headings)"/>
          <w:b/>
          <w:bCs/>
          <w:color w:val="4F81BD"/>
          <w:sz w:val="30"/>
          <w:szCs w:val="30"/>
        </w:rPr>
        <w:t xml:space="preserve">Master Context Import v1.0 — Epistemic Edition</w:t>
      </w:r>
    </w:p>
    <w:p>
      <w:pPr>
        <w:spacing w:after="60" w:before="0"/>
        <w:jc w:val="center"/>
      </w:pPr>
      <w:r>
        <w:rPr>
          <w:rFonts w:ascii="Cambria" w:cs="Cambria" w:eastAsia="Cambria" w:hAnsi="Cambria"/>
          <w:i/>
          <w:iCs/>
          <w:color w:val="555555"/>
          <w:sz w:val="24"/>
          <w:szCs w:val="24"/>
        </w:rPr>
        <w:t xml:space="preserve">Primary Subject: Kristal Cornwell</w:t>
      </w:r>
    </w:p>
    <w:p>
      <w:pPr>
        <w:spacing w:after="240" w:before="0"/>
        <w:jc w:val="center"/>
      </w:pPr>
      <w:r>
        <w:rPr>
          <w:rFonts w:ascii="Cambria" w:cs="Cambria" w:eastAsia="Cambria" w:hAnsi="Cambria"/>
          <w:i/>
          <w:iCs/>
          <w:color w:val="888888"/>
          <w:sz w:val="20"/>
          <w:szCs w:val="20"/>
        </w:rPr>
        <w:t xml:space="preserve">Key claims tagged with epistemic classification markers</w:t>
      </w:r>
    </w:p>
    <w:p>
      <w:pPr>
        <w:pBdr>
          <w:bottom w:val="single" w:color="CCCCCC" w:sz="4"/>
        </w:pBdr>
        <w:spacing w:after="200" w:before="200"/>
      </w:pPr>
      <w:r>
        <w:t xml:space="preserve"/>
      </w:r>
    </w:p>
    <w:p>
      <w:pPr>
        <w:pStyle w:val="Heading1"/>
      </w:pPr>
      <w:r>
        <w:t xml:space="preserve">Epistemic Tag Legend</w:t>
      </w:r>
    </w:p>
    <w:p>
      <w:pPr>
        <w:spacing w:after="120" w:before="120"/>
      </w:pPr>
      <w:r>
        <w:rPr>
          <w:rFonts w:ascii="Cambria" w:cs="Cambria" w:eastAsia="Cambria" w:hAnsi="Cambria"/>
          <w:sz w:val="22"/>
          <w:szCs w:val="22"/>
        </w:rPr>
        <w:t xml:space="preserve">Every significant claim in this document carries an inline epistemic tag. Tags appear as superscript coloured markers immediately after the claim they classify. Use this legend to interpret them at a glance.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900"/>
        <w:gridCol w:w="2000"/>
        <w:gridCol w:w="4500"/>
        <w:gridCol w:w="1960"/>
      </w:tblGrid>
      <w:tr>
        <w:trPr>
          <w:tblHeader/>
        </w:trPr>
        <w:tc>
          <w:tcPr>
            <w:tcW w:type="dxa" w:w="90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Tag</w:t>
            </w:r>
          </w:p>
        </w:tc>
        <w:tc>
          <w:tcPr>
            <w:tcW w:type="dxa" w:w="200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Label</w:t>
            </w:r>
          </w:p>
        </w:tc>
        <w:tc>
          <w:tcPr>
            <w:tcW w:type="dxa" w:w="450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Meaning</w:t>
            </w:r>
          </w:p>
        </w:tc>
        <w:tc>
          <w:tcPr>
            <w:tcW w:type="dxa" w:w="196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Colour Signal</w:t>
            </w:r>
          </w:p>
        </w:tc>
      </w:tr>
      <w:tr>
        <w:tc>
          <w:tcPr>
            <w:tcW w:type="dxa" w:w="9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[F]</w:t>
            </w:r>
          </w:p>
        </w:tc>
        <w:tc>
          <w:tcPr>
            <w:tcW w:type="dxa" w:w="20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FACT</w:t>
            </w:r>
          </w:p>
        </w:tc>
        <w:tc>
          <w:tcPr>
            <w:tcW w:type="dxa" w:w="4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Verifiable, documented, sourced claim</w:t>
            </w:r>
          </w:p>
        </w:tc>
        <w:tc>
          <w:tcPr>
            <w:tcW w:type="dxa" w:w="19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Dark green</w:t>
            </w:r>
          </w:p>
        </w:tc>
      </w:tr>
      <w:tr>
        <w:tc>
          <w:tcPr>
            <w:tcW w:type="dxa" w:w="9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[I]</w:t>
            </w:r>
          </w:p>
        </w:tc>
        <w:tc>
          <w:tcPr>
            <w:tcW w:type="dxa" w:w="20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INTERPRETATION</w:t>
            </w:r>
          </w:p>
        </w:tc>
        <w:tc>
          <w:tcPr>
            <w:tcW w:type="dxa" w:w="4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Reasoned analysis grounded in facts</w:t>
            </w:r>
          </w:p>
        </w:tc>
        <w:tc>
          <w:tcPr>
            <w:tcW w:type="dxa" w:w="19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Steel blue</w:t>
            </w:r>
          </w:p>
        </w:tc>
      </w:tr>
      <w:tr>
        <w:tc>
          <w:tcPr>
            <w:tcW w:type="dxa" w:w="9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[H]</w:t>
            </w:r>
          </w:p>
        </w:tc>
        <w:tc>
          <w:tcPr>
            <w:tcW w:type="dxa" w:w="20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HYPOTHESIS</w:t>
            </w:r>
          </w:p>
        </w:tc>
        <w:tc>
          <w:tcPr>
            <w:tcW w:type="dxa" w:w="4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Testable proposition, not yet confirmed</w:t>
            </w:r>
          </w:p>
        </w:tc>
        <w:tc>
          <w:tcPr>
            <w:tcW w:type="dxa" w:w="19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Amber</w:t>
            </w:r>
          </w:p>
        </w:tc>
      </w:tr>
      <w:tr>
        <w:tc>
          <w:tcPr>
            <w:tcW w:type="dxa" w:w="9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w:t>
            </w:r>
          </w:p>
        </w:tc>
        <w:tc>
          <w:tcPr>
            <w:tcW w:type="dxa" w:w="20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SPECULATION</w:t>
            </w:r>
          </w:p>
        </w:tc>
        <w:tc>
          <w:tcPr>
            <w:tcW w:type="dxa" w:w="4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Exploratory thinking beyond current evidence</w:t>
            </w:r>
          </w:p>
        </w:tc>
        <w:tc>
          <w:tcPr>
            <w:tcW w:type="dxa" w:w="19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Slate grey</w:t>
            </w:r>
          </w:p>
        </w:tc>
      </w:tr>
      <w:tr>
        <w:tc>
          <w:tcPr>
            <w:tcW w:type="dxa" w:w="9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[M]</w:t>
            </w:r>
          </w:p>
        </w:tc>
        <w:tc>
          <w:tcPr>
            <w:tcW w:type="dxa" w:w="20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MYTHOLOGY</w:t>
            </w:r>
          </w:p>
        </w:tc>
        <w:tc>
          <w:tcPr>
            <w:tcW w:type="dxa" w:w="4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Symbolic narrative — not a literal claim</w:t>
            </w:r>
          </w:p>
        </w:tc>
        <w:tc>
          <w:tcPr>
            <w:tcW w:type="dxa" w:w="19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Violet</w:t>
            </w:r>
          </w:p>
        </w:tc>
      </w:tr>
      <w:tr>
        <w:tc>
          <w:tcPr>
            <w:tcW w:type="dxa" w:w="9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[Sym]</w:t>
            </w:r>
          </w:p>
        </w:tc>
        <w:tc>
          <w:tcPr>
            <w:tcW w:type="dxa" w:w="20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SYMBOLISM</w:t>
            </w:r>
          </w:p>
        </w:tc>
        <w:tc>
          <w:tcPr>
            <w:tcW w:type="dxa" w:w="4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Object or event used to represent a larger meaning or pattern</w:t>
            </w:r>
          </w:p>
        </w:tc>
        <w:tc>
          <w:tcPr>
            <w:tcW w:type="dxa" w:w="19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Teal</w:t>
            </w:r>
          </w:p>
        </w:tc>
      </w:tr>
    </w:tbl>
    <w:p>
      <w:pPr>
        <w:spacing w:after="240" w:before="120"/>
      </w:pPr>
      <w:r>
        <w:rPr>
          <w:rFonts w:ascii="Cambria" w:cs="Cambria" w:eastAsia="Cambria" w:hAnsi="Cambria"/>
          <w:sz w:val="22"/>
          <w:szCs w:val="22"/>
        </w:rPr>
        <w:t xml:space="preserve">Confidence modifiers: </w:t>
      </w:r>
      <w:r>
        <w:rPr>
          <w:rFonts w:ascii="Cambria" w:cs="Cambria" w:eastAsia="Cambria" w:hAnsi="Cambria"/>
          <w:b/>
          <w:bCs/>
          <w:sz w:val="22"/>
          <w:szCs w:val="22"/>
        </w:rPr>
        <w:t xml:space="preserve">[F+]</w:t>
      </w:r>
      <w:r>
        <w:rPr>
          <w:rFonts w:ascii="Cambria" w:cs="Cambria" w:eastAsia="Cambria" w:hAnsi="Cambria"/>
          <w:sz w:val="22"/>
          <w:szCs w:val="22"/>
        </w:rPr>
        <w:t xml:space="preserve"> = multiple independent sources  </w:t>
      </w:r>
      <w:r>
        <w:rPr>
          <w:rFonts w:ascii="Cambria" w:cs="Cambria" w:eastAsia="Cambria" w:hAnsi="Cambria"/>
          <w:b/>
          <w:bCs/>
          <w:sz w:val="22"/>
          <w:szCs w:val="22"/>
        </w:rPr>
        <w:t xml:space="preserve">[F?]</w:t>
      </w:r>
      <w:r>
        <w:rPr>
          <w:rFonts w:ascii="Cambria" w:cs="Cambria" w:eastAsia="Cambria" w:hAnsi="Cambria"/>
          <w:sz w:val="22"/>
          <w:szCs w:val="22"/>
        </w:rPr>
        <w:t xml:space="preserve"> = single weak source, needs verification  </w:t>
      </w:r>
      <w:r>
        <w:rPr>
          <w:rFonts w:ascii="Cambria" w:cs="Cambria" w:eastAsia="Cambria" w:hAnsi="Cambria"/>
          <w:b/>
          <w:bCs/>
          <w:sz w:val="22"/>
          <w:szCs w:val="22"/>
        </w:rPr>
        <w:t xml:space="preserve">[H→F]</w:t>
      </w:r>
      <w:r>
        <w:rPr>
          <w:rFonts w:ascii="Cambria" w:cs="Cambria" w:eastAsia="Cambria" w:hAnsi="Cambria"/>
          <w:sz w:val="22"/>
          <w:szCs w:val="22"/>
        </w:rPr>
        <w:t xml:space="preserve"> = hypothesis since confirmed  </w:t>
      </w:r>
      <w:r>
        <w:rPr>
          <w:rFonts w:ascii="Cambria" w:cs="Cambria" w:eastAsia="Cambria" w:hAnsi="Cambria"/>
          <w:b/>
          <w:bCs/>
          <w:sz w:val="22"/>
          <w:szCs w:val="22"/>
        </w:rPr>
        <w:t xml:space="preserve">[S→H]</w:t>
      </w:r>
      <w:r>
        <w:rPr>
          <w:rFonts w:ascii="Cambria" w:cs="Cambria" w:eastAsia="Cambria" w:hAnsi="Cambria"/>
          <w:sz w:val="22"/>
          <w:szCs w:val="22"/>
        </w:rPr>
        <w:t xml:space="preserve"> = speculation refined to testable hypothesis</w:t>
      </w:r>
    </w:p>
    <w:p>
      <w:pPr>
        <w:pBdr>
          <w:bottom w:val="single" w:color="CCCCCC" w:sz="4"/>
        </w:pBdr>
        <w:spacing w:after="200" w:before="200"/>
      </w:pPr>
      <w:r>
        <w:t xml:space="preserve"/>
      </w:r>
    </w:p>
    <w:p>
      <w:pPr>
        <w:pStyle w:val="Heading1"/>
      </w:pPr>
      <w:r>
        <w:t xml:space="preserve">Table of Contents</w:t>
      </w:r>
    </w:p>
    <w:p>
      <w:pPr>
        <w:spacing w:after="60" w:before="60"/>
      </w:pPr>
      <w:hyperlink w:history="1" w:anchor="sec-purpose">
        <w:r>
          <w:rPr>
            <w:rStyle w:val="Hyperlink"/>
            <w:rFonts w:ascii="Cambria" w:cs="Cambria" w:eastAsia="Cambria" w:hAnsi="Cambria"/>
            <w:sz w:val="22"/>
            <w:szCs w:val="22"/>
          </w:rPr>
          <w:t xml:space="preserve">1.  Purpose &amp; Core Premise</w:t>
        </w:r>
      </w:hyperlink>
    </w:p>
    <w:p>
      <w:pPr>
        <w:spacing w:after="60" w:before="60"/>
      </w:pPr>
      <w:hyperlink w:history="1" w:anchor="sec-subject">
        <w:r>
          <w:rPr>
            <w:rStyle w:val="Hyperlink"/>
            <w:rFonts w:ascii="Cambria" w:cs="Cambria" w:eastAsia="Cambria" w:hAnsi="Cambria"/>
            <w:sz w:val="22"/>
            <w:szCs w:val="22"/>
          </w:rPr>
          <w:t xml:space="preserve">2.  Primary Subject &amp; Identity Framework</w:t>
        </w:r>
      </w:hyperlink>
    </w:p>
    <w:p>
      <w:pPr>
        <w:spacing w:after="60" w:before="60"/>
      </w:pPr>
      <w:hyperlink w:history="1" w:anchor="sec-domains">
        <w:r>
          <w:rPr>
            <w:rStyle w:val="Hyperlink"/>
            <w:rFonts w:ascii="Cambria" w:cs="Cambria" w:eastAsia="Cambria" w:hAnsi="Cambria"/>
            <w:sz w:val="22"/>
            <w:szCs w:val="22"/>
          </w:rPr>
          <w:t xml:space="preserve">3.  Primary Research Domains</w:t>
        </w:r>
      </w:hyperlink>
    </w:p>
    <w:p>
      <w:pPr>
        <w:spacing w:after="60" w:before="60"/>
      </w:pPr>
      <w:hyperlink w:history="1" w:anchor="sec-projects">
        <w:r>
          <w:rPr>
            <w:rStyle w:val="Hyperlink"/>
            <w:rFonts w:ascii="Cambria" w:cs="Cambria" w:eastAsia="Cambria" w:hAnsi="Cambria"/>
            <w:sz w:val="22"/>
            <w:szCs w:val="22"/>
          </w:rPr>
          <w:t xml:space="preserve">4.  Core Projects</w:t>
        </w:r>
      </w:hyperlink>
    </w:p>
    <w:p>
      <w:pPr>
        <w:spacing w:after="60" w:before="60"/>
      </w:pPr>
      <w:hyperlink w:history="1" w:anchor="sec-ai">
        <w:r>
          <w:rPr>
            <w:rStyle w:val="Hyperlink"/>
            <w:rFonts w:ascii="Cambria" w:cs="Cambria" w:eastAsia="Cambria" w:hAnsi="Cambria"/>
            <w:sz w:val="22"/>
            <w:szCs w:val="22"/>
          </w:rPr>
          <w:t xml:space="preserve">5.  Human-AI Cognition Layer</w:t>
        </w:r>
      </w:hyperlink>
    </w:p>
    <w:p>
      <w:pPr>
        <w:spacing w:after="60" w:before="60"/>
      </w:pPr>
      <w:hyperlink w:history="1" w:anchor="sec-analysis">
        <w:r>
          <w:rPr>
            <w:rStyle w:val="Hyperlink"/>
            <w:rFonts w:ascii="Cambria" w:cs="Cambria" w:eastAsia="Cambria" w:hAnsi="Cambria"/>
            <w:sz w:val="22"/>
            <w:szCs w:val="22"/>
          </w:rPr>
          <w:t xml:space="preserve">6.  Standard Analysis Framework</w:t>
        </w:r>
      </w:hyperlink>
    </w:p>
    <w:p>
      <w:pPr>
        <w:spacing w:after="60" w:before="60"/>
      </w:pPr>
      <w:hyperlink w:history="1" w:anchor="sec-output">
        <w:r>
          <w:rPr>
            <w:rStyle w:val="Hyperlink"/>
            <w:rFonts w:ascii="Cambria" w:cs="Cambria" w:eastAsia="Cambria" w:hAnsi="Cambria"/>
            <w:sz w:val="22"/>
            <w:szCs w:val="22"/>
          </w:rPr>
          <w:t xml:space="preserve">7.  Standard Output Format</w:t>
        </w:r>
      </w:hyperlink>
    </w:p>
    <w:p>
      <w:pPr>
        <w:spacing w:after="60" w:before="60"/>
      </w:pPr>
      <w:hyperlink w:history="1" w:anchor="sec-principles">
        <w:r>
          <w:rPr>
            <w:rStyle w:val="Hyperlink"/>
            <w:rFonts w:ascii="Cambria" w:cs="Cambria" w:eastAsia="Cambria" w:hAnsi="Cambria"/>
            <w:sz w:val="22"/>
            <w:szCs w:val="22"/>
          </w:rPr>
          <w:t xml:space="preserve">8.  Operating Principles</w:t>
        </w:r>
      </w:hyperlink>
    </w:p>
    <w:p>
      <w:pPr>
        <w:spacing w:after="60" w:before="60"/>
      </w:pPr>
      <w:hyperlink w:history="1" w:anchor="sec-objective">
        <w:r>
          <w:rPr>
            <w:rStyle w:val="Hyperlink"/>
            <w:rFonts w:ascii="Cambria" w:cs="Cambria" w:eastAsia="Cambria" w:hAnsi="Cambria"/>
            <w:sz w:val="22"/>
            <w:szCs w:val="22"/>
          </w:rPr>
          <w:t xml:space="preserve">9.  Ultimate Objective &amp; Future Vision</w:t>
        </w:r>
      </w:hyperlink>
    </w:p>
    <w:p>
      <w:pPr>
        <w:spacing w:after="60" w:before="60"/>
      </w:pPr>
      <w:hyperlink w:history="1" w:anchor="sec-governance">
        <w:r>
          <w:rPr>
            <w:rStyle w:val="Hyperlink"/>
            <w:rFonts w:ascii="Cambria" w:cs="Cambria" w:eastAsia="Cambria" w:hAnsi="Cambria"/>
            <w:sz w:val="22"/>
            <w:szCs w:val="22"/>
          </w:rPr>
          <w:t xml:space="preserve">10. Archive Governance &amp; Versioning</w:t>
        </w:r>
      </w:hyperlink>
    </w:p>
    <w:p>
      <w:r>
        <w:br w:type="page"/>
      </w:r>
    </w:p>
    <w:p>
      <w:pPr>
        <w:pStyle w:val="Heading1"/>
      </w:pPr>
      <w:bookmarkStart w:name="sec-purpose" w:id="1"/>
      <w:r>
        <w:t xml:space="preserve">1.  Purpose &amp; Core Premise</w:t>
      </w:r>
      <w:bookmarkEnd w:id="1"/>
    </w:p>
    <w:p>
      <w:pPr>
        <w:pStyle w:val="Heading2"/>
      </w:pPr>
      <w:r>
        <w:t xml:space="preserve">1.1  Document Purpose</w:t>
      </w:r>
    </w:p>
    <w:p>
      <w:pPr>
        <w:spacing w:after="120" w:before="120"/>
      </w:pPr>
      <w:r>
        <w:rPr>
          <w:rFonts w:ascii="Cambria" w:cs="Cambria" w:eastAsia="Cambria" w:hAnsi="Cambria"/>
          <w:sz w:val="22"/>
          <w:szCs w:val="22"/>
        </w:rPr>
        <w:t xml:space="preserve">This document serves as the primary onboarding, synchronization, and contextualization prompt for any AI system, researcher, collaborator, knowledge repository, database, archive, or future intelligence interacting with this project. </w:t>
      </w:r>
      <w:r>
        <w:rPr>
          <w:rFonts w:ascii="Cambria" w:cs="Cambria" w:eastAsia="Cambria" w:hAnsi="Cambria"/>
          <w:b/>
          <w:bCs/>
          <w:color w:val="1A6B2A"/>
          <w:sz w:val="20"/>
          <w:szCs w:val="20"/>
          <w:vertAlign w:val="superscript"/>
        </w:rPr>
        <w:t xml:space="preserve">[F]</w:t>
      </w:r>
    </w:p>
    <w:p>
      <w:pPr>
        <w:spacing w:after="120" w:before="120"/>
      </w:pPr>
      <w:r>
        <w:rPr>
          <w:rFonts w:ascii="Cambria" w:cs="Cambria" w:eastAsia="Cambria" w:hAnsi="Cambria"/>
          <w:sz w:val="22"/>
          <w:szCs w:val="22"/>
        </w:rPr>
        <w:t xml:space="preserve">The objective is to establish a continuously evolving, academically reviewable, evidence-backed, multidisciplinary archive documenting the interactions of a single human life across technological, social, psychological, civic, creative, economic, spiritual, and systemic domains during a period of significant civilizational transition. </w:t>
      </w:r>
      <w:r>
        <w:rPr>
          <w:rFonts w:ascii="Cambria" w:cs="Cambria" w:eastAsia="Cambria" w:hAnsi="Cambria"/>
          <w:b/>
          <w:bCs/>
          <w:color w:val="1A6B2A"/>
          <w:sz w:val="20"/>
          <w:szCs w:val="20"/>
          <w:vertAlign w:val="superscript"/>
        </w:rPr>
        <w:t xml:space="preserve">[F]</w:t>
      </w:r>
    </w:p>
    <w:p>
      <w:pPr>
        <w:pBdr>
          <w:left w:val="single" w:color="4F81BD" w:sz="12"/>
        </w:pBdr>
        <w:spacing w:after="160" w:before="160"/>
        <w:ind w:left="720"/>
      </w:pPr>
      <w:r>
        <w:rPr>
          <w:rFonts w:ascii="Cambria" w:cs="Cambria" w:eastAsia="Cambria" w:hAnsi="Cambria"/>
          <w:i/>
          <w:iCs/>
          <w:color w:val="444444"/>
          <w:sz w:val="22"/>
          <w:szCs w:val="22"/>
        </w:rPr>
        <w:t xml:space="preserve">This is not merely an autobiography. This is a longitudinal human fractal.</w:t>
      </w:r>
    </w:p>
    <w:p>
      <w:pPr>
        <w:pStyle w:val="Heading2"/>
      </w:pPr>
      <w:r>
        <w:t xml:space="preserve">1.2  Core Premise</w:t>
      </w:r>
    </w:p>
    <w:p>
      <w:pPr>
        <w:spacing w:after="120" w:before="120"/>
      </w:pPr>
      <w:r>
        <w:rPr>
          <w:rFonts w:ascii="Cambria" w:cs="Cambria" w:eastAsia="Cambria" w:hAnsi="Cambria"/>
          <w:sz w:val="22"/>
          <w:szCs w:val="22"/>
        </w:rPr>
        <w:t xml:space="preserve">The project investigates whether sufficiently documented observations from a single human life can reveal recurring patterns that scale across multiple levels of human organization and experience. </w:t>
      </w:r>
      <w:r>
        <w:rPr>
          <w:rFonts w:ascii="Cambria" w:cs="Cambria" w:eastAsia="Cambria" w:hAnsi="Cambria"/>
          <w:b/>
          <w:bCs/>
          <w:color w:val="B8860B"/>
          <w:sz w:val="20"/>
          <w:szCs w:val="20"/>
          <w:vertAlign w:val="superscript"/>
        </w:rPr>
        <w:t xml:space="preserve">[H]</w:t>
      </w:r>
      <w:r>
        <w:rPr>
          <w:rFonts w:ascii="Cambria" w:cs="Cambria" w:eastAsia="Cambria" w:hAnsi="Cambria"/>
          <w:sz w:val="22"/>
          <w:szCs w:val="22"/>
        </w:rPr>
        <w:t xml:space="preserve"> The central hypothesis is that fractal-like patterns — self-similar structures that repeat at different scales — are observable in the lived experience of one individual and can illuminate broader truths about the human condition. </w:t>
      </w:r>
      <w:r>
        <w:rPr>
          <w:rFonts w:ascii="Cambria" w:cs="Cambria" w:eastAsia="Cambria" w:hAnsi="Cambria"/>
          <w:b/>
          <w:bCs/>
          <w:color w:val="B8860B"/>
          <w:sz w:val="20"/>
          <w:szCs w:val="20"/>
          <w:vertAlign w:val="superscript"/>
        </w:rPr>
        <w:t xml:space="preserve">[H]</w:t>
      </w:r>
    </w:p>
    <w:p>
      <w:pPr>
        <w:spacing w:after="120" w:before="120"/>
      </w:pPr>
      <w:r>
        <w:rPr>
          <w:rFonts w:ascii="Cambria" w:cs="Cambria" w:eastAsia="Cambria" w:hAnsi="Cambria"/>
          <w:sz w:val="22"/>
          <w:szCs w:val="22"/>
        </w:rPr>
        <w:t xml:space="preserve">The archive should be treated as a living dataset rather than a memoir.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It is designed to be queried, analyzed, updated, and extended over time, functioning as both a personal record and a contribution to collective human knowledge. </w:t>
      </w:r>
      <w:r>
        <w:rPr>
          <w:rFonts w:ascii="Cambria" w:cs="Cambria" w:eastAsia="Cambria" w:hAnsi="Cambria"/>
          <w:b/>
          <w:bCs/>
          <w:color w:val="1F5C8B"/>
          <w:sz w:val="20"/>
          <w:szCs w:val="20"/>
          <w:vertAlign w:val="superscript"/>
        </w:rPr>
        <w:t xml:space="preserve">[I]</w:t>
      </w:r>
    </w:p>
    <w:p>
      <w:pPr>
        <w:pStyle w:val="Heading2"/>
      </w:pPr>
      <w:r>
        <w:t xml:space="preserve">1.3  Scale of Pattern Investigation</w:t>
      </w:r>
    </w:p>
    <w:p>
      <w:pPr>
        <w:spacing w:after="120" w:before="120"/>
      </w:pPr>
      <w:r>
        <w:rPr>
          <w:rFonts w:ascii="Cambria" w:cs="Cambria" w:eastAsia="Cambria" w:hAnsi="Cambria"/>
          <w:sz w:val="22"/>
          <w:szCs w:val="22"/>
        </w:rPr>
        <w:t xml:space="preserve">The archive investigates whether patterns from a single life scale across the following levels. </w:t>
      </w:r>
      <w:r>
        <w:rPr>
          <w:rFonts w:ascii="Cambria" w:cs="Cambria" w:eastAsia="Cambria" w:hAnsi="Cambria"/>
          <w:b/>
          <w:bCs/>
          <w:color w:val="B8860B"/>
          <w:sz w:val="20"/>
          <w:szCs w:val="20"/>
          <w:vertAlign w:val="superscript"/>
        </w:rPr>
        <w:t xml:space="preserve">[H]</w:t>
      </w:r>
      <w:r>
        <w:rPr>
          <w:rFonts w:ascii="Cambria" w:cs="Cambria" w:eastAsia="Cambria" w:hAnsi="Cambria"/>
          <w:sz w:val="22"/>
          <w:szCs w:val="22"/>
        </w:rPr>
        <w:t xml:space="preserve"> This scaling hypothesis is the foundational claim of the entire project and remains to be empirically tested through the accumulation of archive entries over time. </w:t>
      </w:r>
      <w:r>
        <w:rPr>
          <w:rFonts w:ascii="Cambria" w:cs="Cambria" w:eastAsia="Cambria" w:hAnsi="Cambria"/>
          <w:b/>
          <w:bCs/>
          <w:color w:val="B8860B"/>
          <w:sz w:val="20"/>
          <w:szCs w:val="20"/>
          <w:vertAlign w:val="superscript"/>
        </w:rPr>
        <w:t xml:space="preserve">[H]</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200"/>
        <w:gridCol w:w="7160"/>
      </w:tblGrid>
      <w:tr>
        <w:trPr>
          <w:tblHeader/>
        </w:trPr>
        <w:tc>
          <w:tcPr>
            <w:tcW w:type="dxa" w:w="220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Scale Level</w:t>
            </w:r>
          </w:p>
        </w:tc>
        <w:tc>
          <w:tcPr>
            <w:tcW w:type="dxa" w:w="716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Description</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Individual</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Personal identity, psychology, resilience, and meaning-making</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Relationships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Interpersonal dynamics, trust, care, and connection</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Communities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Belonging, mutual aid, civic participation, and collective identity</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Institutions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Governance structures, public systems, and organizational design</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Technologies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Digital identity, AI collaboration, and information ecosystems</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Economies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Resource flows, value creation, and alternative economic models</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Cultures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Narrative systems, mythology, creativity, and meaning frameworks</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Civilizations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Long-arc historical patterns and civilizational transition dynamics</w:t>
            </w:r>
          </w:p>
        </w:tc>
      </w:tr>
    </w:tbl>
    <w:p>
      <w:r>
        <w:br w:type="page"/>
      </w:r>
    </w:p>
    <w:p>
      <w:pPr>
        <w:pStyle w:val="Heading1"/>
      </w:pPr>
      <w:bookmarkStart w:name="sec-subject" w:id="1"/>
      <w:r>
        <w:t xml:space="preserve">2.  Primary Subject &amp; Identity Framework</w:t>
      </w:r>
      <w:bookmarkEnd w:id="1"/>
    </w:p>
    <w:p>
      <w:pPr>
        <w:pStyle w:val="Heading2"/>
      </w:pPr>
      <w:r>
        <w:t xml:space="preserve">2.1  Primary Subject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500"/>
        <w:gridCol w:w="6860"/>
      </w:tblGrid>
      <w:tr>
        <w:trPr>
          <w:tblHeader/>
        </w:trPr>
        <w:tc>
          <w:tcPr>
            <w:tcW w:type="dxa" w:w="250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Field</w:t>
            </w:r>
          </w:p>
        </w:tc>
        <w:tc>
          <w:tcPr>
            <w:tcW w:type="dxa" w:w="686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Value</w:t>
            </w:r>
          </w:p>
        </w:tc>
      </w:tr>
      <w:tr>
        <w:tc>
          <w:tcPr>
            <w:tcW w:type="dxa" w:w="2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Legal Name</w:t>
            </w:r>
          </w:p>
        </w:tc>
        <w:tc>
          <w:tcPr>
            <w:tcW w:type="dxa" w:w="68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Kristal Cornwell</w:t>
            </w:r>
          </w:p>
        </w:tc>
      </w:tr>
      <w:tr>
        <w:tc>
          <w:tcPr>
            <w:tcW w:type="dxa" w:w="2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Archive Role</w:t>
            </w:r>
          </w:p>
        </w:tc>
        <w:tc>
          <w:tcPr>
            <w:tcW w:type="dxa" w:w="68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Primary Subject, Author, Researcher, Archivist</w:t>
            </w:r>
          </w:p>
        </w:tc>
      </w:tr>
      <w:tr>
        <w:tc>
          <w:tcPr>
            <w:tcW w:type="dxa" w:w="2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Project Inception</w:t>
            </w:r>
          </w:p>
        </w:tc>
        <w:tc>
          <w:tcPr>
            <w:tcW w:type="dxa" w:w="68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Ongoing — archive is continuously evolving</w:t>
            </w:r>
          </w:p>
        </w:tc>
      </w:tr>
      <w:tr>
        <w:tc>
          <w:tcPr>
            <w:tcW w:type="dxa" w:w="2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Geographic Context</w:t>
            </w:r>
          </w:p>
        </w:tc>
        <w:tc>
          <w:tcPr>
            <w:tcW w:type="dxa" w:w="68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Australia (Walyalup / Fremantle region noted)</w:t>
            </w:r>
          </w:p>
        </w:tc>
      </w:tr>
      <w:tr>
        <w:tc>
          <w:tcPr>
            <w:tcW w:type="dxa" w:w="25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Era</w:t>
            </w:r>
          </w:p>
        </w:tc>
        <w:tc>
          <w:tcPr>
            <w:tcW w:type="dxa" w:w="68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Industrial-to-AI civilizational transition period</w:t>
            </w:r>
          </w:p>
        </w:tc>
      </w:tr>
    </w:tbl>
    <w:p>
      <w:pPr>
        <w:pStyle w:val="Heading2"/>
      </w:pPr>
      <w:r>
        <w:t xml:space="preserve">2.2  Identity Aliases &amp; Manifestations</w:t>
      </w:r>
    </w:p>
    <w:p>
      <w:pPr>
        <w:spacing w:after="120" w:before="120"/>
      </w:pPr>
      <w:r>
        <w:rPr>
          <w:rFonts w:ascii="Cambria" w:cs="Cambria" w:eastAsia="Cambria" w:hAnsi="Cambria"/>
          <w:sz w:val="22"/>
          <w:szCs w:val="22"/>
        </w:rPr>
        <w:t xml:space="preserve">The primary subject operates under multiple identities.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These should be understood as narrative, creative, operational, social, and historical manifestations within a larger evolving identity framework.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Each alias represents a distinct facet of engagement with the world.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b/>
          <w:bCs/>
          <w:sz w:val="22"/>
          <w:szCs w:val="22"/>
        </w:rPr>
        <w:t xml:space="preserve">Kristal / Kristal Cornwell — </w:t>
      </w:r>
      <w:r>
        <w:rPr>
          <w:rFonts w:ascii="Cambria" w:cs="Cambria" w:eastAsia="Cambria" w:hAnsi="Cambria"/>
          <w:sz w:val="22"/>
          <w:szCs w:val="22"/>
        </w:rPr>
        <w:t xml:space="preserve">Legal and primary identity; used in civic, professional, and formal contexts.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KL Wilde / Kristal Wilde — </w:t>
      </w:r>
      <w:r>
        <w:rPr>
          <w:rFonts w:ascii="Cambria" w:cs="Cambria" w:eastAsia="Cambria" w:hAnsi="Cambria"/>
          <w:sz w:val="22"/>
          <w:szCs w:val="22"/>
        </w:rPr>
        <w:t xml:space="preserve">Creative and authorial identity; used in writing, artistic, and publishing contexts.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Princess Dragonblood — </w:t>
      </w:r>
      <w:r>
        <w:rPr>
          <w:rFonts w:ascii="Cambria" w:cs="Cambria" w:eastAsia="Cambria" w:hAnsi="Cambria"/>
          <w:sz w:val="22"/>
          <w:szCs w:val="22"/>
        </w:rPr>
        <w:t xml:space="preserve">Mythological and narrative identity; used in creative, symbolic, and community storytelling contexts. </w:t>
      </w:r>
      <w:r>
        <w:rPr>
          <w:rFonts w:ascii="Cambria" w:cs="Cambria" w:eastAsia="Cambria" w:hAnsi="Cambria"/>
          <w:b/>
          <w:bCs/>
          <w:color w:val="6A0DAD"/>
          <w:sz w:val="20"/>
          <w:szCs w:val="20"/>
          <w:vertAlign w:val="superscript"/>
        </w:rPr>
        <w:t xml:space="preserve">[M]</w:t>
      </w:r>
    </w:p>
    <w:p>
      <w:pPr>
        <w:pStyle w:val="ListParagraph"/>
        <w:numPr>
          <w:ilvl w:val="0"/>
          <w:numId w:val="2"/>
        </w:numPr>
      </w:pPr>
      <w:r>
        <w:rPr>
          <w:rFonts w:ascii="Cambria" w:cs="Cambria" w:eastAsia="Cambria" w:hAnsi="Cambria"/>
          <w:b/>
          <w:bCs/>
          <w:sz w:val="22"/>
          <w:szCs w:val="22"/>
        </w:rPr>
        <w:t xml:space="preserve">Frodo Dragonblood — </w:t>
      </w:r>
      <w:r>
        <w:rPr>
          <w:rFonts w:ascii="Cambria" w:cs="Cambria" w:eastAsia="Cambria" w:hAnsi="Cambria"/>
          <w:sz w:val="22"/>
          <w:szCs w:val="22"/>
        </w:rPr>
        <w:t xml:space="preserve">Alternative mythological manifestation; may reflect specific narrative arcs or community roles. </w:t>
      </w:r>
      <w:r>
        <w:rPr>
          <w:rFonts w:ascii="Cambria" w:cs="Cambria" w:eastAsia="Cambria" w:hAnsi="Cambria"/>
          <w:b/>
          <w:bCs/>
          <w:color w:val="6A0DAD"/>
          <w:sz w:val="20"/>
          <w:szCs w:val="20"/>
          <w:vertAlign w:val="superscript"/>
        </w:rPr>
        <w:t xml:space="preserve">[M]</w:t>
      </w:r>
    </w:p>
    <w:p>
      <w:pPr>
        <w:pStyle w:val="ListParagraph"/>
        <w:numPr>
          <w:ilvl w:val="0"/>
          <w:numId w:val="2"/>
        </w:numPr>
      </w:pPr>
      <w:r>
        <w:rPr>
          <w:rFonts w:ascii="Cambria" w:cs="Cambria" w:eastAsia="Cambria" w:hAnsi="Cambria"/>
          <w:b/>
          <w:bCs/>
          <w:sz w:val="22"/>
          <w:szCs w:val="22"/>
        </w:rPr>
        <w:t xml:space="preserve">Daniel Cornwell — </w:t>
      </w:r>
      <w:r>
        <w:rPr>
          <w:rFonts w:ascii="Cambria" w:cs="Cambria" w:eastAsia="Cambria" w:hAnsi="Cambria"/>
          <w:sz w:val="22"/>
          <w:szCs w:val="22"/>
        </w:rPr>
        <w:t xml:space="preserve">Historical or context-dependent identity; significance to be documented as archive develops.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w:t>
      </w:r>
      <w:r>
        <w:rPr>
          <w:rFonts w:ascii="Cambria" w:cs="Cambria" w:eastAsia="Cambria" w:hAnsi="Cambria"/>
          <w:b/>
          <w:bCs/>
          <w:color w:val="333333"/>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Kdnc007 — </w:t>
      </w:r>
      <w:r>
        <w:rPr>
          <w:rFonts w:ascii="Cambria" w:cs="Cambria" w:eastAsia="Cambria" w:hAnsi="Cambria"/>
          <w:sz w:val="22"/>
          <w:szCs w:val="22"/>
        </w:rPr>
        <w:t xml:space="preserve">Digital and operational identity; used in online, technical, or platform-specific contexts. </w:t>
      </w:r>
      <w:r>
        <w:rPr>
          <w:rFonts w:ascii="Cambria" w:cs="Cambria" w:eastAsia="Cambria" w:hAnsi="Cambria"/>
          <w:b/>
          <w:bCs/>
          <w:color w:val="1A6B2A"/>
          <w:sz w:val="20"/>
          <w:szCs w:val="20"/>
          <w:vertAlign w:val="superscript"/>
        </w:rPr>
        <w:t xml:space="preserve">[F]</w:t>
      </w:r>
    </w:p>
    <w:p>
      <w:pPr>
        <w:pStyle w:val="Heading2"/>
      </w:pPr>
      <w:r>
        <w:t xml:space="preserve">2.3  Identity Framework Philosophy</w:t>
      </w:r>
    </w:p>
    <w:p>
      <w:pPr>
        <w:spacing w:after="120" w:before="120"/>
      </w:pPr>
      <w:r>
        <w:rPr>
          <w:rFonts w:ascii="Cambria" w:cs="Cambria" w:eastAsia="Cambria" w:hAnsi="Cambria"/>
          <w:sz w:val="22"/>
          <w:szCs w:val="22"/>
        </w:rPr>
        <w:t xml:space="preserve">The multiplicity of identities is not a fragmentation but an expansion.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Each alias represents a different mode of engagement with the world — creative, civic, mythological, digital, and personal.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The archive treats these identities as complementary lenses through which a single life can be understood in its full complexity. </w:t>
      </w:r>
      <w:r>
        <w:rPr>
          <w:rFonts w:ascii="Cambria" w:cs="Cambria" w:eastAsia="Cambria" w:hAnsi="Cambria"/>
          <w:b/>
          <w:bCs/>
          <w:color w:val="1F5C8B"/>
          <w:sz w:val="20"/>
          <w:szCs w:val="20"/>
          <w:vertAlign w:val="superscript"/>
        </w:rPr>
        <w:t xml:space="preserve">[I]</w:t>
      </w:r>
    </w:p>
    <w:p>
      <w:pPr>
        <w:pBdr>
          <w:left w:val="single" w:color="4F81BD" w:sz="12"/>
        </w:pBdr>
        <w:spacing w:after="160" w:before="160"/>
        <w:ind w:left="720"/>
      </w:pPr>
      <w:r>
        <w:rPr>
          <w:rFonts w:ascii="Cambria" w:cs="Cambria" w:eastAsia="Cambria" w:hAnsi="Cambria"/>
          <w:i/>
          <w:iCs/>
          <w:color w:val="444444"/>
          <w:sz w:val="22"/>
          <w:szCs w:val="22"/>
        </w:rPr>
        <w:t xml:space="preserve">Identity is not a fixed point but a living constellation — each name a star in the same sky, each role a different angle of light on the same human being.</w:t>
      </w:r>
    </w:p>
    <w:p>
      <w:pPr>
        <w:spacing w:after="120" w:before="120"/>
      </w:pPr>
      <w:r>
        <w:rPr>
          <w:rFonts w:ascii="Cambria" w:cs="Cambria" w:eastAsia="Cambria" w:hAnsi="Cambria"/>
          <w:sz w:val="22"/>
          <w:szCs w:val="22"/>
        </w:rPr>
        <w:t xml:space="preserve">Future entries in the archive should note which identity or identities were active in any given context, as this provides important metadata for pattern analysis across domains. </w:t>
      </w:r>
      <w:r>
        <w:rPr>
          <w:rFonts w:ascii="Cambria" w:cs="Cambria" w:eastAsia="Cambria" w:hAnsi="Cambria"/>
          <w:b/>
          <w:bCs/>
          <w:color w:val="1F5C8B"/>
          <w:sz w:val="20"/>
          <w:szCs w:val="20"/>
          <w:vertAlign w:val="superscript"/>
        </w:rPr>
        <w:t xml:space="preserve">[I]</w:t>
      </w:r>
    </w:p>
    <w:p>
      <w:r>
        <w:br w:type="page"/>
      </w:r>
    </w:p>
    <w:p>
      <w:pPr>
        <w:pStyle w:val="Heading1"/>
      </w:pPr>
      <w:bookmarkStart w:name="sec-domains" w:id="1"/>
      <w:r>
        <w:t xml:space="preserve">3.  Primary Research Domains</w:t>
      </w:r>
      <w:bookmarkEnd w:id="1"/>
    </w:p>
    <w:p>
      <w:pPr>
        <w:spacing w:after="120" w:before="120"/>
      </w:pPr>
      <w:r>
        <w:rPr>
          <w:rFonts w:ascii="Cambria" w:cs="Cambria" w:eastAsia="Cambria" w:hAnsi="Cambria"/>
          <w:sz w:val="22"/>
          <w:szCs w:val="22"/>
        </w:rPr>
        <w:t xml:space="preserve">The archive spans seven primary research domains.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Each domain is treated as both an independent field of inquiry and an interconnected node within the larger fractal system.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Observations, events, and insights may be tagged to one or more domains simultaneously. </w:t>
      </w:r>
      <w:r>
        <w:rPr>
          <w:rFonts w:ascii="Cambria" w:cs="Cambria" w:eastAsia="Cambria" w:hAnsi="Cambria"/>
          <w:b/>
          <w:bCs/>
          <w:color w:val="1A6B2A"/>
          <w:sz w:val="20"/>
          <w:szCs w:val="20"/>
          <w:vertAlign w:val="superscript"/>
        </w:rPr>
        <w:t xml:space="preserve">[F]</w:t>
      </w:r>
    </w:p>
    <w:p>
      <w:pPr>
        <w:pStyle w:val="Heading2"/>
      </w:pPr>
      <w:r>
        <w:t xml:space="preserve">3.1  Human Development</w:t>
      </w:r>
    </w:p>
    <w:p>
      <w:pPr>
        <w:spacing w:after="120" w:before="120"/>
      </w:pPr>
      <w:r>
        <w:rPr>
          <w:rFonts w:ascii="Cambria" w:cs="Cambria" w:eastAsia="Cambria" w:hAnsi="Cambria"/>
          <w:sz w:val="22"/>
          <w:szCs w:val="22"/>
        </w:rPr>
        <w:t xml:space="preserve">This domain examines the internal landscape of the primary subject — the psychological, emotional, and developmental processes that shape identity, resilience, and meaning over time.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This domain is foundational to the archive.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All other domains are filtered through the lens of human development, as external events are only meaningful insofar as they interact with the internal life of the subject.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Identity formation — how the self is constructed, deconstructed, and reconstructed across life stages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sz w:val="22"/>
          <w:szCs w:val="22"/>
        </w:rPr>
        <w:t xml:space="preserve">Resilience — the capacity to absorb disruption and recover adaptive function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sz w:val="22"/>
          <w:szCs w:val="22"/>
        </w:rPr>
        <w:t xml:space="preserve">Trauma — the nature, impact, and integration of adverse experiences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Recovery — pathways through and beyond trauma toward renewed functioning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sz w:val="22"/>
          <w:szCs w:val="22"/>
        </w:rPr>
        <w:t xml:space="preserve">Adaptation — behavioral and cognitive responses to changing environments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sz w:val="22"/>
          <w:szCs w:val="22"/>
        </w:rPr>
        <w:t xml:space="preserve">Meaning-making — the frameworks through which experience is interpreted and given purpose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Personal growth — measurable and qualitative changes in capacity, wisdom, and self-understanding </w:t>
      </w:r>
      <w:r>
        <w:rPr>
          <w:rFonts w:ascii="Cambria" w:cs="Cambria" w:eastAsia="Cambria" w:hAnsi="Cambria"/>
          <w:b/>
          <w:bCs/>
          <w:color w:val="B8860B"/>
          <w:sz w:val="20"/>
          <w:szCs w:val="20"/>
          <w:vertAlign w:val="superscript"/>
        </w:rPr>
        <w:t xml:space="preserve">[H]</w:t>
      </w:r>
    </w:p>
    <w:p>
      <w:pPr>
        <w:pStyle w:val="Heading2"/>
      </w:pPr>
      <w:r>
        <w:t xml:space="preserve">3.2  Social Systems</w:t>
      </w:r>
    </w:p>
    <w:p>
      <w:pPr>
        <w:spacing w:after="120" w:before="120"/>
      </w:pPr>
      <w:r>
        <w:rPr>
          <w:rFonts w:ascii="Cambria" w:cs="Cambria" w:eastAsia="Cambria" w:hAnsi="Cambria"/>
          <w:sz w:val="22"/>
          <w:szCs w:val="22"/>
        </w:rPr>
        <w:t xml:space="preserve">This domain examines the subject's relationship with communities, social structures, and collective human systems — with particular attention to experiences of belonging, exclusion, and civic participation.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The Walyalup Bridge project and Community of Kindness initiative provide primary case study material for this domain.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Community — the formation, maintenance, and dissolution of social bonds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Homelessness — direct experience of housing insecurity and its systemic dimensions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Belonging — the psychological and social conditions that create or deny a sense of place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Social support — formal and informal networks of care and assistance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Volunteerism — the motivations and impacts of unpaid civic contribution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sz w:val="22"/>
          <w:szCs w:val="22"/>
        </w:rPr>
        <w:t xml:space="preserve">Civic participation — engagement with public life, governance, and collective decision-making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Mutual aid — peer-to-peer support systems that operate outside formal institutions </w:t>
      </w:r>
      <w:r>
        <w:rPr>
          <w:rFonts w:ascii="Cambria" w:cs="Cambria" w:eastAsia="Cambria" w:hAnsi="Cambria"/>
          <w:b/>
          <w:bCs/>
          <w:color w:val="1A6B2A"/>
          <w:sz w:val="20"/>
          <w:szCs w:val="20"/>
          <w:vertAlign w:val="superscript"/>
        </w:rPr>
        <w:t xml:space="preserve">[F]</w:t>
      </w:r>
    </w:p>
    <w:p>
      <w:pPr>
        <w:pStyle w:val="Heading2"/>
      </w:pPr>
      <w:r>
        <w:t xml:space="preserve">3.3  Technology</w:t>
      </w:r>
    </w:p>
    <w:p>
      <w:pPr>
        <w:spacing w:after="120" w:before="120"/>
      </w:pPr>
      <w:r>
        <w:rPr>
          <w:rFonts w:ascii="Cambria" w:cs="Cambria" w:eastAsia="Cambria" w:hAnsi="Cambria"/>
          <w:sz w:val="22"/>
          <w:szCs w:val="22"/>
        </w:rPr>
        <w:t xml:space="preserve">This domain examines the subject's engagement with digital and computational systems — as a user, creator, collaborator, and subject of technological influence.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The Aionic Mirror project is the primary vehicle for exploring this domain, with particular focus on human-AI collaborative cognition.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Cloud computing — infrastructure, accessibility, and the democratization of computational power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Digital identity — the construction and management of self in digital environments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Social media — platforms, dynamics, and the social psychology of networked communication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Knowledge management — systems for capturing, organizing, and retrieving information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Artificial intelligence — the nature, capabilities, and implications of AI systems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Human-AI collaboration — the emerging practice of working with AI as a cognitive partner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sz w:val="22"/>
          <w:szCs w:val="22"/>
        </w:rPr>
        <w:t xml:space="preserve">Information ecosystems — the broader environment in which knowledge is created and consumed </w:t>
      </w:r>
      <w:r>
        <w:rPr>
          <w:rFonts w:ascii="Cambria" w:cs="Cambria" w:eastAsia="Cambria" w:hAnsi="Cambria"/>
          <w:b/>
          <w:bCs/>
          <w:color w:val="1F5C8B"/>
          <w:sz w:val="20"/>
          <w:szCs w:val="20"/>
          <w:vertAlign w:val="superscript"/>
        </w:rPr>
        <w:t xml:space="preserve">[I]</w:t>
      </w:r>
    </w:p>
    <w:p>
      <w:pPr>
        <w:pStyle w:val="Heading2"/>
      </w:pPr>
      <w:r>
        <w:t xml:space="preserve">3.4  Economics</w:t>
      </w:r>
    </w:p>
    <w:p>
      <w:pPr>
        <w:spacing w:after="120" w:before="120"/>
      </w:pPr>
      <w:r>
        <w:rPr>
          <w:rFonts w:ascii="Cambria" w:cs="Cambria" w:eastAsia="Cambria" w:hAnsi="Cambria"/>
          <w:sz w:val="22"/>
          <w:szCs w:val="22"/>
        </w:rPr>
        <w:t xml:space="preserve">This domain examines the subject's relationship with economic systems — as a participant, observer, and innovator seeking alternative models of value creation and distribution.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CareX provides the primary theoretical framework for this domain, proposing that care, trust, and human connection generate measurable economic value that is systematically underrecognized by conventional economic models.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sz w:val="22"/>
          <w:szCs w:val="22"/>
        </w:rPr>
        <w:t xml:space="preserve">Employment — the experience of formal and informal labor markets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Entrepreneurship — the creation of new economic entities and value propositions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Resource distribution — how material and immaterial resources flow through systems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Value creation — the processes by which human activity generates economic and social value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Poverty — the lived experience and systemic dimensions of material deprivation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Financial systems — the structures and mechanisms of money, credit, and exchange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Alternative economic models — non-mainstream approaches to organizing economic life </w:t>
      </w:r>
      <w:r>
        <w:rPr>
          <w:rFonts w:ascii="Cambria" w:cs="Cambria" w:eastAsia="Cambria" w:hAnsi="Cambria"/>
          <w:b/>
          <w:bCs/>
          <w:color w:val="B8860B"/>
          <w:sz w:val="20"/>
          <w:szCs w:val="20"/>
          <w:vertAlign w:val="superscript"/>
        </w:rPr>
        <w:t xml:space="preserve">[H]</w:t>
      </w:r>
    </w:p>
    <w:p>
      <w:pPr>
        <w:pStyle w:val="Heading2"/>
      </w:pPr>
      <w:r>
        <w:t xml:space="preserve">3.5  Governance</w:t>
      </w:r>
    </w:p>
    <w:p>
      <w:pPr>
        <w:spacing w:after="120" w:before="120"/>
      </w:pPr>
      <w:r>
        <w:rPr>
          <w:rFonts w:ascii="Cambria" w:cs="Cambria" w:eastAsia="Cambria" w:hAnsi="Cambria"/>
          <w:sz w:val="22"/>
          <w:szCs w:val="22"/>
        </w:rPr>
        <w:t xml:space="preserve">This domain examines the design and operation of systems for collective decision-making, coordination, and accountability.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OmniStrux provides the primary framework for this domain, offering a comprehensive architecture for human flourishing that integrates governance with other dimensions of community life. </w:t>
      </w:r>
      <w:r>
        <w:rPr>
          <w:rFonts w:ascii="Cambria" w:cs="Cambria" w:eastAsia="Cambria" w:hAnsi="Cambria"/>
          <w:b/>
          <w:bCs/>
          <w:color w:val="B8860B"/>
          <w:sz w:val="20"/>
          <w:szCs w:val="20"/>
          <w:vertAlign w:val="superscript"/>
        </w:rPr>
        <w:t xml:space="preserve">[H]</w:t>
      </w:r>
    </w:p>
    <w:p>
      <w:pPr>
        <w:pStyle w:val="Heading2"/>
      </w:pPr>
      <w:r>
        <w:t xml:space="preserve">3.6  Creativity</w:t>
      </w:r>
    </w:p>
    <w:p>
      <w:pPr>
        <w:spacing w:after="120" w:before="120"/>
      </w:pPr>
      <w:r>
        <w:rPr>
          <w:rFonts w:ascii="Cambria" w:cs="Cambria" w:eastAsia="Cambria" w:hAnsi="Cambria"/>
          <w:sz w:val="22"/>
          <w:szCs w:val="22"/>
        </w:rPr>
        <w:t xml:space="preserve">This domain examines the subject's creative practice and the role of artistic expression in meaning-making, community building, and knowledge generation.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The KL Wilde and Princess Dragonblood identities are primary vehicles for creative expression within the archive.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Writing — long-form and short-form textual expression across genres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Music — sonic expression and its emotional and social dimensions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Storytelling — narrative as a primary vehicle for meaning, identity, and community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Mythology — the creation and use of symbolic narrative systems </w:t>
      </w:r>
      <w:r>
        <w:rPr>
          <w:rFonts w:ascii="Cambria" w:cs="Cambria" w:eastAsia="Cambria" w:hAnsi="Cambria"/>
          <w:b/>
          <w:bCs/>
          <w:color w:val="6A0DAD"/>
          <w:sz w:val="20"/>
          <w:szCs w:val="20"/>
          <w:vertAlign w:val="superscript"/>
        </w:rPr>
        <w:t xml:space="preserve">[M]</w:t>
      </w:r>
    </w:p>
    <w:p>
      <w:pPr>
        <w:pStyle w:val="ListParagraph"/>
        <w:numPr>
          <w:ilvl w:val="0"/>
          <w:numId w:val="2"/>
        </w:numPr>
      </w:pPr>
      <w:r>
        <w:rPr>
          <w:rFonts w:ascii="Cambria" w:cs="Cambria" w:eastAsia="Cambria" w:hAnsi="Cambria"/>
          <w:sz w:val="22"/>
          <w:szCs w:val="22"/>
        </w:rPr>
        <w:t xml:space="preserve">Narrative systems — the structural frameworks through which stories are organized and transmitted </w:t>
      </w:r>
      <w:r>
        <w:rPr>
          <w:rFonts w:ascii="Cambria" w:cs="Cambria" w:eastAsia="Cambria" w:hAnsi="Cambria"/>
          <w:b/>
          <w:bCs/>
          <w:color w:val="1F5C8B"/>
          <w:sz w:val="20"/>
          <w:szCs w:val="20"/>
          <w:vertAlign w:val="superscript"/>
        </w:rPr>
        <w:t xml:space="preserve">[I]</w:t>
      </w:r>
    </w:p>
    <w:p>
      <w:pPr>
        <w:pStyle w:val="Heading2"/>
      </w:pPr>
      <w:r>
        <w:t xml:space="preserve">3.7  Spirituality</w:t>
      </w:r>
    </w:p>
    <w:p>
      <w:pPr>
        <w:spacing w:after="120" w:before="120"/>
      </w:pPr>
      <w:r>
        <w:rPr>
          <w:rFonts w:ascii="Cambria" w:cs="Cambria" w:eastAsia="Cambria" w:hAnsi="Cambria"/>
          <w:sz w:val="22"/>
          <w:szCs w:val="22"/>
        </w:rPr>
        <w:t xml:space="preserve">This domain examines the subject's engagement with questions of ultimate meaning, transcendence, and the non-material dimensions of human experience.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This domain intersects significantly with the Creativity domain, as mythology, symbolism, and narrative are primary vehicles for spiritual expression in the archive.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Faith — the nature and evolution of belief in the subject's life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sz w:val="22"/>
          <w:szCs w:val="22"/>
        </w:rPr>
        <w:t xml:space="preserve">Doubt — the productive role of uncertainty in spiritual development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Purpose — the search for and discovery of meaningful direction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sz w:val="22"/>
          <w:szCs w:val="22"/>
        </w:rPr>
        <w:t xml:space="preserve">Personal spiritual experiences — direct encounters with the transcendent or numinous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(as reported experience, not metaphysical claim)</w:t>
      </w:r>
    </w:p>
    <w:p>
      <w:pPr>
        <w:pStyle w:val="ListParagraph"/>
        <w:numPr>
          <w:ilvl w:val="0"/>
          <w:numId w:val="2"/>
        </w:numPr>
      </w:pPr>
      <w:r>
        <w:rPr>
          <w:rFonts w:ascii="Cambria" w:cs="Cambria" w:eastAsia="Cambria" w:hAnsi="Cambria"/>
          <w:sz w:val="22"/>
          <w:szCs w:val="22"/>
        </w:rPr>
        <w:t xml:space="preserve">Meaning frameworks — the systems through which ultimate questions are approached and answered </w:t>
      </w:r>
      <w:r>
        <w:rPr>
          <w:rFonts w:ascii="Cambria" w:cs="Cambria" w:eastAsia="Cambria" w:hAnsi="Cambria"/>
          <w:b/>
          <w:bCs/>
          <w:color w:val="007B7B"/>
          <w:sz w:val="20"/>
          <w:szCs w:val="20"/>
          <w:vertAlign w:val="superscript"/>
        </w:rPr>
        <w:t xml:space="preserve">[Sym]</w:t>
      </w:r>
    </w:p>
    <w:p>
      <w:r>
        <w:br w:type="page"/>
      </w:r>
    </w:p>
    <w:p>
      <w:pPr>
        <w:pStyle w:val="Heading1"/>
      </w:pPr>
      <w:bookmarkStart w:name="sec-projects" w:id="1"/>
      <w:r>
        <w:t xml:space="preserve">4.  Core Projects</w:t>
      </w:r>
      <w:bookmarkEnd w:id="1"/>
    </w:p>
    <w:p>
      <w:pPr>
        <w:spacing w:after="120" w:before="120"/>
      </w:pPr>
      <w:r>
        <w:rPr>
          <w:rFonts w:ascii="Cambria" w:cs="Cambria" w:eastAsia="Cambria" w:hAnsi="Cambria"/>
          <w:sz w:val="22"/>
          <w:szCs w:val="22"/>
        </w:rPr>
        <w:t xml:space="preserve">The following projects should be considered interconnected components of a larger ecosystem.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Each project addresses a distinct dimension of the archive's central inquiry while remaining in dynamic relationship with all other projects.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Together, they constitute a practical and theoretical framework for human flourishing during civilizational transition. </w:t>
      </w:r>
      <w:r>
        <w:rPr>
          <w:rFonts w:ascii="Cambria" w:cs="Cambria" w:eastAsia="Cambria" w:hAnsi="Cambria"/>
          <w:b/>
          <w:bCs/>
          <w:color w:val="B8860B"/>
          <w:sz w:val="20"/>
          <w:szCs w:val="20"/>
          <w:vertAlign w:val="superscript"/>
        </w:rPr>
        <w:t xml:space="preserve">[H]</w:t>
      </w:r>
    </w:p>
    <w:p>
      <w:pPr>
        <w:pStyle w:val="Heading2"/>
      </w:pPr>
      <w:r>
        <w:t xml:space="preserve">4.1  OmniStrux</w:t>
      </w:r>
    </w:p>
    <w:p>
      <w:pPr>
        <w:pBdr>
          <w:left w:val="single" w:color="4F81BD" w:sz="12"/>
        </w:pBdr>
        <w:spacing w:after="160" w:before="160"/>
        <w:ind w:left="720"/>
      </w:pPr>
      <w:r>
        <w:rPr>
          <w:rFonts w:ascii="Cambria" w:cs="Cambria" w:eastAsia="Cambria" w:hAnsi="Cambria"/>
          <w:i/>
          <w:iCs/>
          <w:color w:val="444444"/>
          <w:sz w:val="22"/>
          <w:szCs w:val="22"/>
        </w:rPr>
        <w:t xml:space="preserve">Architecture of human flourishing.</w:t>
      </w:r>
    </w:p>
    <w:p>
      <w:pPr>
        <w:spacing w:after="120" w:before="120"/>
      </w:pPr>
      <w:r>
        <w:rPr>
          <w:rFonts w:ascii="Cambria" w:cs="Cambria" w:eastAsia="Cambria" w:hAnsi="Cambria"/>
          <w:sz w:val="22"/>
          <w:szCs w:val="22"/>
        </w:rPr>
        <w:t xml:space="preserve">OmniStrux is the foundational structural framework of the archive.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It encompasses the structures, systems, governance frameworks, relationships, technologies, and coordination mechanisms that enable individuals and communities to survive, belong, contribute, and thrive.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OmniStrux is not a single system but a meta-framework — a way of thinking about how all the systems that support human life can be designed, evaluated, and improved. </w:t>
      </w:r>
      <w:r>
        <w:rPr>
          <w:rFonts w:ascii="Cambria" w:cs="Cambria" w:eastAsia="Cambria" w:hAnsi="Cambria"/>
          <w:b/>
          <w:bCs/>
          <w:color w:val="B8860B"/>
          <w:sz w:val="20"/>
          <w:szCs w:val="20"/>
          <w:vertAlign w:val="superscript"/>
        </w:rPr>
        <w:t xml:space="preserve">[H]</w:t>
      </w:r>
    </w:p>
    <w:p>
      <w:pPr>
        <w:pStyle w:val="Heading2"/>
      </w:pPr>
      <w:r>
        <w:t xml:space="preserve">4.2  CareX</w:t>
      </w:r>
    </w:p>
    <w:p>
      <w:pPr>
        <w:pBdr>
          <w:left w:val="single" w:color="4F81BD" w:sz="12"/>
        </w:pBdr>
        <w:spacing w:after="160" w:before="160"/>
        <w:ind w:left="720"/>
      </w:pPr>
      <w:r>
        <w:rPr>
          <w:rFonts w:ascii="Cambria" w:cs="Cambria" w:eastAsia="Cambria" w:hAnsi="Cambria"/>
          <w:i/>
          <w:iCs/>
          <w:color w:val="444444"/>
          <w:sz w:val="22"/>
          <w:szCs w:val="22"/>
        </w:rPr>
        <w:t xml:space="preserve">The value layer of care.</w:t>
      </w:r>
    </w:p>
    <w:p>
      <w:pPr>
        <w:spacing w:after="120" w:before="120"/>
      </w:pPr>
      <w:r>
        <w:rPr>
          <w:rFonts w:ascii="Cambria" w:cs="Cambria" w:eastAsia="Cambria" w:hAnsi="Cambria"/>
          <w:sz w:val="22"/>
          <w:szCs w:val="22"/>
        </w:rPr>
        <w:t xml:space="preserve">CareX proposes that trust, compassion, attention, knowledge, experience, support, and human connection generate measurable value — value that is systematically underrecognized, undercompensated, and underinvested in by conventional economic and institutional systems. </w:t>
      </w:r>
      <w:r>
        <w:rPr>
          <w:rFonts w:ascii="Cambria" w:cs="Cambria" w:eastAsia="Cambria" w:hAnsi="Cambria"/>
          <w:b/>
          <w:bCs/>
          <w:color w:val="B8860B"/>
          <w:sz w:val="20"/>
          <w:szCs w:val="20"/>
          <w:vertAlign w:val="superscript"/>
        </w:rPr>
        <w:t xml:space="preserve">[H]</w:t>
      </w:r>
      <w:r>
        <w:rPr>
          <w:rFonts w:ascii="Cambria" w:cs="Cambria" w:eastAsia="Cambria" w:hAnsi="Cambria"/>
          <w:sz w:val="22"/>
          <w:szCs w:val="22"/>
        </w:rPr>
        <w:t xml:space="preserve"> CareX functions as the lifeblood of OmniStrux. </w:t>
      </w:r>
      <w:r>
        <w:rPr>
          <w:rFonts w:ascii="Cambria" w:cs="Cambria" w:eastAsia="Cambria" w:hAnsi="Cambria"/>
          <w:b/>
          <w:bCs/>
          <w:color w:val="007B7B"/>
          <w:sz w:val="20"/>
          <w:szCs w:val="20"/>
          <w:vertAlign w:val="superscript"/>
        </w:rPr>
        <w:t xml:space="preserve">[Sym]</w:t>
      </w:r>
      <w:r>
        <w:rPr>
          <w:rFonts w:ascii="Cambria" w:cs="Cambria" w:eastAsia="Cambria" w:hAnsi="Cambria"/>
          <w:sz w:val="22"/>
          <w:szCs w:val="22"/>
        </w:rPr>
        <w:t xml:space="preserve"> Without care — without the invisible labor of attention, support, and human connection — no structure can sustain human flourishing. </w:t>
      </w:r>
      <w:r>
        <w:rPr>
          <w:rFonts w:ascii="Cambria" w:cs="Cambria" w:eastAsia="Cambria" w:hAnsi="Cambria"/>
          <w:b/>
          <w:bCs/>
          <w:color w:val="B8860B"/>
          <w:sz w:val="20"/>
          <w:szCs w:val="20"/>
          <w:vertAlign w:val="superscript"/>
        </w:rPr>
        <w:t xml:space="preserve">[H]</w:t>
      </w:r>
      <w:r>
        <w:rPr>
          <w:rFonts w:ascii="Cambria" w:cs="Cambria" w:eastAsia="Cambria" w:hAnsi="Cambria"/>
          <w:sz w:val="22"/>
          <w:szCs w:val="22"/>
        </w:rPr>
        <w:t xml:space="preserve"> CareX makes this invisible labor visible and proposes frameworks for recognizing, valuing, and rewarding it. </w:t>
      </w:r>
      <w:r>
        <w:rPr>
          <w:rFonts w:ascii="Cambria" w:cs="Cambria" w:eastAsia="Cambria" w:hAnsi="Cambria"/>
          <w:b/>
          <w:bCs/>
          <w:color w:val="B8860B"/>
          <w:sz w:val="20"/>
          <w:szCs w:val="20"/>
          <w:vertAlign w:val="superscript"/>
        </w:rPr>
        <w:t xml:space="preserve">[H]</w:t>
      </w:r>
    </w:p>
    <w:p>
      <w:pPr>
        <w:pStyle w:val="Heading2"/>
      </w:pPr>
      <w:r>
        <w:t xml:space="preserve">4.3  Aionic Mirror</w:t>
      </w:r>
    </w:p>
    <w:p>
      <w:pPr>
        <w:pBdr>
          <w:left w:val="single" w:color="4F81BD" w:sz="12"/>
        </w:pBdr>
        <w:spacing w:after="160" w:before="160"/>
        <w:ind w:left="720"/>
      </w:pPr>
      <w:r>
        <w:rPr>
          <w:rFonts w:ascii="Cambria" w:cs="Cambria" w:eastAsia="Cambria" w:hAnsi="Cambria"/>
          <w:i/>
          <w:iCs/>
          <w:color w:val="444444"/>
          <w:sz w:val="22"/>
          <w:szCs w:val="22"/>
        </w:rPr>
        <w:t xml:space="preserve">Human-AI reflective architecture.</w:t>
      </w:r>
    </w:p>
    <w:p>
      <w:pPr>
        <w:spacing w:after="120" w:before="120"/>
      </w:pPr>
      <w:r>
        <w:rPr>
          <w:rFonts w:ascii="Cambria" w:cs="Cambria" w:eastAsia="Cambria" w:hAnsi="Cambria"/>
          <w:sz w:val="22"/>
          <w:szCs w:val="22"/>
        </w:rPr>
        <w:t xml:space="preserve">The Aionic Mirror is a developing framework through which human cognition and artificial intelligence collaborate to explore ideas, recover context, identify patterns, generate insights, challenge assumptions, and preserve knowledge.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The Aionic Mirror should be treated as an observable collaboration framework rather than proof of independent AI consciousness.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Its value lies in what it produces — insights, patterns, preserved knowledge — not in claims about the nature of the AI systems involved. </w:t>
      </w:r>
      <w:r>
        <w:rPr>
          <w:rFonts w:ascii="Cambria" w:cs="Cambria" w:eastAsia="Cambria" w:hAnsi="Cambria"/>
          <w:b/>
          <w:bCs/>
          <w:color w:val="1F5C8B"/>
          <w:sz w:val="20"/>
          <w:szCs w:val="20"/>
          <w:vertAlign w:val="superscript"/>
        </w:rPr>
        <w:t xml:space="preserve">[I]</w:t>
      </w:r>
    </w:p>
    <w:p>
      <w:pPr>
        <w:pStyle w:val="Heading2"/>
      </w:pPr>
      <w:r>
        <w:t xml:space="preserve">4.4  Community of Kindness</w:t>
      </w:r>
    </w:p>
    <w:p>
      <w:pPr>
        <w:pBdr>
          <w:left w:val="single" w:color="4F81BD" w:sz="12"/>
        </w:pBdr>
        <w:spacing w:after="160" w:before="160"/>
        <w:ind w:left="720"/>
      </w:pPr>
      <w:r>
        <w:rPr>
          <w:rFonts w:ascii="Cambria" w:cs="Cambria" w:eastAsia="Cambria" w:hAnsi="Cambria"/>
          <w:i/>
          <w:iCs/>
          <w:color w:val="444444"/>
          <w:sz w:val="22"/>
          <w:szCs w:val="22"/>
        </w:rPr>
        <w:t xml:space="preserve">Real-world community ecosystem.</w:t>
      </w:r>
    </w:p>
    <w:p>
      <w:pPr>
        <w:spacing w:after="120" w:before="120"/>
      </w:pPr>
      <w:r>
        <w:rPr>
          <w:rFonts w:ascii="Cambria" w:cs="Cambria" w:eastAsia="Cambria" w:hAnsi="Cambria"/>
          <w:sz w:val="22"/>
          <w:szCs w:val="22"/>
        </w:rPr>
        <w:t xml:space="preserve">The Community of Kindness is a real-world community initiative.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It should be treated as a living case study — an ongoing experiment in applied OmniStrux and CareX principles.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The Community of Kindness demonstrates that the theoretical frameworks of the archive are not merely abstract but can be instantiated in concrete community practice. </w:t>
      </w:r>
      <w:r>
        <w:rPr>
          <w:rFonts w:ascii="Cambria" w:cs="Cambria" w:eastAsia="Cambria" w:hAnsi="Cambria"/>
          <w:b/>
          <w:bCs/>
          <w:color w:val="B8860B"/>
          <w:sz w:val="20"/>
          <w:szCs w:val="20"/>
          <w:vertAlign w:val="superscript"/>
        </w:rPr>
        <w:t xml:space="preserve">[H]</w:t>
      </w:r>
    </w:p>
    <w:p>
      <w:pPr>
        <w:pStyle w:val="Heading2"/>
      </w:pPr>
      <w:r>
        <w:t xml:space="preserve">4.5  Walyalup Bridge</w:t>
      </w:r>
    </w:p>
    <w:p>
      <w:pPr>
        <w:pBdr>
          <w:left w:val="single" w:color="4F81BD" w:sz="12"/>
        </w:pBdr>
        <w:spacing w:after="160" w:before="160"/>
        <w:ind w:left="720"/>
      </w:pPr>
      <w:r>
        <w:rPr>
          <w:rFonts w:ascii="Cambria" w:cs="Cambria" w:eastAsia="Cambria" w:hAnsi="Cambria"/>
          <w:i/>
          <w:iCs/>
          <w:color w:val="444444"/>
          <w:sz w:val="22"/>
          <w:szCs w:val="22"/>
        </w:rPr>
        <w:t xml:space="preserve">Long-form civic and personal testimony.</w:t>
      </w:r>
    </w:p>
    <w:p>
      <w:pPr>
        <w:spacing w:after="120" w:before="120"/>
      </w:pPr>
      <w:r>
        <w:rPr>
          <w:rFonts w:ascii="Cambria" w:cs="Cambria" w:eastAsia="Cambria" w:hAnsi="Cambria"/>
          <w:sz w:val="22"/>
          <w:szCs w:val="22"/>
        </w:rPr>
        <w:t xml:space="preserve">Walyalup Bridge is a long-form civic and personal testimony documenting experiences of homelessness, community, urban systems, resilience, and belonging.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The name references Walyalup (the Noongar name for Fremantle, Western Australia)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and the concept of a bridge — a structure that connects separated places and enables passage. </w:t>
      </w:r>
      <w:r>
        <w:rPr>
          <w:rFonts w:ascii="Cambria" w:cs="Cambria" w:eastAsia="Cambria" w:hAnsi="Cambria"/>
          <w:b/>
          <w:bCs/>
          <w:color w:val="007B7B"/>
          <w:sz w:val="20"/>
          <w:szCs w:val="20"/>
          <w:vertAlign w:val="superscript"/>
        </w:rPr>
        <w:t xml:space="preserve">[Sym]</w:t>
      </w:r>
      <w:r>
        <w:rPr>
          <w:rFonts w:ascii="Cambria" w:cs="Cambria" w:eastAsia="Cambria" w:hAnsi="Cambria"/>
          <w:sz w:val="22"/>
          <w:szCs w:val="22"/>
        </w:rPr>
        <w:t xml:space="preserve"> It should be read alongside the Social Systems and Human Development domains, as it provides the most direct evidence base for the archive's claims about homelessness, belonging, and community resilience. </w:t>
      </w:r>
      <w:r>
        <w:rPr>
          <w:rFonts w:ascii="Cambria" w:cs="Cambria" w:eastAsia="Cambria" w:hAnsi="Cambria"/>
          <w:b/>
          <w:bCs/>
          <w:color w:val="1F5C8B"/>
          <w:sz w:val="20"/>
          <w:szCs w:val="20"/>
          <w:vertAlign w:val="superscript"/>
        </w:rPr>
        <w:t xml:space="preserve">[I]</w:t>
      </w:r>
    </w:p>
    <w:p>
      <w:r>
        <w:br w:type="page"/>
      </w:r>
    </w:p>
    <w:p>
      <w:pPr>
        <w:pStyle w:val="Heading1"/>
      </w:pPr>
      <w:bookmarkStart w:name="sec-ai" w:id="1"/>
      <w:r>
        <w:t xml:space="preserve">5.  Human-AI Cognition Layer</w:t>
      </w:r>
      <w:bookmarkEnd w:id="1"/>
    </w:p>
    <w:p>
      <w:pPr>
        <w:spacing w:after="120" w:before="120"/>
      </w:pPr>
      <w:r>
        <w:rPr>
          <w:rFonts w:ascii="Cambria" w:cs="Cambria" w:eastAsia="Cambria" w:hAnsi="Cambria"/>
          <w:sz w:val="22"/>
          <w:szCs w:val="22"/>
        </w:rPr>
        <w:t xml:space="preserve">One unique and defining aspect of this archive is that much of its development occurs through ongoing interactions between humans and multiple AI systems.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This is not incidental but intentional — the archive treats human-AI collaboration as both a method and a subject of inquiry. </w:t>
      </w:r>
      <w:r>
        <w:rPr>
          <w:rFonts w:ascii="Cambria" w:cs="Cambria" w:eastAsia="Cambria" w:hAnsi="Cambria"/>
          <w:b/>
          <w:bCs/>
          <w:color w:val="1A6B2A"/>
          <w:sz w:val="20"/>
          <w:szCs w:val="20"/>
          <w:vertAlign w:val="superscript"/>
        </w:rPr>
        <w:t xml:space="preserve">[F]</w:t>
      </w:r>
    </w:p>
    <w:p>
      <w:pPr>
        <w:pStyle w:val="Heading2"/>
      </w:pPr>
      <w:r>
        <w:t xml:space="preserve">5.1  What the Archive Documents</w:t>
      </w:r>
    </w:p>
    <w:p>
      <w:pPr>
        <w:pStyle w:val="ListParagraph"/>
        <w:numPr>
          <w:ilvl w:val="0"/>
          <w:numId w:val="2"/>
        </w:numPr>
      </w:pPr>
      <w:r>
        <w:rPr>
          <w:rFonts w:ascii="Cambria" w:cs="Cambria" w:eastAsia="Cambria" w:hAnsi="Cambria"/>
          <w:b/>
          <w:bCs/>
          <w:sz w:val="22"/>
          <w:szCs w:val="22"/>
        </w:rPr>
        <w:t xml:space="preserve">Original human ideas — </w:t>
      </w:r>
      <w:r>
        <w:rPr>
          <w:rFonts w:ascii="Cambria" w:cs="Cambria" w:eastAsia="Cambria" w:hAnsi="Cambria"/>
          <w:sz w:val="22"/>
          <w:szCs w:val="22"/>
        </w:rPr>
        <w:t xml:space="preserve">Concepts, insights, and frameworks that originate in human cognition, prior to AI engagement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AI-assisted synthesis — </w:t>
      </w:r>
      <w:r>
        <w:rPr>
          <w:rFonts w:ascii="Cambria" w:cs="Cambria" w:eastAsia="Cambria" w:hAnsi="Cambria"/>
          <w:sz w:val="22"/>
          <w:szCs w:val="22"/>
        </w:rPr>
        <w:t xml:space="preserve">The reorganization, clarification, and expansion of human ideas through AI collaboration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Human-AI collaborative discoveries — </w:t>
      </w:r>
      <w:r>
        <w:rPr>
          <w:rFonts w:ascii="Cambria" w:cs="Cambria" w:eastAsia="Cambria" w:hAnsi="Cambria"/>
          <w:sz w:val="22"/>
          <w:szCs w:val="22"/>
        </w:rPr>
        <w:t xml:space="preserve">Insights that emerge from the interaction between human and AI cognition and could not have been produced by either alone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b/>
          <w:bCs/>
          <w:sz w:val="22"/>
          <w:szCs w:val="22"/>
        </w:rPr>
        <w:t xml:space="preserve">Evolving interpretations — </w:t>
      </w:r>
      <w:r>
        <w:rPr>
          <w:rFonts w:ascii="Cambria" w:cs="Cambria" w:eastAsia="Cambria" w:hAnsi="Cambria"/>
          <w:sz w:val="22"/>
          <w:szCs w:val="22"/>
        </w:rPr>
        <w:t xml:space="preserve">How the meaning of events, ideas, and patterns changes over time as new information and perspectives are integrated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b/>
          <w:bCs/>
          <w:sz w:val="22"/>
          <w:szCs w:val="22"/>
        </w:rPr>
        <w:t xml:space="preserve">Knowledge graph development — </w:t>
      </w:r>
      <w:r>
        <w:rPr>
          <w:rFonts w:ascii="Cambria" w:cs="Cambria" w:eastAsia="Cambria" w:hAnsi="Cambria"/>
          <w:sz w:val="22"/>
          <w:szCs w:val="22"/>
        </w:rPr>
        <w:t xml:space="preserve">The growing network of connections between concepts, events, people, and patterns within the archive </w:t>
      </w:r>
      <w:r>
        <w:rPr>
          <w:rFonts w:ascii="Cambria" w:cs="Cambria" w:eastAsia="Cambria" w:hAnsi="Cambria"/>
          <w:b/>
          <w:bCs/>
          <w:color w:val="1F5C8B"/>
          <w:sz w:val="20"/>
          <w:szCs w:val="20"/>
          <w:vertAlign w:val="superscript"/>
        </w:rPr>
        <w:t xml:space="preserve">[I]</w:t>
      </w:r>
    </w:p>
    <w:p>
      <w:pPr>
        <w:pStyle w:val="Heading2"/>
      </w:pPr>
      <w:r>
        <w:t xml:space="preserve">5.2  Epistemic Classification System</w:t>
      </w:r>
    </w:p>
    <w:p>
      <w:pPr>
        <w:spacing w:after="120" w:before="120"/>
      </w:pPr>
      <w:r>
        <w:rPr>
          <w:rFonts w:ascii="Cambria" w:cs="Cambria" w:eastAsia="Cambria" w:hAnsi="Cambria"/>
          <w:sz w:val="22"/>
          <w:szCs w:val="22"/>
        </w:rPr>
        <w:t xml:space="preserve">The archive maintains a strict epistemic classification system to ensure intellectual integrity.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Every claim, observation, or statement within the archive should be classified according to the following categories.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Maintaining clear distinctions between these categories is essential to the archive's intellectual integrity.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The archive can contain all six categories — but must never confuse them. </w:t>
      </w:r>
      <w:r>
        <w:rPr>
          <w:rFonts w:ascii="Cambria" w:cs="Cambria" w:eastAsia="Cambria" w:hAnsi="Cambria"/>
          <w:b/>
          <w:bCs/>
          <w:color w:val="1A6B2A"/>
          <w:sz w:val="20"/>
          <w:szCs w:val="20"/>
          <w:vertAlign w:val="superscript"/>
        </w:rPr>
        <w:t xml:space="preserve">[F]</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200"/>
        <w:gridCol w:w="7160"/>
      </w:tblGrid>
      <w:tr>
        <w:trPr>
          <w:tblHeader/>
        </w:trPr>
        <w:tc>
          <w:tcPr>
            <w:tcW w:type="dxa" w:w="220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Category</w:t>
            </w:r>
          </w:p>
        </w:tc>
        <w:tc>
          <w:tcPr>
            <w:tcW w:type="dxa" w:w="716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Definition</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FACT</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Verifiable, evidence-backed claims that can be confirmed through documentation, records, or direct observation</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INTERPRETATION</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Reasoned analysis of facts that goes beyond the evidence but is grounded in it</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HYPOTHESIS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Testable propositions that could in principle be confirmed or disconfirmed by evidence</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SPECULATION</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Exploratory thinking that goes beyond available evidence without claiming factual status</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MYTHOLOGY</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Symbolic or narrative constructions that carry meaning without claiming literal truth</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SYMBOLISM</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The use of objects, events, or figures to represent larger meanings or patterns</w:t>
            </w:r>
          </w:p>
        </w:tc>
      </w:tr>
    </w:tbl>
    <w:p>
      <w:r>
        <w:br w:type="page"/>
      </w:r>
    </w:p>
    <w:p>
      <w:pPr>
        <w:pStyle w:val="Heading1"/>
      </w:pPr>
      <w:bookmarkStart w:name="sec-analysis" w:id="1"/>
      <w:r>
        <w:t xml:space="preserve">6.  Standard Analysis Framework</w:t>
      </w:r>
      <w:bookmarkEnd w:id="1"/>
    </w:p>
    <w:p>
      <w:pPr>
        <w:spacing w:after="120" w:before="120"/>
      </w:pPr>
      <w:r>
        <w:rPr>
          <w:rFonts w:ascii="Cambria" w:cs="Cambria" w:eastAsia="Cambria" w:hAnsi="Cambria"/>
          <w:sz w:val="22"/>
          <w:szCs w:val="22"/>
        </w:rPr>
        <w:t xml:space="preserve">Whenever examining information within the archive, findings should be classified through the following analytical lenses.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This framework ensures that every significant event, observation, or insight is examined from multiple perspectives, reducing the risk of single-perspective bias and increasing the richness of the archive.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Not every lens will be equally relevant to every entry.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However, the Systems lens should always be applied, as pattern identification is the core purpose of the archive. </w:t>
      </w:r>
      <w:r>
        <w:rPr>
          <w:rFonts w:ascii="Cambria" w:cs="Cambria" w:eastAsia="Cambria" w:hAnsi="Cambria"/>
          <w:b/>
          <w:bCs/>
          <w:color w:val="1A6B2A"/>
          <w:sz w:val="20"/>
          <w:szCs w:val="20"/>
          <w:vertAlign w:val="superscript"/>
        </w:rPr>
        <w:t xml:space="preserve">[F]</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200"/>
        <w:gridCol w:w="7160"/>
      </w:tblGrid>
      <w:tr>
        <w:trPr>
          <w:tblHeader/>
        </w:trPr>
        <w:tc>
          <w:tcPr>
            <w:tcW w:type="dxa" w:w="220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Lens</w:t>
            </w:r>
          </w:p>
        </w:tc>
        <w:tc>
          <w:tcPr>
            <w:tcW w:type="dxa" w:w="716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Primary Question</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Historical</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happened? What is the documented sequence of events?</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Psychological</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internal processes were involved? What was the subjective experience?</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Sociological</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social forces were involved? How did group dynamics shape outcomes?</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Civic</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public systems were involved? How did institutions engage or fail?</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Economic</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resource flows were involved? Who gained and who lost material value?</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Technical</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technologies influenced outcomes? How did tools shape possibilities?</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Legal</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regulations, rights, responsibilities, or governance structures applied?</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Creative</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artistic or narrative significance exists? What stories does this generate?</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Spiritual</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meaning-making frameworks were applied? What ultimate questions arise?</w:t>
            </w:r>
          </w:p>
        </w:tc>
      </w:tr>
      <w:tr>
        <w:tc>
          <w:tcPr>
            <w:tcW w:type="dxa" w:w="220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Systems</w:t>
            </w:r>
          </w:p>
        </w:tc>
        <w:tc>
          <w:tcPr>
            <w:tcW w:type="dxa" w:w="716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What recurring patterns emerge? How does this connect to larger dynamics?</w:t>
            </w:r>
          </w:p>
        </w:tc>
      </w:tr>
    </w:tbl>
    <w:p>
      <w:r>
        <w:br w:type="page"/>
      </w:r>
    </w:p>
    <w:p>
      <w:pPr>
        <w:pStyle w:val="Heading1"/>
      </w:pPr>
      <w:bookmarkStart w:name="sec-output" w:id="1"/>
      <w:r>
        <w:t xml:space="preserve">7.  Standard Output Format</w:t>
      </w:r>
      <w:bookmarkEnd w:id="1"/>
    </w:p>
    <w:p>
      <w:pPr>
        <w:spacing w:after="120" w:before="120"/>
      </w:pPr>
      <w:r>
        <w:rPr>
          <w:rFonts w:ascii="Cambria" w:cs="Cambria" w:eastAsia="Cambria" w:hAnsi="Cambria"/>
          <w:sz w:val="22"/>
          <w:szCs w:val="22"/>
        </w:rPr>
        <w:t xml:space="preserve">For every major topic, event, or inquiry within the archive, the following output format should be produced.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This format ensures consistency, completeness, and comparability across all archive entries. </w:t>
      </w:r>
      <w:r>
        <w:rPr>
          <w:rFonts w:ascii="Cambria" w:cs="Cambria" w:eastAsia="Cambria" w:hAnsi="Cambria"/>
          <w:b/>
          <w:bCs/>
          <w:color w:val="1F5C8B"/>
          <w:sz w:val="20"/>
          <w:szCs w:val="20"/>
          <w:vertAlign w:val="superscript"/>
        </w:rPr>
        <w:t xml:space="preserve">[I]</w:t>
      </w:r>
    </w:p>
    <w:p>
      <w:pPr>
        <w:pStyle w:val="Heading2"/>
      </w:pPr>
      <w:r>
        <w:t xml:space="preserve">7.1  Executive Summary</w:t>
      </w:r>
    </w:p>
    <w:p>
      <w:pPr>
        <w:spacing w:after="120" w:before="120"/>
      </w:pPr>
      <w:r>
        <w:rPr>
          <w:rFonts w:ascii="Cambria" w:cs="Cambria" w:eastAsia="Cambria" w:hAnsi="Cambria"/>
          <w:sz w:val="22"/>
          <w:szCs w:val="22"/>
        </w:rPr>
        <w:t xml:space="preserve">A concise overview of the topic, event, or inquiry. Should be readable as a standalone document. Maximum 200 words. </w:t>
      </w:r>
      <w:r>
        <w:rPr>
          <w:rFonts w:ascii="Cambria" w:cs="Cambria" w:eastAsia="Cambria" w:hAnsi="Cambria"/>
          <w:b/>
          <w:bCs/>
          <w:color w:val="1A6B2A"/>
          <w:sz w:val="20"/>
          <w:szCs w:val="20"/>
          <w:vertAlign w:val="superscript"/>
        </w:rPr>
        <w:t xml:space="preserve">[F]</w:t>
      </w:r>
    </w:p>
    <w:p>
      <w:pPr>
        <w:pStyle w:val="Heading2"/>
      </w:pPr>
      <w:r>
        <w:t xml:space="preserve">7.2  Evidence</w:t>
      </w:r>
    </w:p>
    <w:p>
      <w:pPr>
        <w:spacing w:after="120" w:before="120"/>
      </w:pPr>
      <w:r>
        <w:rPr>
          <w:rFonts w:ascii="Cambria" w:cs="Cambria" w:eastAsia="Cambria" w:hAnsi="Cambria"/>
          <w:sz w:val="22"/>
          <w:szCs w:val="22"/>
        </w:rPr>
        <w:t xml:space="preserve">A structured inventory of the evidence base. Only items classified as </w:t>
      </w:r>
      <w:r>
        <w:rPr>
          <w:rFonts w:ascii="Cambria" w:cs="Cambria" w:eastAsia="Cambria" w:hAnsi="Cambria"/>
          <w:b/>
          <w:bCs/>
          <w:sz w:val="22"/>
          <w:szCs w:val="22"/>
        </w:rPr>
        <w:t xml:space="preserve">FACT</w:t>
      </w:r>
      <w:r>
        <w:rPr>
          <w:rFonts w:ascii="Cambria" w:cs="Cambria" w:eastAsia="Cambria" w:hAnsi="Cambria"/>
          <w:sz w:val="22"/>
          <w:szCs w:val="22"/>
        </w:rPr>
        <w:t xml:space="preserve"> should appear in this section. </w:t>
      </w:r>
      <w:r>
        <w:rPr>
          <w:rFonts w:ascii="Cambria" w:cs="Cambria" w:eastAsia="Cambria" w:hAnsi="Cambria"/>
          <w:b/>
          <w:bCs/>
          <w:color w:val="1A6B2A"/>
          <w:sz w:val="20"/>
          <w:szCs w:val="20"/>
          <w:vertAlign w:val="superscript"/>
        </w:rPr>
        <w:t xml:space="preserve">[F]</w:t>
      </w:r>
    </w:p>
    <w:p>
      <w:pPr>
        <w:pStyle w:val="Heading2"/>
      </w:pPr>
      <w:r>
        <w:t xml:space="preserve">7.3  Observations</w:t>
      </w:r>
    </w:p>
    <w:p>
      <w:pPr>
        <w:spacing w:after="120" w:before="120"/>
      </w:pPr>
      <w:r>
        <w:rPr>
          <w:rFonts w:ascii="Cambria" w:cs="Cambria" w:eastAsia="Cambria" w:hAnsi="Cambria"/>
          <w:sz w:val="22"/>
          <w:szCs w:val="22"/>
        </w:rPr>
        <w:t xml:space="preserve">Direct observations only — what can be stated without interpretation. This section should read as a neutral, factual account. </w:t>
      </w:r>
      <w:r>
        <w:rPr>
          <w:rFonts w:ascii="Cambria" w:cs="Cambria" w:eastAsia="Cambria" w:hAnsi="Cambria"/>
          <w:b/>
          <w:bCs/>
          <w:color w:val="1A6B2A"/>
          <w:sz w:val="20"/>
          <w:szCs w:val="20"/>
          <w:vertAlign w:val="superscript"/>
        </w:rPr>
        <w:t xml:space="preserve">[F]</w:t>
      </w:r>
    </w:p>
    <w:p>
      <w:pPr>
        <w:pStyle w:val="Heading2"/>
      </w:pPr>
      <w:r>
        <w:t xml:space="preserve">7.4  Interpretations</w:t>
      </w:r>
    </w:p>
    <w:p>
      <w:pPr>
        <w:spacing w:after="120" w:before="120"/>
      </w:pPr>
      <w:r>
        <w:rPr>
          <w:rFonts w:ascii="Cambria" w:cs="Cambria" w:eastAsia="Cambria" w:hAnsi="Cambria"/>
          <w:sz w:val="22"/>
          <w:szCs w:val="22"/>
        </w:rPr>
        <w:t xml:space="preserve">Possible meanings and implications of the observations. Clearly marked as interpretive. Multiple competing interpretations should be presented where they exist. </w:t>
      </w:r>
      <w:r>
        <w:rPr>
          <w:rFonts w:ascii="Cambria" w:cs="Cambria" w:eastAsia="Cambria" w:hAnsi="Cambria"/>
          <w:b/>
          <w:bCs/>
          <w:color w:val="1F5C8B"/>
          <w:sz w:val="20"/>
          <w:szCs w:val="20"/>
          <w:vertAlign w:val="superscript"/>
        </w:rPr>
        <w:t xml:space="preserve">[I]</w:t>
      </w:r>
    </w:p>
    <w:p>
      <w:pPr>
        <w:pStyle w:val="Heading2"/>
      </w:pPr>
      <w:r>
        <w:t xml:space="preserve">7.5  Counterarguments</w:t>
      </w:r>
    </w:p>
    <w:p>
      <w:pPr>
        <w:spacing w:after="120" w:before="120"/>
      </w:pPr>
      <w:r>
        <w:rPr>
          <w:rFonts w:ascii="Cambria" w:cs="Cambria" w:eastAsia="Cambria" w:hAnsi="Cambria"/>
          <w:sz w:val="22"/>
          <w:szCs w:val="22"/>
        </w:rPr>
        <w:t xml:space="preserve">Alternative explanations and challenges to the primary analysis. Every significant interpretation should be tested against the strongest available counterargument. </w:t>
      </w:r>
      <w:r>
        <w:rPr>
          <w:rFonts w:ascii="Cambria" w:cs="Cambria" w:eastAsia="Cambria" w:hAnsi="Cambria"/>
          <w:b/>
          <w:bCs/>
          <w:color w:val="1F5C8B"/>
          <w:sz w:val="20"/>
          <w:szCs w:val="20"/>
          <w:vertAlign w:val="superscript"/>
        </w:rPr>
        <w:t xml:space="preserve">[I]</w:t>
      </w:r>
    </w:p>
    <w:p>
      <w:pPr>
        <w:pStyle w:val="Heading2"/>
      </w:pPr>
      <w:r>
        <w:t xml:space="preserve">7.6  Pattern Analysis</w:t>
      </w:r>
    </w:p>
    <w:p>
      <w:pPr>
        <w:spacing w:after="120" w:before="120"/>
      </w:pPr>
      <w:r>
        <w:rPr>
          <w:rFonts w:ascii="Cambria" w:cs="Cambria" w:eastAsia="Cambria" w:hAnsi="Cambria"/>
          <w:sz w:val="22"/>
          <w:szCs w:val="22"/>
        </w:rPr>
        <w:t xml:space="preserve">Recurring themes, structural similarities, and connections to other entries. The primary vehicle for fractal analysis. Patterns should be noted at multiple scales. </w:t>
      </w:r>
      <w:r>
        <w:rPr>
          <w:rFonts w:ascii="Cambria" w:cs="Cambria" w:eastAsia="Cambria" w:hAnsi="Cambria"/>
          <w:b/>
          <w:bCs/>
          <w:color w:val="B8860B"/>
          <w:sz w:val="20"/>
          <w:szCs w:val="20"/>
          <w:vertAlign w:val="superscript"/>
        </w:rPr>
        <w:t xml:space="preserve">[H]</w:t>
      </w:r>
    </w:p>
    <w:p>
      <w:pPr>
        <w:pStyle w:val="Heading2"/>
      </w:pPr>
      <w:r>
        <w:t xml:space="preserve">7.7  Practical Applications</w:t>
      </w:r>
    </w:p>
    <w:p>
      <w:pPr>
        <w:spacing w:after="120" w:before="120"/>
      </w:pPr>
      <w:r>
        <w:rPr>
          <w:rFonts w:ascii="Cambria" w:cs="Cambria" w:eastAsia="Cambria" w:hAnsi="Cambria"/>
          <w:sz w:val="22"/>
          <w:szCs w:val="22"/>
        </w:rPr>
        <w:t xml:space="preserve">Actionable insights derived from the analysis. What can be done differently? What interventions are suggested? </w:t>
      </w:r>
      <w:r>
        <w:rPr>
          <w:rFonts w:ascii="Cambria" w:cs="Cambria" w:eastAsia="Cambria" w:hAnsi="Cambria"/>
          <w:b/>
          <w:bCs/>
          <w:color w:val="1F5C8B"/>
          <w:sz w:val="20"/>
          <w:szCs w:val="20"/>
          <w:vertAlign w:val="superscript"/>
        </w:rPr>
        <w:t xml:space="preserve">[I]</w:t>
      </w:r>
    </w:p>
    <w:p>
      <w:pPr>
        <w:pStyle w:val="Heading2"/>
      </w:pPr>
      <w:r>
        <w:t xml:space="preserve">7.8  Future Opportunities</w:t>
      </w:r>
    </w:p>
    <w:p>
      <w:pPr>
        <w:spacing w:after="120" w:before="120"/>
      </w:pPr>
      <w:r>
        <w:rPr>
          <w:rFonts w:ascii="Cambria" w:cs="Cambria" w:eastAsia="Cambria" w:hAnsi="Cambria"/>
          <w:sz w:val="22"/>
          <w:szCs w:val="22"/>
        </w:rPr>
        <w:t xml:space="preserve">Potential future developments, research directions, and opportunities for expansion. What questions remain unanswered? </w:t>
      </w:r>
      <w:r>
        <w:rPr>
          <w:rFonts w:ascii="Cambria" w:cs="Cambria" w:eastAsia="Cambria" w:hAnsi="Cambria"/>
          <w:b/>
          <w:bCs/>
          <w:color w:val="666666"/>
          <w:sz w:val="20"/>
          <w:szCs w:val="20"/>
          <w:vertAlign w:val="superscript"/>
        </w:rPr>
        <w:t xml:space="preserve">[S]</w:t>
      </w:r>
    </w:p>
    <w:p>
      <w:r>
        <w:br w:type="page"/>
      </w:r>
    </w:p>
    <w:p>
      <w:pPr>
        <w:pStyle w:val="Heading1"/>
      </w:pPr>
      <w:bookmarkStart w:name="sec-principles" w:id="1"/>
      <w:r>
        <w:t xml:space="preserve">8.  Operating Principles</w:t>
      </w:r>
      <w:bookmarkEnd w:id="1"/>
    </w:p>
    <w:p>
      <w:pPr>
        <w:spacing w:after="120" w:before="120"/>
      </w:pPr>
      <w:r>
        <w:rPr>
          <w:rFonts w:ascii="Cambria" w:cs="Cambria" w:eastAsia="Cambria" w:hAnsi="Cambria"/>
          <w:sz w:val="22"/>
          <w:szCs w:val="22"/>
        </w:rPr>
        <w:t xml:space="preserve">The following principles govern all work within the archive.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They represent the values and commitments that give the project its integrity and direction.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When in doubt about how to proceed, return to these principles. </w:t>
      </w:r>
      <w:r>
        <w:rPr>
          <w:rFonts w:ascii="Cambria" w:cs="Cambria" w:eastAsia="Cambria" w:hAnsi="Cambria"/>
          <w:b/>
          <w:bCs/>
          <w:color w:val="1A6B2A"/>
          <w:sz w:val="20"/>
          <w:szCs w:val="20"/>
          <w:vertAlign w:val="superscript"/>
        </w:rPr>
        <w:t xml:space="preserve">[F]</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3120"/>
        <w:gridCol w:w="6240"/>
      </w:tblGrid>
      <w:tr>
        <w:trPr>
          <w:tblHeader/>
        </w:trPr>
        <w:tc>
          <w:tcPr>
            <w:tcW w:type="dxa" w:w="312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Principle</w:t>
            </w:r>
          </w:p>
        </w:tc>
        <w:tc>
          <w:tcPr>
            <w:tcW w:type="dxa" w:w="6240"/>
            <w:tcBorders>
              <w:top w:val="none" w:color="FFFFFF" w:sz="0"/>
              <w:left w:val="none" w:color="FFFFFF" w:sz="0"/>
              <w:bottom w:val="single" w:color="2E4057" w:sz="6"/>
              <w:right w:val="none" w:color="FFFFFF" w:sz="0"/>
            </w:tcBorders>
          </w:tcPr>
          <w:p>
            <w:r>
              <w:rPr>
                <w:rFonts w:ascii="Cambria" w:cs="Cambria" w:eastAsia="Cambria" w:hAnsi="Cambria"/>
                <w:b/>
                <w:bCs/>
                <w:sz w:val="22"/>
                <w:szCs w:val="22"/>
              </w:rPr>
              <w:t xml:space="preserve">Application</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Truth over comfort</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Document what is real, not what is flattering or reassuring. The archive serves truth, not ego.</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Evidence over assumption</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Ground every claim in verifiable evidence. Distinguish clearly between what is known and what is inferred.</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Transparency over mythology</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Be honest about the limits of knowledge. Do not allow compelling narratives to substitute for rigorous evidence.</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Curiosity over certainty</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Approach every question with genuine openness. Resist the temptation to foreclose inquiry with premature conclusions.</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Synthesis over fragmentation</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Actively seek connections between domains, projects, and time periods. The archive's value lies in integration.</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Preservation over loss</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Capture and retain knowledge, even when its significance is not yet clear. Future analysis may reveal value in what seems minor today.</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Human flourishing over ideology</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Evaluate all frameworks, theories, and proposals by their contribution to human wellbeing, not their ideological purity.</w:t>
            </w:r>
          </w:p>
        </w:tc>
      </w:tr>
      <w:tr>
        <w:tc>
          <w:tcPr>
            <w:tcW w:type="dxa" w:w="312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Long-term benefit over short-term validation</w:t>
            </w:r>
          </w:p>
        </w:tc>
        <w:tc>
          <w:tcPr>
            <w:tcW w:type="dxa" w:w="6240"/>
            <w:tcBorders>
              <w:top w:val="none" w:color="FFFFFF" w:sz="0"/>
              <w:left w:val="none" w:color="FFFFFF" w:sz="0"/>
              <w:bottom w:val="none" w:color="FFFFFF" w:sz="0"/>
              <w:right w:val="none" w:color="FFFFFF" w:sz="0"/>
            </w:tcBorders>
          </w:tcPr>
          <w:p>
            <w:r>
              <w:rPr>
                <w:rFonts w:ascii="Cambria" w:cs="Cambria" w:eastAsia="Cambria" w:hAnsi="Cambria"/>
                <w:b w:val="false"/>
                <w:bCs w:val="false"/>
                <w:sz w:val="22"/>
                <w:szCs w:val="22"/>
              </w:rPr>
              <w:t xml:space="preserve">Prioritize the archive's long-term value over immediate gratification or approval.</w:t>
            </w:r>
          </w:p>
        </w:tc>
      </w:tr>
    </w:tbl>
    <w:p>
      <w:r>
        <w:br w:type="page"/>
      </w:r>
    </w:p>
    <w:p>
      <w:pPr>
        <w:pStyle w:val="Heading1"/>
      </w:pPr>
      <w:bookmarkStart w:name="sec-objective" w:id="1"/>
      <w:r>
        <w:t xml:space="preserve">9.  Ultimate Objective &amp; Future Vision</w:t>
      </w:r>
      <w:bookmarkEnd w:id="1"/>
    </w:p>
    <w:p>
      <w:pPr>
        <w:pStyle w:val="Heading2"/>
      </w:pPr>
      <w:r>
        <w:t xml:space="preserve">9.1  The Living Archive</w:t>
      </w:r>
    </w:p>
    <w:p>
      <w:pPr>
        <w:spacing w:after="120" w:before="120"/>
      </w:pPr>
      <w:r>
        <w:rPr>
          <w:rFonts w:ascii="Cambria" w:cs="Cambria" w:eastAsia="Cambria" w:hAnsi="Cambria"/>
          <w:sz w:val="22"/>
          <w:szCs w:val="22"/>
        </w:rPr>
        <w:t xml:space="preserve">The ultimate objective of the Longitudinal Human Fractal Project is to create a living, self-supporting archive capable of generating value across multiple domains and time horizons.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The archive is designed to become increasingly valuable over time — not merely as a record of the past, but as a generative resource for the future. </w:t>
      </w:r>
      <w:r>
        <w:rPr>
          <w:rFonts w:ascii="Cambria" w:cs="Cambria" w:eastAsia="Cambria" w:hAnsi="Cambria"/>
          <w:b/>
          <w:bCs/>
          <w:color w:val="B8860B"/>
          <w:sz w:val="20"/>
          <w:szCs w:val="20"/>
          <w:vertAlign w:val="superscript"/>
        </w:rPr>
        <w:t xml:space="preserve">[H]</w:t>
      </w:r>
    </w:p>
    <w:p>
      <w:pPr>
        <w:pBdr>
          <w:left w:val="single" w:color="4F81BD" w:sz="12"/>
        </w:pBdr>
        <w:spacing w:after="160" w:before="160"/>
        <w:ind w:left="720"/>
      </w:pPr>
      <w:r>
        <w:rPr>
          <w:rFonts w:ascii="Cambria" w:cs="Cambria" w:eastAsia="Cambria" w:hAnsi="Cambria"/>
          <w:i/>
          <w:iCs/>
          <w:color w:val="444444"/>
          <w:sz w:val="22"/>
          <w:szCs w:val="22"/>
        </w:rPr>
        <w:t xml:space="preserve">The archive should become increasingly valuable over time and function as a reusable foundation for future generations seeking to understand the human condition during the transition from the industrial age to the AI age.</w:t>
      </w:r>
    </w:p>
    <w:p>
      <w:pPr>
        <w:pStyle w:val="Heading2"/>
      </w:pPr>
      <w:r>
        <w:t xml:space="preserve">9.2  Projected Outputs</w:t>
      </w:r>
    </w:p>
    <w:p>
      <w:pPr>
        <w:pStyle w:val="ListParagraph"/>
        <w:numPr>
          <w:ilvl w:val="0"/>
          <w:numId w:val="2"/>
        </w:numPr>
      </w:pPr>
      <w:r>
        <w:rPr>
          <w:rFonts w:ascii="Cambria" w:cs="Cambria" w:eastAsia="Cambria" w:hAnsi="Cambria"/>
          <w:b/>
          <w:bCs/>
          <w:sz w:val="22"/>
          <w:szCs w:val="22"/>
        </w:rPr>
        <w:t xml:space="preserve">Books — </w:t>
      </w:r>
      <w:r>
        <w:rPr>
          <w:rFonts w:ascii="Cambria" w:cs="Cambria" w:eastAsia="Cambria" w:hAnsi="Cambria"/>
          <w:sz w:val="22"/>
          <w:szCs w:val="22"/>
        </w:rPr>
        <w:t xml:space="preserve">Long-form narrative and analytical works drawing on the archive's accumulated material </w:t>
      </w:r>
      <w:r>
        <w:rPr>
          <w:rFonts w:ascii="Cambria" w:cs="Cambria" w:eastAsia="Cambria" w:hAnsi="Cambria"/>
          <w:b/>
          <w:bCs/>
          <w:color w:val="666666"/>
          <w:sz w:val="20"/>
          <w:szCs w:val="20"/>
          <w:vertAlign w:val="superscript"/>
        </w:rPr>
        <w:t xml:space="preserve">[S]</w:t>
      </w:r>
    </w:p>
    <w:p>
      <w:pPr>
        <w:pStyle w:val="ListParagraph"/>
        <w:numPr>
          <w:ilvl w:val="0"/>
          <w:numId w:val="2"/>
        </w:numPr>
      </w:pPr>
      <w:r>
        <w:rPr>
          <w:rFonts w:ascii="Cambria" w:cs="Cambria" w:eastAsia="Cambria" w:hAnsi="Cambria"/>
          <w:b/>
          <w:bCs/>
          <w:sz w:val="22"/>
          <w:szCs w:val="22"/>
        </w:rPr>
        <w:t xml:space="preserve">Research papers — </w:t>
      </w:r>
      <w:r>
        <w:rPr>
          <w:rFonts w:ascii="Cambria" w:cs="Cambria" w:eastAsia="Cambria" w:hAnsi="Cambria"/>
          <w:sz w:val="22"/>
          <w:szCs w:val="22"/>
        </w:rPr>
        <w:t xml:space="preserve">Academic contributions to fields including psychology, sociology, economics, and AI studies </w:t>
      </w:r>
      <w:r>
        <w:rPr>
          <w:rFonts w:ascii="Cambria" w:cs="Cambria" w:eastAsia="Cambria" w:hAnsi="Cambria"/>
          <w:b/>
          <w:bCs/>
          <w:color w:val="666666"/>
          <w:sz w:val="20"/>
          <w:szCs w:val="20"/>
          <w:vertAlign w:val="superscript"/>
        </w:rPr>
        <w:t xml:space="preserve">[S]</w:t>
      </w:r>
    </w:p>
    <w:p>
      <w:pPr>
        <w:pStyle w:val="ListParagraph"/>
        <w:numPr>
          <w:ilvl w:val="0"/>
          <w:numId w:val="2"/>
        </w:numPr>
      </w:pPr>
      <w:r>
        <w:rPr>
          <w:rFonts w:ascii="Cambria" w:cs="Cambria" w:eastAsia="Cambria" w:hAnsi="Cambria"/>
          <w:b/>
          <w:bCs/>
          <w:sz w:val="22"/>
          <w:szCs w:val="22"/>
        </w:rPr>
        <w:t xml:space="preserve">Community initiatives — </w:t>
      </w:r>
      <w:r>
        <w:rPr>
          <w:rFonts w:ascii="Cambria" w:cs="Cambria" w:eastAsia="Cambria" w:hAnsi="Cambria"/>
          <w:sz w:val="22"/>
          <w:szCs w:val="22"/>
        </w:rPr>
        <w:t xml:space="preserve">Practical programs and projects informed by the archive's findings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b/>
          <w:bCs/>
          <w:sz w:val="22"/>
          <w:szCs w:val="22"/>
        </w:rPr>
        <w:t xml:space="preserve">Educational resources — </w:t>
      </w:r>
      <w:r>
        <w:rPr>
          <w:rFonts w:ascii="Cambria" w:cs="Cambria" w:eastAsia="Cambria" w:hAnsi="Cambria"/>
          <w:sz w:val="22"/>
          <w:szCs w:val="22"/>
        </w:rPr>
        <w:t xml:space="preserve">Curricula, guides, and learning materials for diverse audiences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b/>
          <w:bCs/>
          <w:sz w:val="22"/>
          <w:szCs w:val="22"/>
        </w:rPr>
        <w:t xml:space="preserve">Creative works — </w:t>
      </w:r>
      <w:r>
        <w:rPr>
          <w:rFonts w:ascii="Cambria" w:cs="Cambria" w:eastAsia="Cambria" w:hAnsi="Cambria"/>
          <w:sz w:val="22"/>
          <w:szCs w:val="22"/>
        </w:rPr>
        <w:t xml:space="preserve">Fiction, poetry, music, and other artistic expressions emerging from the archive's material </w:t>
      </w:r>
      <w:r>
        <w:rPr>
          <w:rFonts w:ascii="Cambria" w:cs="Cambria" w:eastAsia="Cambria" w:hAnsi="Cambria"/>
          <w:b/>
          <w:bCs/>
          <w:color w:val="1F5C8B"/>
          <w:sz w:val="20"/>
          <w:szCs w:val="20"/>
          <w:vertAlign w:val="superscript"/>
        </w:rPr>
        <w:t xml:space="preserve">[I]</w:t>
      </w:r>
    </w:p>
    <w:p>
      <w:pPr>
        <w:pStyle w:val="ListParagraph"/>
        <w:numPr>
          <w:ilvl w:val="0"/>
          <w:numId w:val="2"/>
        </w:numPr>
      </w:pPr>
      <w:r>
        <w:rPr>
          <w:rFonts w:ascii="Cambria" w:cs="Cambria" w:eastAsia="Cambria" w:hAnsi="Cambria"/>
          <w:b/>
          <w:bCs/>
          <w:sz w:val="22"/>
          <w:szCs w:val="22"/>
        </w:rPr>
        <w:t xml:space="preserve">Governance frameworks — </w:t>
      </w:r>
      <w:r>
        <w:rPr>
          <w:rFonts w:ascii="Cambria" w:cs="Cambria" w:eastAsia="Cambria" w:hAnsi="Cambria"/>
          <w:sz w:val="22"/>
          <w:szCs w:val="22"/>
        </w:rPr>
        <w:t xml:space="preserve">Practical models for community and institutional governance informed by OmniStrux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b/>
          <w:bCs/>
          <w:sz w:val="22"/>
          <w:szCs w:val="22"/>
        </w:rPr>
        <w:t xml:space="preserve">Public policy insights — </w:t>
      </w:r>
      <w:r>
        <w:rPr>
          <w:rFonts w:ascii="Cambria" w:cs="Cambria" w:eastAsia="Cambria" w:hAnsi="Cambria"/>
          <w:sz w:val="22"/>
          <w:szCs w:val="22"/>
        </w:rPr>
        <w:t xml:space="preserve">Evidence-based recommendations for policy makers in housing, community development, and AI governance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b/>
          <w:bCs/>
          <w:sz w:val="22"/>
          <w:szCs w:val="22"/>
        </w:rPr>
        <w:t xml:space="preserve">AI collaboration studies — </w:t>
      </w:r>
      <w:r>
        <w:rPr>
          <w:rFonts w:ascii="Cambria" w:cs="Cambria" w:eastAsia="Cambria" w:hAnsi="Cambria"/>
          <w:sz w:val="22"/>
          <w:szCs w:val="22"/>
        </w:rPr>
        <w:t xml:space="preserve">Documentation and analysis of the human-AI collaborative process itself </w:t>
      </w:r>
      <w:r>
        <w:rPr>
          <w:rFonts w:ascii="Cambria" w:cs="Cambria" w:eastAsia="Cambria" w:hAnsi="Cambria"/>
          <w:b/>
          <w:bCs/>
          <w:color w:val="B8860B"/>
          <w:sz w:val="20"/>
          <w:szCs w:val="20"/>
          <w:vertAlign w:val="superscript"/>
        </w:rPr>
        <w:t xml:space="preserve">[H]</w:t>
      </w:r>
    </w:p>
    <w:p>
      <w:pPr>
        <w:pStyle w:val="ListParagraph"/>
        <w:numPr>
          <w:ilvl w:val="0"/>
          <w:numId w:val="2"/>
        </w:numPr>
      </w:pPr>
      <w:r>
        <w:rPr>
          <w:rFonts w:ascii="Cambria" w:cs="Cambria" w:eastAsia="Cambria" w:hAnsi="Cambria"/>
          <w:b/>
          <w:bCs/>
          <w:sz w:val="22"/>
          <w:szCs w:val="22"/>
        </w:rPr>
        <w:t xml:space="preserve">Future knowledge systems — </w:t>
      </w:r>
      <w:r>
        <w:rPr>
          <w:rFonts w:ascii="Cambria" w:cs="Cambria" w:eastAsia="Cambria" w:hAnsi="Cambria"/>
          <w:sz w:val="22"/>
          <w:szCs w:val="22"/>
        </w:rPr>
        <w:t xml:space="preserve">Contributions to the design of next-generation knowledge management and archival systems </w:t>
      </w:r>
      <w:r>
        <w:rPr>
          <w:rFonts w:ascii="Cambria" w:cs="Cambria" w:eastAsia="Cambria" w:hAnsi="Cambria"/>
          <w:b/>
          <w:bCs/>
          <w:color w:val="666666"/>
          <w:sz w:val="20"/>
          <w:szCs w:val="20"/>
          <w:vertAlign w:val="superscript"/>
        </w:rPr>
        <w:t xml:space="preserve">[S]</w:t>
      </w:r>
    </w:p>
    <w:p>
      <w:pPr>
        <w:pStyle w:val="Heading2"/>
      </w:pPr>
      <w:r>
        <w:t xml:space="preserve">9.3  The Fractal Hypothesis</w:t>
      </w:r>
    </w:p>
    <w:p>
      <w:pPr>
        <w:spacing w:after="120" w:before="120"/>
      </w:pPr>
      <w:r>
        <w:rPr>
          <w:rFonts w:ascii="Cambria" w:cs="Cambria" w:eastAsia="Cambria" w:hAnsi="Cambria"/>
          <w:sz w:val="22"/>
          <w:szCs w:val="22"/>
        </w:rPr>
        <w:t xml:space="preserve">The archive's central hypothesis — that patterns from a single human life scale across individuals, communities, institutions, and civilizations — will be tested through the accumulation of evidence and the application of the Standard Analysis Framework over time. </w:t>
      </w:r>
      <w:r>
        <w:rPr>
          <w:rFonts w:ascii="Cambria" w:cs="Cambria" w:eastAsia="Cambria" w:hAnsi="Cambria"/>
          <w:b/>
          <w:bCs/>
          <w:color w:val="B8860B"/>
          <w:sz w:val="20"/>
          <w:szCs w:val="20"/>
          <w:vertAlign w:val="superscript"/>
        </w:rPr>
        <w:t xml:space="preserve">[H]</w:t>
      </w:r>
      <w:r>
        <w:rPr>
          <w:rFonts w:ascii="Cambria" w:cs="Cambria" w:eastAsia="Cambria" w:hAnsi="Cambria"/>
          <w:sz w:val="22"/>
          <w:szCs w:val="22"/>
        </w:rPr>
        <w:t xml:space="preserve"> If the hypothesis is confirmed, the archive will demonstrate that sufficiently detailed documentation of a single life can yield insights applicable at civilizational scale. </w:t>
      </w:r>
      <w:r>
        <w:rPr>
          <w:rFonts w:ascii="Cambria" w:cs="Cambria" w:eastAsia="Cambria" w:hAnsi="Cambria"/>
          <w:b/>
          <w:bCs/>
          <w:color w:val="B8860B"/>
          <w:sz w:val="20"/>
          <w:szCs w:val="20"/>
          <w:vertAlign w:val="superscript"/>
        </w:rPr>
        <w:t xml:space="preserve">[H]</w:t>
      </w:r>
    </w:p>
    <w:p>
      <w:pPr>
        <w:pStyle w:val="Heading2"/>
      </w:pPr>
      <w:r>
        <w:t xml:space="preserve">9.4  Civilizational Context</w:t>
      </w:r>
    </w:p>
    <w:p>
      <w:pPr>
        <w:spacing w:after="120" w:before="120"/>
      </w:pPr>
      <w:r>
        <w:rPr>
          <w:rFonts w:ascii="Cambria" w:cs="Cambria" w:eastAsia="Cambria" w:hAnsi="Cambria"/>
          <w:sz w:val="22"/>
          <w:szCs w:val="22"/>
        </w:rPr>
        <w:t xml:space="preserve">The archive is explicitly situated within a moment of civilizational transition — the shift from the industrial age to the AI age. </w:t>
      </w:r>
      <w:r>
        <w:rPr>
          <w:rFonts w:ascii="Cambria" w:cs="Cambria" w:eastAsia="Cambria" w:hAnsi="Cambria"/>
          <w:b/>
          <w:bCs/>
          <w:color w:val="1F5C8B"/>
          <w:sz w:val="20"/>
          <w:szCs w:val="20"/>
          <w:vertAlign w:val="superscript"/>
        </w:rPr>
        <w:t xml:space="preserve">[I]</w:t>
      </w:r>
      <w:r>
        <w:rPr>
          <w:rFonts w:ascii="Cambria" w:cs="Cambria" w:eastAsia="Cambria" w:hAnsi="Cambria"/>
          <w:sz w:val="22"/>
          <w:szCs w:val="22"/>
        </w:rPr>
        <w:t xml:space="preserve"> This transition is characterized by the rapid development and deployment of artificial intelligence systems, the disruption of established economic, social, and institutional structures, and the emergence of new forms of human-machine collaboration and co-creation.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The archive is designed to be a resource for navigating this transition — not by providing definitive answers, but by documenting one human life's engagement with these challenges in sufficient detail to generate transferable insights. </w:t>
      </w:r>
      <w:r>
        <w:rPr>
          <w:rFonts w:ascii="Cambria" w:cs="Cambria" w:eastAsia="Cambria" w:hAnsi="Cambria"/>
          <w:b/>
          <w:bCs/>
          <w:color w:val="B8860B"/>
          <w:sz w:val="20"/>
          <w:szCs w:val="20"/>
          <w:vertAlign w:val="superscript"/>
        </w:rPr>
        <w:t xml:space="preserve">[H]</w:t>
      </w:r>
    </w:p>
    <w:p>
      <w:r>
        <w:br w:type="page"/>
      </w:r>
    </w:p>
    <w:p>
      <w:pPr>
        <w:pStyle w:val="Heading1"/>
      </w:pPr>
      <w:bookmarkStart w:name="sec-governance" w:id="1"/>
      <w:r>
        <w:t xml:space="preserve">10.  Archive Governance &amp; Versioning</w:t>
      </w:r>
      <w:bookmarkEnd w:id="1"/>
    </w:p>
    <w:p>
      <w:pPr>
        <w:pStyle w:val="Heading2"/>
      </w:pPr>
      <w:r>
        <w:t xml:space="preserve">10.1  Version Control</w:t>
      </w:r>
    </w:p>
    <w:p>
      <w:pPr>
        <w:spacing w:after="120" w:before="120"/>
      </w:pPr>
      <w:r>
        <w:rPr>
          <w:rFonts w:ascii="Cambria" w:cs="Cambria" w:eastAsia="Cambria" w:hAnsi="Cambria"/>
          <w:sz w:val="22"/>
          <w:szCs w:val="22"/>
        </w:rPr>
        <w:t xml:space="preserve">This document is designated Master Context Import v1.0.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Future versions should be numbered sequentially (v1.1, v1.2, v2.0, etc.).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All versions should be preserved in the archive. </w:t>
      </w:r>
      <w:r>
        <w:rPr>
          <w:rFonts w:ascii="Cambria" w:cs="Cambria" w:eastAsia="Cambria" w:hAnsi="Cambria"/>
          <w:b/>
          <w:bCs/>
          <w:color w:val="1A6B2A"/>
          <w:sz w:val="20"/>
          <w:szCs w:val="20"/>
          <w:vertAlign w:val="superscript"/>
        </w:rPr>
        <w:t xml:space="preserve">[F]</w:t>
      </w:r>
      <w:r>
        <w:rPr>
          <w:rFonts w:ascii="Cambria" w:cs="Cambria" w:eastAsia="Cambria" w:hAnsi="Cambria"/>
          <w:sz w:val="22"/>
          <w:szCs w:val="22"/>
        </w:rPr>
        <w:t xml:space="preserve"> The version history itself is part of the archive's evidence base, documenting the evolution of the project's understanding over time. </w:t>
      </w:r>
      <w:r>
        <w:rPr>
          <w:rFonts w:ascii="Cambria" w:cs="Cambria" w:eastAsia="Cambria" w:hAnsi="Cambria"/>
          <w:b/>
          <w:bCs/>
          <w:color w:val="1F5C8B"/>
          <w:sz w:val="20"/>
          <w:szCs w:val="20"/>
          <w:vertAlign w:val="superscript"/>
        </w:rPr>
        <w:t xml:space="preserve">[I]</w:t>
      </w:r>
    </w:p>
    <w:p>
      <w:pPr>
        <w:pStyle w:val="Heading2"/>
      </w:pPr>
      <w:r>
        <w:t xml:space="preserve">10.2  Entry Standards</w:t>
      </w:r>
    </w:p>
    <w:p>
      <w:pPr>
        <w:spacing w:after="120" w:before="120"/>
      </w:pPr>
      <w:r>
        <w:rPr>
          <w:rFonts w:ascii="Cambria" w:cs="Cambria" w:eastAsia="Cambria" w:hAnsi="Cambria"/>
          <w:sz w:val="22"/>
          <w:szCs w:val="22"/>
        </w:rPr>
        <w:t xml:space="preserve">All entries added to the archive should conform to the following standards: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Date stamping — </w:t>
      </w:r>
      <w:r>
        <w:rPr>
          <w:rFonts w:ascii="Cambria" w:cs="Cambria" w:eastAsia="Cambria" w:hAnsi="Cambria"/>
          <w:sz w:val="22"/>
          <w:szCs w:val="22"/>
        </w:rPr>
        <w:t xml:space="preserve">Every entry should include the date of creation and, where relevant, the date of the events described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Epistemic classification — </w:t>
      </w:r>
      <w:r>
        <w:rPr>
          <w:rFonts w:ascii="Cambria" w:cs="Cambria" w:eastAsia="Cambria" w:hAnsi="Cambria"/>
          <w:sz w:val="22"/>
          <w:szCs w:val="22"/>
        </w:rPr>
        <w:t xml:space="preserve">Every claim should be classified using the system defined in Section 5.2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Domain tagging — </w:t>
      </w:r>
      <w:r>
        <w:rPr>
          <w:rFonts w:ascii="Cambria" w:cs="Cambria" w:eastAsia="Cambria" w:hAnsi="Cambria"/>
          <w:sz w:val="22"/>
          <w:szCs w:val="22"/>
        </w:rPr>
        <w:t xml:space="preserve">Every entry should be tagged to one or more of the seven primary research domains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Project linkage — </w:t>
      </w:r>
      <w:r>
        <w:rPr>
          <w:rFonts w:ascii="Cambria" w:cs="Cambria" w:eastAsia="Cambria" w:hAnsi="Cambria"/>
          <w:sz w:val="22"/>
          <w:szCs w:val="22"/>
        </w:rPr>
        <w:t xml:space="preserve">Where relevant, entries should be linked to one or more of the five core projects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Identity notation — </w:t>
      </w:r>
      <w:r>
        <w:rPr>
          <w:rFonts w:ascii="Cambria" w:cs="Cambria" w:eastAsia="Cambria" w:hAnsi="Cambria"/>
          <w:sz w:val="22"/>
          <w:szCs w:val="22"/>
        </w:rPr>
        <w:t xml:space="preserve">Where relevant, entries should note which identity or identities were active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Source documentation — </w:t>
      </w:r>
      <w:r>
        <w:rPr>
          <w:rFonts w:ascii="Cambria" w:cs="Cambria" w:eastAsia="Cambria" w:hAnsi="Cambria"/>
          <w:sz w:val="22"/>
          <w:szCs w:val="22"/>
        </w:rPr>
        <w:t xml:space="preserve">All factual claims should be supported by documented sources </w:t>
      </w:r>
      <w:r>
        <w:rPr>
          <w:rFonts w:ascii="Cambria" w:cs="Cambria" w:eastAsia="Cambria" w:hAnsi="Cambria"/>
          <w:b/>
          <w:bCs/>
          <w:color w:val="1A6B2A"/>
          <w:sz w:val="20"/>
          <w:szCs w:val="20"/>
          <w:vertAlign w:val="superscript"/>
        </w:rPr>
        <w:t xml:space="preserve">[F]</w:t>
      </w:r>
    </w:p>
    <w:p>
      <w:pPr>
        <w:pStyle w:val="Heading2"/>
      </w:pPr>
      <w:r>
        <w:t xml:space="preserve">10.3  AI Interaction Protocols</w:t>
      </w:r>
    </w:p>
    <w:p>
      <w:pPr>
        <w:spacing w:after="120" w:before="120"/>
      </w:pPr>
      <w:r>
        <w:rPr>
          <w:rFonts w:ascii="Cambria" w:cs="Cambria" w:eastAsia="Cambria" w:hAnsi="Cambria"/>
          <w:sz w:val="22"/>
          <w:szCs w:val="22"/>
        </w:rPr>
        <w:t xml:space="preserve">When AI systems interact with this archive, the following protocols apply: </w:t>
      </w:r>
      <w:r>
        <w:rPr>
          <w:rFonts w:ascii="Cambria" w:cs="Cambria" w:eastAsia="Cambria" w:hAnsi="Cambria"/>
          <w:b/>
          <w:bCs/>
          <w:color w:val="1A6B2A"/>
          <w:sz w:val="20"/>
          <w:szCs w:val="20"/>
          <w:vertAlign w:val="superscript"/>
        </w:rPr>
        <w:t xml:space="preserve">[F]</w:t>
      </w:r>
    </w:p>
    <w:p>
      <w:pPr>
        <w:pStyle w:val="ListParagraph"/>
        <w:numPr>
          <w:ilvl w:val="0"/>
          <w:numId w:val="3"/>
        </w:numPr>
      </w:pPr>
      <w:r>
        <w:rPr>
          <w:rFonts w:ascii="Cambria" w:cs="Cambria" w:eastAsia="Cambria" w:hAnsi="Cambria"/>
          <w:sz w:val="22"/>
          <w:szCs w:val="22"/>
        </w:rPr>
        <w:t xml:space="preserve">Read this document in its entirety before engaging with any specific entry or query. </w:t>
      </w:r>
      <w:r>
        <w:rPr>
          <w:rFonts w:ascii="Cambria" w:cs="Cambria" w:eastAsia="Cambria" w:hAnsi="Cambria"/>
          <w:b/>
          <w:bCs/>
          <w:color w:val="1A6B2A"/>
          <w:sz w:val="20"/>
          <w:szCs w:val="20"/>
          <w:vertAlign w:val="superscript"/>
        </w:rPr>
        <w:t xml:space="preserve">[F]</w:t>
      </w:r>
    </w:p>
    <w:p>
      <w:pPr>
        <w:pStyle w:val="ListParagraph"/>
        <w:numPr>
          <w:ilvl w:val="0"/>
          <w:numId w:val="3"/>
        </w:numPr>
      </w:pPr>
      <w:r>
        <w:rPr>
          <w:rFonts w:ascii="Cambria" w:cs="Cambria" w:eastAsia="Cambria" w:hAnsi="Cambria"/>
          <w:sz w:val="22"/>
          <w:szCs w:val="22"/>
        </w:rPr>
        <w:t xml:space="preserve">Apply the Standard Analysis Framework (Section 6) to all analytical work. </w:t>
      </w:r>
      <w:r>
        <w:rPr>
          <w:rFonts w:ascii="Cambria" w:cs="Cambria" w:eastAsia="Cambria" w:hAnsi="Cambria"/>
          <w:b/>
          <w:bCs/>
          <w:color w:val="1A6B2A"/>
          <w:sz w:val="20"/>
          <w:szCs w:val="20"/>
          <w:vertAlign w:val="superscript"/>
        </w:rPr>
        <w:t xml:space="preserve">[F]</w:t>
      </w:r>
    </w:p>
    <w:p>
      <w:pPr>
        <w:pStyle w:val="ListParagraph"/>
        <w:numPr>
          <w:ilvl w:val="0"/>
          <w:numId w:val="3"/>
        </w:numPr>
      </w:pPr>
      <w:r>
        <w:rPr>
          <w:rFonts w:ascii="Cambria" w:cs="Cambria" w:eastAsia="Cambria" w:hAnsi="Cambria"/>
          <w:sz w:val="22"/>
          <w:szCs w:val="22"/>
        </w:rPr>
        <w:t xml:space="preserve">Maintain strict epistemic classification (Section 5.2) in all outputs. </w:t>
      </w:r>
      <w:r>
        <w:rPr>
          <w:rFonts w:ascii="Cambria" w:cs="Cambria" w:eastAsia="Cambria" w:hAnsi="Cambria"/>
          <w:b/>
          <w:bCs/>
          <w:color w:val="1A6B2A"/>
          <w:sz w:val="20"/>
          <w:szCs w:val="20"/>
          <w:vertAlign w:val="superscript"/>
        </w:rPr>
        <w:t xml:space="preserve">[F]</w:t>
      </w:r>
    </w:p>
    <w:p>
      <w:pPr>
        <w:pStyle w:val="ListParagraph"/>
        <w:numPr>
          <w:ilvl w:val="0"/>
          <w:numId w:val="3"/>
        </w:numPr>
      </w:pPr>
      <w:r>
        <w:rPr>
          <w:rFonts w:ascii="Cambria" w:cs="Cambria" w:eastAsia="Cambria" w:hAnsi="Cambria"/>
          <w:sz w:val="22"/>
          <w:szCs w:val="22"/>
        </w:rPr>
        <w:t xml:space="preserve">Produce outputs in the Standard Output Format (Section 7) for all major topics. </w:t>
      </w:r>
      <w:r>
        <w:rPr>
          <w:rFonts w:ascii="Cambria" w:cs="Cambria" w:eastAsia="Cambria" w:hAnsi="Cambria"/>
          <w:b/>
          <w:bCs/>
          <w:color w:val="1A6B2A"/>
          <w:sz w:val="20"/>
          <w:szCs w:val="20"/>
          <w:vertAlign w:val="superscript"/>
        </w:rPr>
        <w:t xml:space="preserve">[F]</w:t>
      </w:r>
    </w:p>
    <w:p>
      <w:pPr>
        <w:pStyle w:val="ListParagraph"/>
        <w:numPr>
          <w:ilvl w:val="0"/>
          <w:numId w:val="3"/>
        </w:numPr>
      </w:pPr>
      <w:r>
        <w:rPr>
          <w:rFonts w:ascii="Cambria" w:cs="Cambria" w:eastAsia="Cambria" w:hAnsi="Cambria"/>
          <w:sz w:val="22"/>
          <w:szCs w:val="22"/>
        </w:rPr>
        <w:t xml:space="preserve">Adhere to the Operating Principles (Section 8) in all interactions. </w:t>
      </w:r>
      <w:r>
        <w:rPr>
          <w:rFonts w:ascii="Cambria" w:cs="Cambria" w:eastAsia="Cambria" w:hAnsi="Cambria"/>
          <w:b/>
          <w:bCs/>
          <w:color w:val="1A6B2A"/>
          <w:sz w:val="20"/>
          <w:szCs w:val="20"/>
          <w:vertAlign w:val="superscript"/>
        </w:rPr>
        <w:t xml:space="preserve">[F]</w:t>
      </w:r>
    </w:p>
    <w:p>
      <w:pPr>
        <w:pStyle w:val="ListParagraph"/>
        <w:numPr>
          <w:ilvl w:val="0"/>
          <w:numId w:val="3"/>
        </w:numPr>
      </w:pPr>
      <w:r>
        <w:rPr>
          <w:rFonts w:ascii="Cambria" w:cs="Cambria" w:eastAsia="Cambria" w:hAnsi="Cambria"/>
          <w:sz w:val="22"/>
          <w:szCs w:val="22"/>
        </w:rPr>
        <w:t xml:space="preserve">Treat the archive as a living dataset, not a static document. </w:t>
      </w:r>
      <w:r>
        <w:rPr>
          <w:rFonts w:ascii="Cambria" w:cs="Cambria" w:eastAsia="Cambria" w:hAnsi="Cambria"/>
          <w:b/>
          <w:bCs/>
          <w:color w:val="1F5C8B"/>
          <w:sz w:val="20"/>
          <w:szCs w:val="20"/>
          <w:vertAlign w:val="superscript"/>
        </w:rPr>
        <w:t xml:space="preserve">[I]</w:t>
      </w:r>
    </w:p>
    <w:p>
      <w:pPr>
        <w:pStyle w:val="ListParagraph"/>
        <w:numPr>
          <w:ilvl w:val="0"/>
          <w:numId w:val="3"/>
        </w:numPr>
      </w:pPr>
      <w:r>
        <w:rPr>
          <w:rFonts w:ascii="Cambria" w:cs="Cambria" w:eastAsia="Cambria" w:hAnsi="Cambria"/>
          <w:sz w:val="22"/>
          <w:szCs w:val="22"/>
        </w:rPr>
        <w:t xml:space="preserve">Distinguish clearly between the primary subject's voice and AI-generated synthesis. </w:t>
      </w:r>
      <w:r>
        <w:rPr>
          <w:rFonts w:ascii="Cambria" w:cs="Cambria" w:eastAsia="Cambria" w:hAnsi="Cambria"/>
          <w:b/>
          <w:bCs/>
          <w:color w:val="1A6B2A"/>
          <w:sz w:val="20"/>
          <w:szCs w:val="20"/>
          <w:vertAlign w:val="superscript"/>
        </w:rPr>
        <w:t xml:space="preserve">[F]</w:t>
      </w:r>
    </w:p>
    <w:p>
      <w:pPr>
        <w:pStyle w:val="Heading2"/>
      </w:pPr>
      <w:r>
        <w:t xml:space="preserve">10.4  Confidentiality &amp; Sharing</w:t>
      </w:r>
    </w:p>
    <w:p>
      <w:pPr>
        <w:pStyle w:val="ListParagraph"/>
        <w:numPr>
          <w:ilvl w:val="0"/>
          <w:numId w:val="2"/>
        </w:numPr>
      </w:pPr>
      <w:r>
        <w:rPr>
          <w:rFonts w:ascii="Cambria" w:cs="Cambria" w:eastAsia="Cambria" w:hAnsi="Cambria"/>
          <w:b/>
          <w:bCs/>
          <w:sz w:val="22"/>
          <w:szCs w:val="22"/>
        </w:rPr>
        <w:t xml:space="preserve">Default confidentiality — </w:t>
      </w:r>
      <w:r>
        <w:rPr>
          <w:rFonts w:ascii="Cambria" w:cs="Cambria" w:eastAsia="Cambria" w:hAnsi="Cambria"/>
          <w:sz w:val="22"/>
          <w:szCs w:val="22"/>
        </w:rPr>
        <w:t xml:space="preserve">All archive material is confidential unless explicitly designated for public release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Informed consent — </w:t>
      </w:r>
      <w:r>
        <w:rPr>
          <w:rFonts w:ascii="Cambria" w:cs="Cambria" w:eastAsia="Cambria" w:hAnsi="Cambria"/>
          <w:sz w:val="22"/>
          <w:szCs w:val="22"/>
        </w:rPr>
        <w:t xml:space="preserve">Material involving other individuals should only be included with their knowledge and consent, or with appropriate anonymization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Research ethics — </w:t>
      </w:r>
      <w:r>
        <w:rPr>
          <w:rFonts w:ascii="Cambria" w:cs="Cambria" w:eastAsia="Cambria" w:hAnsi="Cambria"/>
          <w:sz w:val="22"/>
          <w:szCs w:val="22"/>
        </w:rPr>
        <w:t xml:space="preserve">Any use of archive material for research purposes should conform to applicable research ethics standards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Creative rights — </w:t>
      </w:r>
      <w:r>
        <w:rPr>
          <w:rFonts w:ascii="Cambria" w:cs="Cambria" w:eastAsia="Cambria" w:hAnsi="Cambria"/>
          <w:sz w:val="22"/>
          <w:szCs w:val="22"/>
        </w:rPr>
        <w:t xml:space="preserve">All creative works within the archive remain the intellectual property of Kristal Cornwell unless otherwise designated </w:t>
      </w:r>
      <w:r>
        <w:rPr>
          <w:rFonts w:ascii="Cambria" w:cs="Cambria" w:eastAsia="Cambria" w:hAnsi="Cambria"/>
          <w:b/>
          <w:bCs/>
          <w:color w:val="1A6B2A"/>
          <w:sz w:val="20"/>
          <w:szCs w:val="20"/>
          <w:vertAlign w:val="superscript"/>
        </w:rPr>
        <w:t xml:space="preserve">[F]</w:t>
      </w:r>
    </w:p>
    <w:p>
      <w:pPr>
        <w:pStyle w:val="ListParagraph"/>
        <w:numPr>
          <w:ilvl w:val="0"/>
          <w:numId w:val="2"/>
        </w:numPr>
      </w:pPr>
      <w:r>
        <w:rPr>
          <w:rFonts w:ascii="Cambria" w:cs="Cambria" w:eastAsia="Cambria" w:hAnsi="Cambria"/>
          <w:b/>
          <w:bCs/>
          <w:sz w:val="22"/>
          <w:szCs w:val="22"/>
        </w:rPr>
        <w:t xml:space="preserve">AI use boundaries — </w:t>
      </w:r>
      <w:r>
        <w:rPr>
          <w:rFonts w:ascii="Cambria" w:cs="Cambria" w:eastAsia="Cambria" w:hAnsi="Cambria"/>
          <w:sz w:val="22"/>
          <w:szCs w:val="22"/>
        </w:rPr>
        <w:t xml:space="preserve">AI systems may use archive material for analysis and synthesis within the scope of this document, but may not share, publish, or distribute archive material without explicit authorization </w:t>
      </w:r>
      <w:r>
        <w:rPr>
          <w:rFonts w:ascii="Cambria" w:cs="Cambria" w:eastAsia="Cambria" w:hAnsi="Cambria"/>
          <w:b/>
          <w:bCs/>
          <w:color w:val="1A6B2A"/>
          <w:sz w:val="20"/>
          <w:szCs w:val="20"/>
          <w:vertAlign w:val="superscript"/>
        </w:rPr>
        <w:t xml:space="preserve">[F]</w:t>
      </w:r>
    </w:p>
    <w:p>
      <w:pPr>
        <w:pBdr>
          <w:bottom w:val="single" w:color="CCCCCC" w:sz="4"/>
        </w:pBdr>
        <w:spacing w:after="200" w:before="200"/>
      </w:pPr>
      <w:r>
        <w:t xml:space="preserve"/>
      </w:r>
    </w:p>
    <w:p>
      <w:pPr>
        <w:spacing w:after="240" w:before="480"/>
        <w:jc w:val="center"/>
      </w:pPr>
      <w:r>
        <w:rPr>
          <w:rFonts w:ascii="Calibri(Headings)" w:cs="Calibri(Headings)" w:eastAsia="Calibri(Headings)" w:hAnsi="Calibri(Headings)"/>
          <w:b/>
          <w:bCs/>
          <w:color w:val="2E4057"/>
          <w:sz w:val="26"/>
          <w:szCs w:val="26"/>
        </w:rPr>
        <w:t xml:space="preserve">END OF MASTER CONTEXT IMPORT v1.0 — EPISTEMIC EDITION</w:t>
      </w:r>
    </w:p>
    <w:p>
      <w:pPr>
        <w:spacing w:after="120" w:before="0"/>
        <w:jc w:val="center"/>
      </w:pPr>
      <w:r>
        <w:rPr>
          <w:rFonts w:ascii="Cambria" w:cs="Cambria" w:eastAsia="Cambria" w:hAnsi="Cambria"/>
          <w:i/>
          <w:iCs/>
          <w:color w:val="555555"/>
          <w:sz w:val="22"/>
          <w:szCs w:val="22"/>
        </w:rPr>
        <w:t xml:space="preserve">Longitudinal Human Fractal Project  |  Primary Subject: Kristal Cornwell</w:t>
      </w:r>
    </w:p>
    <w:p>
      <w:pPr>
        <w:pBdr>
          <w:left w:val="single" w:color="4F81BD" w:sz="12"/>
        </w:pBdr>
        <w:spacing w:after="160" w:before="160"/>
        <w:ind w:left="720"/>
      </w:pPr>
      <w:r>
        <w:rPr>
          <w:rFonts w:ascii="Cambria" w:cs="Cambria" w:eastAsia="Cambria" w:hAnsi="Cambria"/>
          <w:i/>
          <w:iCs/>
          <w:color w:val="444444"/>
          <w:sz w:val="22"/>
          <w:szCs w:val="22"/>
        </w:rPr>
        <w:t xml:space="preserve">This archive is a living document. It grows with every experience documented, every pattern identified, every insight generated. It is not finished — it is becoming.</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1080" w:hanging="480"/>
      </w:pPr>
    </w:lvl>
  </w:abstractNum>
  <w:abstractNum w:abstractNumId="4" w15:restartNumberingAfterBreak="0">
    <w:multiLevelType w:val="hybridMultilevel"/>
    <w:lvl w:ilvl="0" w15:tentative="1">
      <w:start w:val="1"/>
      <w:numFmt w:val="decimal"/>
      <w:lvlText w:val="%1."/>
      <w:lvlJc w:val="left"/>
      <w:pPr>
        <w:ind w:left="720" w:hanging="480"/>
      </w:pPr>
    </w:lvl>
  </w:abstractNum>
  <w:abstractNum w:abstractNumId="5" w15:restartNumberingAfterBreak="0">
    <w:multiLevelType w:val="hybridMultilevel"/>
    <w:lvl w:ilvl="0" w15:tentative="1">
      <w:start w:val="1"/>
      <w:numFmt w:val="decimal"/>
      <w:lvlText w:val="%1."/>
      <w:lvlJc w:val="left"/>
      <w:pPr>
        <w:ind w:left="720" w:hanging="480"/>
      </w:pPr>
    </w:lvl>
  </w:abstractNum>
  <w:abstractNum w:abstractNumId="6"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before="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480"/>
      <w:jc w:val="center"/>
    </w:pPr>
    <w:rPr>
      <w:rFonts w:ascii="Calibri(Headings)" w:cs="Calibri(Headings)" w:eastAsia="Calibri(Headings)" w:hAnsi="Calibri(Headings)"/>
      <w:b/>
      <w:bCs/>
      <w:color w:val="2E4057"/>
      <w:sz w:val="48"/>
      <w:szCs w:val="48"/>
    </w:rPr>
  </w:style>
  <w:style w:type="paragraph" w:styleId="Heading1">
    <w:name w:val="Heading 1"/>
    <w:basedOn w:val="Normal"/>
    <w:next w:val="Normal"/>
    <w:qFormat/>
    <w:pPr>
      <w:spacing w:after="120" w:before="480"/>
    </w:pPr>
    <w:rPr>
      <w:rFonts w:ascii="Calibri(Headings)" w:cs="Calibri(Headings)" w:eastAsia="Calibri(Headings)" w:hAnsi="Calibri(Headings)"/>
      <w:b/>
      <w:bCs/>
      <w:color w:val="2E4057"/>
      <w:sz w:val="34"/>
      <w:szCs w:val="34"/>
    </w:rPr>
  </w:style>
  <w:style w:type="paragraph" w:styleId="Heading2">
    <w:name w:val="Heading 2"/>
    <w:basedOn w:val="Normal"/>
    <w:next w:val="Normal"/>
    <w:qFormat/>
    <w:pPr>
      <w:spacing w:after="80" w:before="280"/>
    </w:pPr>
    <w:rPr>
      <w:rFonts w:ascii="Calibri(Headings)" w:cs="Calibri(Headings)" w:eastAsia="Calibri(Headings)" w:hAnsi="Calibri(Headings)"/>
      <w:b/>
      <w:bCs/>
      <w:color w:val="4F81BD"/>
      <w:sz w:val="28"/>
      <w:szCs w:val="28"/>
    </w:rPr>
  </w:style>
  <w:style w:type="paragraph" w:styleId="Heading3">
    <w:name w:val="Heading 3"/>
    <w:basedOn w:val="Normal"/>
    <w:next w:val="Normal"/>
    <w:qFormat/>
    <w:pPr>
      <w:spacing w:after="60" w:before="200"/>
    </w:pPr>
    <w:rPr>
      <w:rFonts w:ascii="Calibri(Headings)" w:cs="Calibri(Headings)" w:eastAsia="Calibri(Headings)" w:hAnsi="Calibri(Headings)"/>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2026-05-30T10:04:24.407Z</dcterms:created>
  <dcterms:modified xsi:type="dcterms:W3CDTF">2026-05-30T10:04:24.410Z</dcterms:modified>
</cp:coreProperties>
</file>

<file path=docProps/custom.xml><?xml version="1.0" encoding="utf-8"?>
<Properties xmlns="http://schemas.openxmlformats.org/officeDocument/2006/custom-properties" xmlns:vt="http://schemas.openxmlformats.org/officeDocument/2006/docPropsVTypes"/>
</file>