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0085F" w14:textId="375DC187" w:rsidR="00EC4D68" w:rsidRPr="00375B51" w:rsidRDefault="00375B51" w:rsidP="00EC4D68">
      <w:pPr>
        <w:spacing w:line="480" w:lineRule="auto"/>
      </w:pPr>
      <w:r w:rsidRPr="00375B51">
        <w:t xml:space="preserve">This appendix is in support of the main manuscript: Wilson et al. (In Review). Life-history variation along environmental and harvest clines of a northern freshwater fish: plasticity and adaptation. </w:t>
      </w:r>
      <w:r w:rsidRPr="00375B51">
        <w:rPr>
          <w:i/>
        </w:rPr>
        <w:t>Journal of Animal Ecology</w:t>
      </w:r>
      <w:r w:rsidRPr="00375B51">
        <w:t>.</w:t>
      </w:r>
      <w:r w:rsidR="000872E5" w:rsidRPr="00375B51">
        <w:rPr>
          <w:noProof/>
        </w:rPr>
        <w:drawing>
          <wp:inline distT="0" distB="0" distL="0" distR="0" wp14:anchorId="39AFAEDC" wp14:editId="458209D9">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duals.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F6E22B1" w14:textId="699DD883" w:rsidR="00EC4D68" w:rsidRDefault="00EC4D68" w:rsidP="00EC4D68">
      <w:pPr>
        <w:spacing w:line="480" w:lineRule="auto"/>
      </w:pPr>
      <w:r>
        <w:t>Figure S</w:t>
      </w:r>
      <w:r w:rsidR="00946BFE">
        <w:t>6</w:t>
      </w:r>
      <w:r>
        <w:t>.1 – Posterior mean length versus observed length for lake trout (a), standardized residuals (b), and standardized residuals versus posterior mean length (c). Dashed blue line shows trend fitted with smoothing spline, dashed red line shows the zero-bias line.</w:t>
      </w:r>
    </w:p>
    <w:p w14:paraId="2F35B5A5" w14:textId="77777777" w:rsidR="00E76906" w:rsidRDefault="000872E5" w:rsidP="00E76906">
      <w:pPr>
        <w:spacing w:line="480" w:lineRule="auto"/>
      </w:pPr>
      <w:r>
        <w:rPr>
          <w:noProof/>
        </w:rPr>
        <w:lastRenderedPageBreak/>
        <w:drawing>
          <wp:inline distT="0" distB="0" distL="0" distR="0" wp14:anchorId="1793DD04" wp14:editId="423F13A6">
            <wp:extent cx="5943520" cy="67925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erior predictives.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520" cy="6792595"/>
                    </a:xfrm>
                    <a:prstGeom prst="rect">
                      <a:avLst/>
                    </a:prstGeom>
                  </pic:spPr>
                </pic:pic>
              </a:graphicData>
            </a:graphic>
          </wp:inline>
        </w:drawing>
      </w:r>
    </w:p>
    <w:p w14:paraId="3A865083" w14:textId="1EB1EF07" w:rsidR="00414EFC" w:rsidRDefault="00E76906" w:rsidP="00E76906">
      <w:pPr>
        <w:spacing w:line="480" w:lineRule="auto"/>
      </w:pPr>
      <w:r>
        <w:t>Figure S</w:t>
      </w:r>
      <w:r w:rsidR="00946BFE">
        <w:t>6</w:t>
      </w:r>
      <w:r w:rsidR="00EC4D68">
        <w:t>.2</w:t>
      </w:r>
      <w:r>
        <w:t xml:space="preserve"> – Observed (points) and posterior predictive distribution of size-at-age for six example lake trout populations that varied in sample size (N), and environmental features: degree-days (DD), total dissolved solids (TDS), prey fish species diversity, lake trout exploitation class (EC), and travel mode/distance. White circles show size-at-age of lake trout that lacked maturity data, blue squares show size-at-age of immature lake trout, orange triangles show size-at-age of mature lake trout.</w:t>
      </w:r>
      <w:r w:rsidRPr="007E0EAC">
        <w:t xml:space="preserve"> </w:t>
      </w:r>
      <w:r>
        <w:t>The 75% and 95% credible intervals shown in light and dark grey, respectively.</w:t>
      </w:r>
    </w:p>
    <w:p w14:paraId="4DCB75B3" w14:textId="77777777" w:rsidR="000872E5" w:rsidRDefault="000872E5">
      <w:pPr>
        <w:spacing w:line="259" w:lineRule="auto"/>
      </w:pPr>
      <w:r>
        <w:br w:type="page"/>
      </w:r>
    </w:p>
    <w:tbl>
      <w:tblPr>
        <w:tblW w:w="8683" w:type="dxa"/>
        <w:tblBorders>
          <w:bottom w:val="single" w:sz="4" w:space="0" w:color="auto"/>
        </w:tblBorders>
        <w:tblCellMar>
          <w:top w:w="15" w:type="dxa"/>
          <w:bottom w:w="15" w:type="dxa"/>
        </w:tblCellMar>
        <w:tblLook w:val="04A0" w:firstRow="1" w:lastRow="0" w:firstColumn="1" w:lastColumn="0" w:noHBand="0" w:noVBand="1"/>
      </w:tblPr>
      <w:tblGrid>
        <w:gridCol w:w="1515"/>
        <w:gridCol w:w="1413"/>
        <w:gridCol w:w="1515"/>
        <w:gridCol w:w="1413"/>
        <w:gridCol w:w="1413"/>
        <w:gridCol w:w="1414"/>
      </w:tblGrid>
      <w:tr w:rsidR="000872E5" w:rsidRPr="00C173A0" w14:paraId="71E347F2" w14:textId="77777777" w:rsidTr="0026544A">
        <w:trPr>
          <w:trHeight w:val="298"/>
        </w:trPr>
        <w:tc>
          <w:tcPr>
            <w:tcW w:w="8683" w:type="dxa"/>
            <w:gridSpan w:val="6"/>
            <w:tcBorders>
              <w:bottom w:val="single" w:sz="4" w:space="0" w:color="auto"/>
            </w:tcBorders>
            <w:noWrap/>
            <w:vAlign w:val="center"/>
            <w:hideMark/>
          </w:tcPr>
          <w:p w14:paraId="116F3224" w14:textId="34604C59" w:rsidR="000872E5" w:rsidRPr="00C173A0" w:rsidRDefault="000872E5" w:rsidP="00790121">
            <w:pPr>
              <w:spacing w:line="480" w:lineRule="auto"/>
              <w:rPr>
                <w:rFonts w:eastAsia="Times New Roman"/>
                <w:lang w:val="en-CA" w:eastAsia="en-CA"/>
              </w:rPr>
            </w:pPr>
            <w:r w:rsidRPr="00C173A0">
              <w:rPr>
                <w:rFonts w:eastAsia="Times New Roman"/>
                <w:color w:val="000000"/>
                <w:lang w:val="en-CA" w:eastAsia="en-CA"/>
              </w:rPr>
              <w:t xml:space="preserve">Table </w:t>
            </w:r>
            <w:r>
              <w:rPr>
                <w:rFonts w:eastAsia="Times New Roman"/>
                <w:color w:val="000000"/>
                <w:lang w:val="en-CA" w:eastAsia="en-CA"/>
              </w:rPr>
              <w:t>S</w:t>
            </w:r>
            <w:r w:rsidR="00946BFE">
              <w:rPr>
                <w:rFonts w:eastAsia="Times New Roman"/>
                <w:color w:val="000000"/>
                <w:lang w:val="en-CA" w:eastAsia="en-CA"/>
              </w:rPr>
              <w:t>6</w:t>
            </w:r>
            <w:r>
              <w:rPr>
                <w:rFonts w:eastAsia="Times New Roman"/>
                <w:color w:val="000000"/>
                <w:lang w:val="en-CA" w:eastAsia="en-CA"/>
              </w:rPr>
              <w:t xml:space="preserve">.1 – Posterior mean standardized correlations (ρ) between life-history traits of lake trout in western Canada. Traits estimated using multivariate </w:t>
            </w:r>
            <w:bookmarkStart w:id="0" w:name="_GoBack"/>
            <w:bookmarkEnd w:id="0"/>
            <w:r>
              <w:rPr>
                <w:rFonts w:eastAsia="Times New Roman"/>
                <w:color w:val="000000"/>
                <w:lang w:val="en-CA" w:eastAsia="en-CA"/>
              </w:rPr>
              <w:t>normal distribution and variance-covariance matrix.</w:t>
            </w:r>
          </w:p>
        </w:tc>
      </w:tr>
      <w:tr w:rsidR="000872E5" w:rsidRPr="00C173A0" w14:paraId="0BEC3DBD" w14:textId="77777777" w:rsidTr="0026544A">
        <w:trPr>
          <w:trHeight w:val="298"/>
        </w:trPr>
        <w:tc>
          <w:tcPr>
            <w:tcW w:w="1515" w:type="dxa"/>
            <w:tcBorders>
              <w:top w:val="single" w:sz="4" w:space="0" w:color="auto"/>
              <w:bottom w:val="single" w:sz="4" w:space="0" w:color="auto"/>
            </w:tcBorders>
            <w:noWrap/>
            <w:vAlign w:val="center"/>
            <w:hideMark/>
          </w:tcPr>
          <w:p w14:paraId="374C09F2" w14:textId="77777777" w:rsidR="000872E5" w:rsidRPr="00C173A0" w:rsidRDefault="000872E5" w:rsidP="00790121">
            <w:pPr>
              <w:spacing w:line="480" w:lineRule="auto"/>
              <w:rPr>
                <w:rFonts w:eastAsia="Times New Roman"/>
                <w:lang w:val="en-CA" w:eastAsia="en-CA"/>
              </w:rPr>
            </w:pPr>
          </w:p>
        </w:tc>
        <w:tc>
          <w:tcPr>
            <w:tcW w:w="1413" w:type="dxa"/>
            <w:tcBorders>
              <w:top w:val="single" w:sz="4" w:space="0" w:color="auto"/>
              <w:bottom w:val="single" w:sz="4" w:space="0" w:color="auto"/>
            </w:tcBorders>
            <w:noWrap/>
            <w:vAlign w:val="center"/>
            <w:hideMark/>
          </w:tcPr>
          <w:p w14:paraId="7B266CA4" w14:textId="4A49383D" w:rsidR="000872E5" w:rsidRPr="00C173A0" w:rsidRDefault="00B57C89" w:rsidP="00790121">
            <w:pPr>
              <w:spacing w:line="480" w:lineRule="auto"/>
              <w:jc w:val="center"/>
              <w:rPr>
                <w:rFonts w:eastAsia="Times New Roman"/>
                <w:color w:val="000000"/>
                <w:lang w:val="en-CA" w:eastAsia="en-CA"/>
              </w:rPr>
            </w:pPr>
            <m:oMathPara>
              <m:oMath>
                <m:r>
                  <w:rPr>
                    <w:rFonts w:ascii="Cambria Math" w:eastAsia="Times New Roman" w:hAnsi="Cambria Math"/>
                    <w:color w:val="000000"/>
                    <w:lang w:val="en-CA" w:eastAsia="en-CA"/>
                  </w:rPr>
                  <m:t>L50</m:t>
                </m:r>
              </m:oMath>
            </m:oMathPara>
          </w:p>
        </w:tc>
        <w:tc>
          <w:tcPr>
            <w:tcW w:w="1515" w:type="dxa"/>
            <w:tcBorders>
              <w:top w:val="single" w:sz="4" w:space="0" w:color="auto"/>
              <w:bottom w:val="single" w:sz="4" w:space="0" w:color="auto"/>
            </w:tcBorders>
            <w:noWrap/>
            <w:vAlign w:val="center"/>
            <w:hideMark/>
          </w:tcPr>
          <w:p w14:paraId="0C22C6B8" w14:textId="4AB8A9FC" w:rsidR="000872E5" w:rsidRPr="00C173A0" w:rsidRDefault="00B57C89" w:rsidP="00790121">
            <w:pPr>
              <w:spacing w:line="480" w:lineRule="auto"/>
              <w:jc w:val="center"/>
              <w:rPr>
                <w:rFonts w:eastAsia="Times New Roman"/>
                <w:color w:val="000000"/>
                <w:lang w:val="en-CA" w:eastAsia="en-CA"/>
              </w:rPr>
            </w:pPr>
            <m:oMathPara>
              <m:oMath>
                <m:r>
                  <w:rPr>
                    <w:rFonts w:ascii="Cambria Math" w:eastAsia="Times New Roman" w:hAnsi="Cambria Math"/>
                    <w:color w:val="000000"/>
                    <w:lang w:val="en-CA" w:eastAsia="en-CA"/>
                  </w:rPr>
                  <m:t>δ</m:t>
                </m:r>
              </m:oMath>
            </m:oMathPara>
          </w:p>
        </w:tc>
        <w:tc>
          <w:tcPr>
            <w:tcW w:w="1413" w:type="dxa"/>
            <w:tcBorders>
              <w:top w:val="single" w:sz="4" w:space="0" w:color="auto"/>
              <w:bottom w:val="single" w:sz="4" w:space="0" w:color="auto"/>
            </w:tcBorders>
            <w:noWrap/>
            <w:vAlign w:val="center"/>
            <w:hideMark/>
          </w:tcPr>
          <w:p w14:paraId="2D2E2D21" w14:textId="77777777" w:rsidR="000872E5" w:rsidRPr="00C173A0" w:rsidRDefault="000872E5" w:rsidP="00790121">
            <w:pPr>
              <w:spacing w:line="480" w:lineRule="auto"/>
              <w:jc w:val="center"/>
              <w:rPr>
                <w:rFonts w:eastAsia="Times New Roman"/>
                <w:color w:val="000000"/>
                <w:lang w:val="en-CA" w:eastAsia="en-CA"/>
              </w:rPr>
            </w:pPr>
            <m:oMathPara>
              <m:oMath>
                <m:r>
                  <w:rPr>
                    <w:rFonts w:ascii="Cambria Math" w:eastAsia="Times New Roman" w:hAnsi="Cambria Math"/>
                    <w:color w:val="000000"/>
                    <w:lang w:val="en-CA" w:eastAsia="en-CA"/>
                  </w:rPr>
                  <m:t>h</m:t>
                </m:r>
              </m:oMath>
            </m:oMathPara>
          </w:p>
        </w:tc>
        <w:tc>
          <w:tcPr>
            <w:tcW w:w="1413" w:type="dxa"/>
            <w:tcBorders>
              <w:top w:val="single" w:sz="4" w:space="0" w:color="auto"/>
              <w:bottom w:val="single" w:sz="4" w:space="0" w:color="auto"/>
            </w:tcBorders>
            <w:noWrap/>
            <w:vAlign w:val="center"/>
            <w:hideMark/>
          </w:tcPr>
          <w:p w14:paraId="5F860BE0" w14:textId="77777777" w:rsidR="000872E5" w:rsidRPr="00C173A0" w:rsidRDefault="009E4EA7" w:rsidP="00790121">
            <w:pPr>
              <w:spacing w:line="480" w:lineRule="auto"/>
              <w:jc w:val="center"/>
              <w:rPr>
                <w:rFonts w:eastAsia="Times New Roman"/>
                <w:color w:val="000000"/>
                <w:lang w:val="en-CA" w:eastAsia="en-CA"/>
              </w:rPr>
            </w:pPr>
            <m:oMathPara>
              <m:oMath>
                <m:sSub>
                  <m:sSubPr>
                    <m:ctrlPr>
                      <w:rPr>
                        <w:rFonts w:ascii="Cambria Math" w:eastAsia="Times New Roman" w:hAnsi="Cambria Math"/>
                        <w:i/>
                        <w:color w:val="000000"/>
                        <w:lang w:val="en-CA" w:eastAsia="en-CA"/>
                      </w:rPr>
                    </m:ctrlPr>
                  </m:sSubPr>
                  <m:e>
                    <m:r>
                      <w:rPr>
                        <w:rFonts w:ascii="Cambria Math" w:eastAsia="Times New Roman" w:hAnsi="Cambria Math"/>
                        <w:color w:val="000000"/>
                        <w:lang w:val="en-CA" w:eastAsia="en-CA"/>
                      </w:rPr>
                      <m:t>l</m:t>
                    </m:r>
                  </m:e>
                  <m:sub>
                    <m:r>
                      <w:rPr>
                        <w:rFonts w:ascii="Cambria Math" w:eastAsia="Times New Roman" w:hAnsi="Cambria Math"/>
                        <w:color w:val="000000"/>
                        <w:lang w:val="en-CA" w:eastAsia="en-CA"/>
                      </w:rPr>
                      <m:t>0</m:t>
                    </m:r>
                  </m:sub>
                </m:sSub>
              </m:oMath>
            </m:oMathPara>
          </w:p>
        </w:tc>
        <w:tc>
          <w:tcPr>
            <w:tcW w:w="1413" w:type="dxa"/>
            <w:tcBorders>
              <w:top w:val="single" w:sz="4" w:space="0" w:color="auto"/>
              <w:bottom w:val="single" w:sz="4" w:space="0" w:color="auto"/>
            </w:tcBorders>
            <w:noWrap/>
            <w:vAlign w:val="center"/>
            <w:hideMark/>
          </w:tcPr>
          <w:p w14:paraId="348275C1" w14:textId="77777777" w:rsidR="000872E5" w:rsidRPr="00C173A0" w:rsidRDefault="009E4EA7" w:rsidP="00790121">
            <w:pPr>
              <w:spacing w:line="480" w:lineRule="auto"/>
              <w:jc w:val="center"/>
              <w:rPr>
                <w:rFonts w:eastAsia="Times New Roman"/>
                <w:color w:val="000000"/>
                <w:lang w:val="en-CA" w:eastAsia="en-CA"/>
              </w:rPr>
            </w:pPr>
            <m:oMathPara>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g</m:t>
                    </m:r>
                  </m:e>
                </m:func>
              </m:oMath>
            </m:oMathPara>
          </w:p>
        </w:tc>
      </w:tr>
      <w:tr w:rsidR="000872E5" w:rsidRPr="00C173A0" w14:paraId="22946EAB" w14:textId="77777777" w:rsidTr="0026544A">
        <w:trPr>
          <w:trHeight w:val="298"/>
        </w:trPr>
        <w:tc>
          <w:tcPr>
            <w:tcW w:w="1515" w:type="dxa"/>
            <w:tcBorders>
              <w:top w:val="single" w:sz="4" w:space="0" w:color="auto"/>
            </w:tcBorders>
            <w:noWrap/>
            <w:vAlign w:val="center"/>
            <w:hideMark/>
          </w:tcPr>
          <w:p w14:paraId="01094039" w14:textId="07D3239D" w:rsidR="000872E5" w:rsidRPr="00C173A0" w:rsidRDefault="00B57C89" w:rsidP="00790121">
            <w:pPr>
              <w:spacing w:line="480" w:lineRule="auto"/>
              <w:rPr>
                <w:rFonts w:eastAsia="Times New Roman"/>
                <w:color w:val="000000"/>
                <w:lang w:val="en-CA" w:eastAsia="en-CA"/>
              </w:rPr>
            </w:pPr>
            <m:oMathPara>
              <m:oMathParaPr>
                <m:jc m:val="left"/>
              </m:oMathParaPr>
              <m:oMath>
                <m:r>
                  <w:rPr>
                    <w:rFonts w:ascii="Cambria Math" w:eastAsia="Times New Roman" w:hAnsi="Cambria Math"/>
                    <w:color w:val="000000"/>
                    <w:lang w:val="en-CA" w:eastAsia="en-CA"/>
                  </w:rPr>
                  <m:t>L50</m:t>
                </m:r>
              </m:oMath>
            </m:oMathPara>
          </w:p>
        </w:tc>
        <w:tc>
          <w:tcPr>
            <w:tcW w:w="1413" w:type="dxa"/>
            <w:tcBorders>
              <w:top w:val="single" w:sz="4" w:space="0" w:color="auto"/>
            </w:tcBorders>
            <w:noWrap/>
            <w:vAlign w:val="center"/>
            <w:hideMark/>
          </w:tcPr>
          <w:p w14:paraId="5AF185E6"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c>
          <w:tcPr>
            <w:tcW w:w="1515" w:type="dxa"/>
            <w:tcBorders>
              <w:top w:val="single" w:sz="4" w:space="0" w:color="auto"/>
            </w:tcBorders>
            <w:noWrap/>
            <w:vAlign w:val="center"/>
            <w:hideMark/>
          </w:tcPr>
          <w:p w14:paraId="7EAAB56C"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tcBorders>
              <w:top w:val="single" w:sz="4" w:space="0" w:color="auto"/>
            </w:tcBorders>
            <w:noWrap/>
            <w:vAlign w:val="center"/>
            <w:hideMark/>
          </w:tcPr>
          <w:p w14:paraId="75FEF8FA"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tcBorders>
              <w:top w:val="single" w:sz="4" w:space="0" w:color="auto"/>
            </w:tcBorders>
            <w:noWrap/>
            <w:vAlign w:val="center"/>
            <w:hideMark/>
          </w:tcPr>
          <w:p w14:paraId="51A27BB1"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tcBorders>
              <w:top w:val="single" w:sz="4" w:space="0" w:color="auto"/>
            </w:tcBorders>
            <w:noWrap/>
            <w:vAlign w:val="center"/>
            <w:hideMark/>
          </w:tcPr>
          <w:p w14:paraId="61700C4A"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r>
      <w:tr w:rsidR="000872E5" w:rsidRPr="00C173A0" w14:paraId="4750DDF3" w14:textId="77777777" w:rsidTr="0026544A">
        <w:trPr>
          <w:trHeight w:val="298"/>
        </w:trPr>
        <w:tc>
          <w:tcPr>
            <w:tcW w:w="1515" w:type="dxa"/>
            <w:noWrap/>
            <w:vAlign w:val="center"/>
            <w:hideMark/>
          </w:tcPr>
          <w:p w14:paraId="33664C4C" w14:textId="038A874E" w:rsidR="000872E5" w:rsidRPr="00C173A0" w:rsidRDefault="00B57C89" w:rsidP="00790121">
            <w:pPr>
              <w:spacing w:line="480" w:lineRule="auto"/>
              <w:rPr>
                <w:rFonts w:eastAsia="Times New Roman"/>
                <w:color w:val="000000"/>
                <w:lang w:val="en-CA" w:eastAsia="en-CA"/>
              </w:rPr>
            </w:pPr>
            <m:oMathPara>
              <m:oMathParaPr>
                <m:jc m:val="left"/>
              </m:oMathParaPr>
              <m:oMath>
                <m:r>
                  <w:rPr>
                    <w:rFonts w:ascii="Cambria Math" w:eastAsia="Times New Roman" w:hAnsi="Cambria Math"/>
                    <w:color w:val="000000"/>
                    <w:lang w:val="en-CA" w:eastAsia="en-CA"/>
                  </w:rPr>
                  <m:t>δ</m:t>
                </m:r>
              </m:oMath>
            </m:oMathPara>
          </w:p>
        </w:tc>
        <w:tc>
          <w:tcPr>
            <w:tcW w:w="1413" w:type="dxa"/>
            <w:noWrap/>
            <w:vAlign w:val="center"/>
            <w:hideMark/>
          </w:tcPr>
          <w:p w14:paraId="7689BF98" w14:textId="72640333"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w:t>
            </w:r>
            <w:r w:rsidR="00B57C89">
              <w:rPr>
                <w:rFonts w:eastAsia="Times New Roman"/>
                <w:color w:val="000000"/>
                <w:lang w:val="en-CA" w:eastAsia="en-CA"/>
              </w:rPr>
              <w:t>58</w:t>
            </w:r>
          </w:p>
        </w:tc>
        <w:tc>
          <w:tcPr>
            <w:tcW w:w="1515" w:type="dxa"/>
            <w:noWrap/>
            <w:vAlign w:val="center"/>
            <w:hideMark/>
          </w:tcPr>
          <w:p w14:paraId="1D882F12"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c>
          <w:tcPr>
            <w:tcW w:w="1413" w:type="dxa"/>
            <w:noWrap/>
            <w:vAlign w:val="center"/>
            <w:hideMark/>
          </w:tcPr>
          <w:p w14:paraId="0C827AF7"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noWrap/>
            <w:vAlign w:val="center"/>
            <w:hideMark/>
          </w:tcPr>
          <w:p w14:paraId="04B41CC4"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noWrap/>
            <w:vAlign w:val="center"/>
            <w:hideMark/>
          </w:tcPr>
          <w:p w14:paraId="0CC0462D"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r>
      <w:tr w:rsidR="000872E5" w:rsidRPr="00C173A0" w14:paraId="6529976B" w14:textId="77777777" w:rsidTr="0026544A">
        <w:trPr>
          <w:trHeight w:val="298"/>
        </w:trPr>
        <w:tc>
          <w:tcPr>
            <w:tcW w:w="1515" w:type="dxa"/>
            <w:noWrap/>
            <w:vAlign w:val="center"/>
            <w:hideMark/>
          </w:tcPr>
          <w:p w14:paraId="045F9690" w14:textId="77777777" w:rsidR="000872E5" w:rsidRPr="00C173A0" w:rsidRDefault="000872E5" w:rsidP="00790121">
            <w:pPr>
              <w:spacing w:line="480" w:lineRule="auto"/>
              <w:rPr>
                <w:rFonts w:eastAsia="Times New Roman"/>
                <w:color w:val="000000"/>
                <w:lang w:val="en-CA" w:eastAsia="en-CA"/>
              </w:rPr>
            </w:pPr>
            <m:oMathPara>
              <m:oMathParaPr>
                <m:jc m:val="left"/>
              </m:oMathParaPr>
              <m:oMath>
                <m:r>
                  <w:rPr>
                    <w:rFonts w:ascii="Cambria Math" w:eastAsia="Times New Roman" w:hAnsi="Cambria Math"/>
                    <w:color w:val="000000"/>
                    <w:lang w:val="en-CA" w:eastAsia="en-CA"/>
                  </w:rPr>
                  <m:t>h</m:t>
                </m:r>
              </m:oMath>
            </m:oMathPara>
          </w:p>
        </w:tc>
        <w:tc>
          <w:tcPr>
            <w:tcW w:w="1413" w:type="dxa"/>
            <w:noWrap/>
            <w:vAlign w:val="center"/>
            <w:hideMark/>
          </w:tcPr>
          <w:p w14:paraId="621FB946" w14:textId="5C3D82E6"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w:t>
            </w:r>
            <w:r w:rsidR="00B57C89">
              <w:rPr>
                <w:rFonts w:eastAsia="Times New Roman"/>
                <w:color w:val="000000"/>
                <w:lang w:val="en-CA" w:eastAsia="en-CA"/>
              </w:rPr>
              <w:t>31</w:t>
            </w:r>
          </w:p>
        </w:tc>
        <w:tc>
          <w:tcPr>
            <w:tcW w:w="1515" w:type="dxa"/>
            <w:noWrap/>
            <w:vAlign w:val="center"/>
            <w:hideMark/>
          </w:tcPr>
          <w:p w14:paraId="76139DA6" w14:textId="52666083"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w:t>
            </w:r>
            <w:r w:rsidR="00B57C89">
              <w:rPr>
                <w:rFonts w:eastAsia="Times New Roman"/>
                <w:color w:val="000000"/>
                <w:lang w:val="en-CA" w:eastAsia="en-CA"/>
              </w:rPr>
              <w:t>17</w:t>
            </w:r>
          </w:p>
        </w:tc>
        <w:tc>
          <w:tcPr>
            <w:tcW w:w="1413" w:type="dxa"/>
            <w:noWrap/>
            <w:vAlign w:val="center"/>
            <w:hideMark/>
          </w:tcPr>
          <w:p w14:paraId="6993E6BC"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c>
          <w:tcPr>
            <w:tcW w:w="1413" w:type="dxa"/>
            <w:noWrap/>
            <w:vAlign w:val="center"/>
            <w:hideMark/>
          </w:tcPr>
          <w:p w14:paraId="6A0796D5"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c>
          <w:tcPr>
            <w:tcW w:w="1413" w:type="dxa"/>
            <w:noWrap/>
            <w:vAlign w:val="center"/>
            <w:hideMark/>
          </w:tcPr>
          <w:p w14:paraId="40324FBB"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r>
      <w:tr w:rsidR="000872E5" w:rsidRPr="00C173A0" w14:paraId="417032E1" w14:textId="77777777" w:rsidTr="0026544A">
        <w:trPr>
          <w:trHeight w:val="298"/>
        </w:trPr>
        <w:tc>
          <w:tcPr>
            <w:tcW w:w="1515" w:type="dxa"/>
            <w:noWrap/>
            <w:vAlign w:val="center"/>
            <w:hideMark/>
          </w:tcPr>
          <w:p w14:paraId="07A2BF96" w14:textId="77777777" w:rsidR="000872E5" w:rsidRPr="00C173A0" w:rsidRDefault="009E4EA7" w:rsidP="00790121">
            <w:pPr>
              <w:spacing w:line="480" w:lineRule="auto"/>
              <w:rPr>
                <w:rFonts w:eastAsia="Times New Roman"/>
                <w:color w:val="000000"/>
                <w:lang w:val="en-CA" w:eastAsia="en-CA"/>
              </w:rPr>
            </w:pPr>
            <m:oMathPara>
              <m:oMathParaPr>
                <m:jc m:val="left"/>
              </m:oMathParaPr>
              <m:oMath>
                <m:sSub>
                  <m:sSubPr>
                    <m:ctrlPr>
                      <w:rPr>
                        <w:rFonts w:ascii="Cambria Math" w:eastAsia="Times New Roman" w:hAnsi="Cambria Math"/>
                        <w:i/>
                        <w:color w:val="000000"/>
                        <w:lang w:val="en-CA" w:eastAsia="en-CA"/>
                      </w:rPr>
                    </m:ctrlPr>
                  </m:sSubPr>
                  <m:e>
                    <m:r>
                      <w:rPr>
                        <w:rFonts w:ascii="Cambria Math" w:eastAsia="Times New Roman" w:hAnsi="Cambria Math"/>
                        <w:color w:val="000000"/>
                        <w:lang w:val="en-CA" w:eastAsia="en-CA"/>
                      </w:rPr>
                      <m:t>l</m:t>
                    </m:r>
                  </m:e>
                  <m:sub>
                    <m:r>
                      <w:rPr>
                        <w:rFonts w:ascii="Cambria Math" w:eastAsia="Times New Roman" w:hAnsi="Cambria Math"/>
                        <w:color w:val="000000"/>
                        <w:lang w:val="en-CA" w:eastAsia="en-CA"/>
                      </w:rPr>
                      <m:t>0</m:t>
                    </m:r>
                  </m:sub>
                </m:sSub>
              </m:oMath>
            </m:oMathPara>
          </w:p>
        </w:tc>
        <w:tc>
          <w:tcPr>
            <w:tcW w:w="1413" w:type="dxa"/>
            <w:noWrap/>
            <w:vAlign w:val="center"/>
            <w:hideMark/>
          </w:tcPr>
          <w:p w14:paraId="099C9D8F" w14:textId="76AABD90"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w:t>
            </w:r>
            <w:r w:rsidR="00B57C89">
              <w:rPr>
                <w:rFonts w:eastAsia="Times New Roman"/>
                <w:color w:val="000000"/>
                <w:lang w:val="en-CA" w:eastAsia="en-CA"/>
              </w:rPr>
              <w:t>31</w:t>
            </w:r>
          </w:p>
        </w:tc>
        <w:tc>
          <w:tcPr>
            <w:tcW w:w="1515" w:type="dxa"/>
            <w:noWrap/>
            <w:vAlign w:val="center"/>
            <w:hideMark/>
          </w:tcPr>
          <w:p w14:paraId="5855360A" w14:textId="05F869F5"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w:t>
            </w:r>
            <w:r w:rsidR="00B57C89">
              <w:rPr>
                <w:rFonts w:eastAsia="Times New Roman"/>
                <w:color w:val="000000"/>
                <w:lang w:val="en-CA" w:eastAsia="en-CA"/>
              </w:rPr>
              <w:t>16</w:t>
            </w:r>
          </w:p>
        </w:tc>
        <w:tc>
          <w:tcPr>
            <w:tcW w:w="1413" w:type="dxa"/>
            <w:noWrap/>
            <w:vAlign w:val="center"/>
            <w:hideMark/>
          </w:tcPr>
          <w:p w14:paraId="5806F539" w14:textId="2E6C4085"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w:t>
            </w:r>
            <w:r w:rsidR="00B57C89">
              <w:rPr>
                <w:rFonts w:eastAsia="Times New Roman"/>
                <w:color w:val="000000"/>
                <w:lang w:val="en-CA" w:eastAsia="en-CA"/>
              </w:rPr>
              <w:t>83</w:t>
            </w:r>
          </w:p>
        </w:tc>
        <w:tc>
          <w:tcPr>
            <w:tcW w:w="1413" w:type="dxa"/>
            <w:noWrap/>
            <w:vAlign w:val="center"/>
            <w:hideMark/>
          </w:tcPr>
          <w:p w14:paraId="1DFA7283"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c>
          <w:tcPr>
            <w:tcW w:w="1413" w:type="dxa"/>
            <w:noWrap/>
            <w:vAlign w:val="center"/>
            <w:hideMark/>
          </w:tcPr>
          <w:p w14:paraId="2C07C729"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w:t>
            </w:r>
          </w:p>
        </w:tc>
      </w:tr>
      <w:tr w:rsidR="000872E5" w:rsidRPr="00C173A0" w14:paraId="5CCCF260" w14:textId="77777777" w:rsidTr="0026544A">
        <w:trPr>
          <w:trHeight w:val="298"/>
        </w:trPr>
        <w:tc>
          <w:tcPr>
            <w:tcW w:w="1515" w:type="dxa"/>
            <w:noWrap/>
            <w:vAlign w:val="center"/>
            <w:hideMark/>
          </w:tcPr>
          <w:p w14:paraId="085CCA6B" w14:textId="77777777" w:rsidR="000872E5" w:rsidRPr="00C173A0" w:rsidRDefault="009E4EA7" w:rsidP="00790121">
            <w:pPr>
              <w:spacing w:line="480" w:lineRule="auto"/>
              <w:rPr>
                <w:rFonts w:eastAsia="Times New Roman"/>
                <w:color w:val="000000"/>
                <w:lang w:val="en-CA" w:eastAsia="en-CA"/>
              </w:rPr>
            </w:pPr>
            <m:oMathPara>
              <m:oMathParaPr>
                <m:jc m:val="left"/>
              </m:oMathParaPr>
              <m:oMath>
                <m:func>
                  <m:funcPr>
                    <m:ctrlPr>
                      <w:rPr>
                        <w:rFonts w:ascii="Cambria Math" w:eastAsia="Times New Roman" w:hAnsi="Cambria Math"/>
                        <w:i/>
                        <w:color w:val="000000"/>
                        <w:lang w:val="en-CA" w:eastAsia="en-CA"/>
                      </w:rPr>
                    </m:ctrlPr>
                  </m:funcPr>
                  <m:fName>
                    <m:r>
                      <m:rPr>
                        <m:sty m:val="p"/>
                      </m:rPr>
                      <w:rPr>
                        <w:rFonts w:ascii="Cambria Math" w:eastAsia="Times New Roman" w:hAnsi="Cambria Math"/>
                        <w:color w:val="000000"/>
                        <w:lang w:val="en-CA" w:eastAsia="en-CA"/>
                      </w:rPr>
                      <m:t>ln</m:t>
                    </m:r>
                  </m:fName>
                  <m:e>
                    <m:r>
                      <w:rPr>
                        <w:rFonts w:ascii="Cambria Math" w:eastAsia="Times New Roman" w:hAnsi="Cambria Math"/>
                        <w:color w:val="000000"/>
                        <w:lang w:val="en-CA" w:eastAsia="en-CA"/>
                      </w:rPr>
                      <m:t>g</m:t>
                    </m:r>
                  </m:e>
                </m:func>
              </m:oMath>
            </m:oMathPara>
          </w:p>
        </w:tc>
        <w:tc>
          <w:tcPr>
            <w:tcW w:w="1413" w:type="dxa"/>
            <w:noWrap/>
            <w:vAlign w:val="center"/>
            <w:hideMark/>
          </w:tcPr>
          <w:p w14:paraId="6ACE14D4" w14:textId="15352748"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w:t>
            </w:r>
            <w:r w:rsidR="00B57C89">
              <w:rPr>
                <w:rFonts w:eastAsia="Times New Roman"/>
                <w:color w:val="000000"/>
                <w:lang w:val="en-CA" w:eastAsia="en-CA"/>
              </w:rPr>
              <w:t>41</w:t>
            </w:r>
          </w:p>
        </w:tc>
        <w:tc>
          <w:tcPr>
            <w:tcW w:w="1515" w:type="dxa"/>
            <w:noWrap/>
            <w:vAlign w:val="center"/>
            <w:hideMark/>
          </w:tcPr>
          <w:p w14:paraId="7F01FE6D" w14:textId="267893AD"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w:t>
            </w:r>
            <w:r w:rsidR="00B57C89">
              <w:rPr>
                <w:rFonts w:eastAsia="Times New Roman"/>
                <w:color w:val="000000"/>
                <w:lang w:val="en-CA" w:eastAsia="en-CA"/>
              </w:rPr>
              <w:t>35</w:t>
            </w:r>
          </w:p>
        </w:tc>
        <w:tc>
          <w:tcPr>
            <w:tcW w:w="1413" w:type="dxa"/>
            <w:noWrap/>
            <w:vAlign w:val="center"/>
            <w:hideMark/>
          </w:tcPr>
          <w:p w14:paraId="0A8A8DB8" w14:textId="53A68C90"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0.8</w:t>
            </w:r>
            <w:r w:rsidR="00B57C89">
              <w:rPr>
                <w:rFonts w:eastAsia="Times New Roman"/>
                <w:color w:val="000000"/>
                <w:lang w:val="en-CA" w:eastAsia="en-CA"/>
              </w:rPr>
              <w:t>5</w:t>
            </w:r>
          </w:p>
        </w:tc>
        <w:tc>
          <w:tcPr>
            <w:tcW w:w="1413" w:type="dxa"/>
            <w:noWrap/>
            <w:vAlign w:val="center"/>
            <w:hideMark/>
          </w:tcPr>
          <w:p w14:paraId="006B7189" w14:textId="4A0A6D9D" w:rsidR="000872E5" w:rsidRPr="00C173A0" w:rsidRDefault="000872E5" w:rsidP="00790121">
            <w:pPr>
              <w:spacing w:line="480" w:lineRule="auto"/>
              <w:jc w:val="center"/>
              <w:rPr>
                <w:rFonts w:eastAsia="Times New Roman"/>
                <w:color w:val="000000"/>
                <w:lang w:val="en-CA" w:eastAsia="en-CA"/>
              </w:rPr>
            </w:pPr>
            <w:r w:rsidRPr="00C173A0">
              <w:rPr>
                <w:rFonts w:eastAsia="Times New Roman"/>
                <w:color w:val="000000"/>
                <w:lang w:val="en-CA" w:eastAsia="en-CA"/>
              </w:rPr>
              <w:t>-0.</w:t>
            </w:r>
            <w:r w:rsidR="00B57C89">
              <w:rPr>
                <w:rFonts w:eastAsia="Times New Roman"/>
                <w:color w:val="000000"/>
                <w:lang w:val="en-CA" w:eastAsia="en-CA"/>
              </w:rPr>
              <w:t>69</w:t>
            </w:r>
          </w:p>
        </w:tc>
        <w:tc>
          <w:tcPr>
            <w:tcW w:w="1413" w:type="dxa"/>
            <w:noWrap/>
            <w:vAlign w:val="center"/>
            <w:hideMark/>
          </w:tcPr>
          <w:p w14:paraId="34EF5642" w14:textId="77777777" w:rsidR="000872E5" w:rsidRPr="00C173A0" w:rsidRDefault="000872E5" w:rsidP="00790121">
            <w:pPr>
              <w:spacing w:line="480" w:lineRule="auto"/>
              <w:jc w:val="center"/>
              <w:rPr>
                <w:rFonts w:eastAsia="Times New Roman"/>
                <w:color w:val="000000"/>
                <w:lang w:val="en-CA" w:eastAsia="en-CA"/>
              </w:rPr>
            </w:pPr>
            <w:r>
              <w:rPr>
                <w:rFonts w:eastAsia="Times New Roman"/>
                <w:color w:val="000000"/>
                <w:lang w:val="en-CA" w:eastAsia="en-CA"/>
              </w:rPr>
              <w:t>1</w:t>
            </w:r>
          </w:p>
        </w:tc>
      </w:tr>
    </w:tbl>
    <w:p w14:paraId="3D7B2E65" w14:textId="77777777" w:rsidR="000872E5" w:rsidRDefault="000872E5" w:rsidP="000872E5">
      <w:pPr>
        <w:spacing w:after="160" w:line="480" w:lineRule="auto"/>
      </w:pPr>
    </w:p>
    <w:sectPr w:rsidR="000872E5" w:rsidSect="00E76906">
      <w:head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A7BB9" w14:textId="77777777" w:rsidR="009E4EA7" w:rsidRDefault="009E4EA7" w:rsidP="00A13FE2">
      <w:r>
        <w:separator/>
      </w:r>
    </w:p>
  </w:endnote>
  <w:endnote w:type="continuationSeparator" w:id="0">
    <w:p w14:paraId="01E75BF9" w14:textId="77777777" w:rsidR="009E4EA7" w:rsidRDefault="009E4EA7" w:rsidP="00A1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CFE03" w14:textId="77777777" w:rsidR="009E4EA7" w:rsidRDefault="009E4EA7" w:rsidP="00A13FE2">
      <w:r>
        <w:separator/>
      </w:r>
    </w:p>
  </w:footnote>
  <w:footnote w:type="continuationSeparator" w:id="0">
    <w:p w14:paraId="78078F71" w14:textId="77777777" w:rsidR="009E4EA7" w:rsidRDefault="009E4EA7" w:rsidP="00A13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3FBD7" w14:textId="69F50E9E" w:rsidR="00A13FE2" w:rsidRDefault="00A13FE2" w:rsidP="00A13FE2">
    <w:pPr>
      <w:spacing w:line="480" w:lineRule="auto"/>
      <w:jc w:val="center"/>
    </w:pPr>
    <w:r w:rsidRPr="00340652">
      <w:rPr>
        <w:b/>
      </w:rPr>
      <w:t>Appendix S</w:t>
    </w:r>
    <w:r w:rsidR="00946BFE">
      <w:rPr>
        <w:b/>
      </w:rPr>
      <w:t>6</w:t>
    </w:r>
    <w:r>
      <w:t>: Model diagnostics and variance-covariance matrix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06"/>
    <w:rsid w:val="000872E5"/>
    <w:rsid w:val="000C45B5"/>
    <w:rsid w:val="0026544A"/>
    <w:rsid w:val="00287535"/>
    <w:rsid w:val="00340652"/>
    <w:rsid w:val="00375B51"/>
    <w:rsid w:val="00414EFC"/>
    <w:rsid w:val="00543C4C"/>
    <w:rsid w:val="00567F21"/>
    <w:rsid w:val="00946BFE"/>
    <w:rsid w:val="009E4EA7"/>
    <w:rsid w:val="00A13FE2"/>
    <w:rsid w:val="00B57C89"/>
    <w:rsid w:val="00E76906"/>
    <w:rsid w:val="00E92CDD"/>
    <w:rsid w:val="00EC4D68"/>
    <w:rsid w:val="00FF22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A003"/>
  <w15:chartTrackingRefBased/>
  <w15:docId w15:val="{F41D2ACB-9ED6-4B06-8DF7-B22D458E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906"/>
    <w:pPr>
      <w:spacing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76906"/>
  </w:style>
  <w:style w:type="character" w:styleId="CommentReference">
    <w:name w:val="annotation reference"/>
    <w:basedOn w:val="DefaultParagraphFont"/>
    <w:uiPriority w:val="99"/>
    <w:semiHidden/>
    <w:unhideWhenUsed/>
    <w:rsid w:val="000872E5"/>
    <w:rPr>
      <w:sz w:val="16"/>
      <w:szCs w:val="16"/>
    </w:rPr>
  </w:style>
  <w:style w:type="paragraph" w:styleId="CommentText">
    <w:name w:val="annotation text"/>
    <w:basedOn w:val="Normal"/>
    <w:link w:val="CommentTextChar"/>
    <w:uiPriority w:val="99"/>
    <w:unhideWhenUsed/>
    <w:rsid w:val="000872E5"/>
    <w:rPr>
      <w:sz w:val="20"/>
      <w:szCs w:val="20"/>
    </w:rPr>
  </w:style>
  <w:style w:type="character" w:customStyle="1" w:styleId="CommentTextChar">
    <w:name w:val="Comment Text Char"/>
    <w:basedOn w:val="DefaultParagraphFont"/>
    <w:link w:val="CommentText"/>
    <w:uiPriority w:val="99"/>
    <w:rsid w:val="000872E5"/>
    <w:rPr>
      <w:rFonts w:ascii="Times New Roman" w:hAnsi="Times New Roman" w:cs="Times New Roman"/>
      <w:sz w:val="20"/>
      <w:szCs w:val="20"/>
      <w:lang w:val="en-US"/>
    </w:rPr>
  </w:style>
  <w:style w:type="paragraph" w:styleId="BalloonText">
    <w:name w:val="Balloon Text"/>
    <w:basedOn w:val="Normal"/>
    <w:link w:val="BalloonTextChar"/>
    <w:uiPriority w:val="99"/>
    <w:semiHidden/>
    <w:unhideWhenUsed/>
    <w:rsid w:val="000872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2E5"/>
    <w:rPr>
      <w:rFonts w:ascii="Segoe UI" w:hAnsi="Segoe UI" w:cs="Segoe UI"/>
      <w:sz w:val="18"/>
      <w:szCs w:val="18"/>
      <w:lang w:val="en-US"/>
    </w:rPr>
  </w:style>
  <w:style w:type="paragraph" w:styleId="Header">
    <w:name w:val="header"/>
    <w:basedOn w:val="Normal"/>
    <w:link w:val="HeaderChar"/>
    <w:uiPriority w:val="99"/>
    <w:unhideWhenUsed/>
    <w:rsid w:val="00A13FE2"/>
    <w:pPr>
      <w:tabs>
        <w:tab w:val="center" w:pos="4680"/>
        <w:tab w:val="right" w:pos="9360"/>
      </w:tabs>
    </w:pPr>
  </w:style>
  <w:style w:type="character" w:customStyle="1" w:styleId="HeaderChar">
    <w:name w:val="Header Char"/>
    <w:basedOn w:val="DefaultParagraphFont"/>
    <w:link w:val="Header"/>
    <w:uiPriority w:val="99"/>
    <w:rsid w:val="00A13FE2"/>
    <w:rPr>
      <w:rFonts w:ascii="Times New Roman" w:hAnsi="Times New Roman" w:cs="Times New Roman"/>
      <w:sz w:val="24"/>
      <w:szCs w:val="24"/>
      <w:lang w:val="en-US"/>
    </w:rPr>
  </w:style>
  <w:style w:type="paragraph" w:styleId="Footer">
    <w:name w:val="footer"/>
    <w:basedOn w:val="Normal"/>
    <w:link w:val="FooterChar"/>
    <w:uiPriority w:val="99"/>
    <w:unhideWhenUsed/>
    <w:rsid w:val="00A13FE2"/>
    <w:pPr>
      <w:tabs>
        <w:tab w:val="center" w:pos="4680"/>
        <w:tab w:val="right" w:pos="9360"/>
      </w:tabs>
    </w:pPr>
  </w:style>
  <w:style w:type="character" w:customStyle="1" w:styleId="FooterChar">
    <w:name w:val="Footer Char"/>
    <w:basedOn w:val="DefaultParagraphFont"/>
    <w:link w:val="Footer"/>
    <w:uiPriority w:val="99"/>
    <w:rsid w:val="00A13FE2"/>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Wilson</dc:creator>
  <cp:keywords/>
  <dc:description/>
  <cp:lastModifiedBy>Kyle Wilson</cp:lastModifiedBy>
  <cp:revision>8</cp:revision>
  <dcterms:created xsi:type="dcterms:W3CDTF">2017-12-12T20:30:00Z</dcterms:created>
  <dcterms:modified xsi:type="dcterms:W3CDTF">2018-11-07T16:38:00Z</dcterms:modified>
</cp:coreProperties>
</file>