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7824"/>
      </w:tblGrid>
      <w:tr>
        <w:tc>
          <w:tcPr>
            <w:tcW w:type="dxa" w:w="48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unjfs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30"/>
              </w:rPr>
              <w:t>UNIVERSIDAD NACIONAL JOSÉ FAUSTINO</w:t>
              <w:br/>
              <w:t>SÁNCHEZ CARRIÓN</w:t>
            </w:r>
          </w:p>
          <w:p>
            <w:pPr>
              <w:jc w:val="center"/>
            </w:pPr>
            <w:r>
              <w:rPr>
                <w:b/>
                <w:sz w:val="20"/>
              </w:rPr>
              <w:t>FACULTAD DE INGENIERÍA INDUSTRIAL, SISTEMAS E INFORMÁTICA</w:t>
            </w:r>
          </w:p>
        </w:tc>
      </w:tr>
    </w:tbl>
    <w:p>
      <w:pPr>
        <w:jc w:val="center"/>
      </w:pPr>
      <w:r>
        <w:rPr>
          <w:b/>
          <w:sz w:val="22"/>
        </w:rPr>
        <w:t>“ESCUELA PROFESIONAL DE INGENIERÍA DE SISTEMAS”</w:t>
      </w:r>
    </w:p>
    <w:p>
      <w:pPr>
        <w:jc w:val="center"/>
      </w:pPr>
      <w:r>
        <w:rPr>
          <w:b/>
          <w:sz w:val="38"/>
        </w:rPr>
        <w:t>COMPLEMENTO ESPECIALIZADO</w:t>
      </w:r>
    </w:p>
    <w:p>
      <w:pPr>
        <w:jc w:val="center"/>
      </w:pPr>
      <w:r>
        <w:rPr>
          <w:b/>
          <w:sz w:val="34"/>
        </w:rPr>
        <w:t>ATENCIÓN DE PEDIDOS</w:t>
      </w:r>
    </w:p>
    <w:p>
      <w:pPr>
        <w:jc w:val="center"/>
      </w:pPr>
      <w:r>
        <w:rPr>
          <w:b w:val="0"/>
          <w:sz w:val="26"/>
        </w:rPr>
        <w:t>Modelo de negocio y casos de uso del sistema</w:t>
      </w:r>
    </w:p>
    <w:p>
      <w:pPr>
        <w:jc w:val="left"/>
      </w:pPr>
      <w:r>
        <w:rPr>
          <w:b w:val="0"/>
        </w:rPr>
      </w:r>
    </w:p>
    <w:p>
      <w:pPr>
        <w:jc w:val="center"/>
      </w:pPr>
      <w:r>
        <w:rPr>
          <w:b/>
          <w:sz w:val="20"/>
        </w:rPr>
        <w:t>ESTUDIANTE:</w:t>
      </w:r>
    </w:p>
    <w:p>
      <w:pPr>
        <w:jc w:val="center"/>
      </w:pPr>
      <w:r>
        <w:rPr>
          <w:b w:val="0"/>
          <w:sz w:val="22"/>
        </w:rPr>
        <w:t>OLIVARES MORENO, PIERO ALEXANDER</w:t>
      </w:r>
    </w:p>
    <w:p>
      <w:pPr>
        <w:jc w:val="left"/>
      </w:pPr>
      <w:r>
        <w:rPr>
          <w:b w:val="0"/>
        </w:rPr>
      </w:r>
    </w:p>
    <w:p>
      <w:pPr>
        <w:jc w:val="center"/>
      </w:pPr>
      <w:r>
        <w:rPr>
          <w:b/>
          <w:sz w:val="20"/>
        </w:rPr>
        <w:t>DOCENTE:</w:t>
      </w:r>
    </w:p>
    <w:p>
      <w:pPr>
        <w:jc w:val="center"/>
      </w:pPr>
      <w:r>
        <w:rPr>
          <w:b w:val="0"/>
          <w:sz w:val="22"/>
        </w:rPr>
        <w:t>ING. RONALD D. FLORES FLORES</w:t>
      </w:r>
    </w:p>
    <w:p>
      <w:pPr>
        <w:jc w:val="left"/>
      </w:pPr>
      <w:r>
        <w:rPr>
          <w:b w:val="0"/>
        </w:rPr>
      </w:r>
    </w:p>
    <w:p>
      <w:pPr>
        <w:jc w:val="center"/>
      </w:pPr>
      <w:r>
        <w:rPr>
          <w:b/>
          <w:sz w:val="20"/>
        </w:rPr>
        <w:t>CICLO:</w:t>
      </w:r>
    </w:p>
    <w:p>
      <w:pPr>
        <w:jc w:val="center"/>
      </w:pPr>
      <w:r>
        <w:rPr>
          <w:b w:val="0"/>
          <w:sz w:val="22"/>
        </w:rPr>
        <w:t>V</w:t>
      </w:r>
    </w:p>
    <w:p>
      <w:pPr>
        <w:jc w:val="left"/>
      </w:pPr>
      <w:r>
        <w:rPr>
          <w:b w:val="0"/>
        </w:rPr>
      </w:r>
    </w:p>
    <w:p>
      <w:pPr>
        <w:jc w:val="center"/>
      </w:pPr>
      <w:r>
        <w:rPr>
          <w:b/>
          <w:sz w:val="26"/>
        </w:rPr>
        <w:t>HUACHO – 2026</w:t>
      </w:r>
    </w:p>
    <w:p>
      <w:pPr>
        <w:jc w:val="left"/>
        <w:pBdr>
          <w:bottom w:val="single" w:sz="12" w:color="D4A500"/>
        </w:pBdr>
      </w:pPr>
      <w:r>
        <w:rPr>
          <w:b w:val="0"/>
        </w:rPr>
      </w:r>
    </w:p>
    <w:p>
      <w:pPr>
        <w:jc w:val="left"/>
        <w:pBdr>
          <w:bottom w:val="single" w:sz="12" w:color="387AD3"/>
        </w:pBdr>
      </w:pPr>
      <w:r>
        <w:rPr>
          <w:b w:val="0"/>
        </w:rPr>
      </w:r>
    </w:p>
    <w:p>
      <w:r>
        <w:br w:type="page"/>
      </w:r>
    </w:p>
    <w:p>
      <w:pPr>
        <w:pStyle w:val="Title"/>
      </w:pPr>
      <w:r>
        <w:t>Atención de pedidos</w:t>
      </w:r>
    </w:p>
    <w:p>
      <w:pPr>
        <w:jc w:val="left"/>
      </w:pPr>
      <w:r>
        <w:rPr>
          <w:b w:val="0"/>
        </w:rPr>
        <w:t>La empresa recibe pedidos por medio de sus vendedores. Antes de aceptarlos, revisa los productos disponibles y el crédito del cliente. Luego prepara el pedido, lo despacha y envía la factura.</w:t>
      </w:r>
    </w:p>
    <w:p>
      <w:pPr>
        <w:pStyle w:val="Heading1"/>
      </w:pPr>
      <w:r>
        <w:t>1. Procesos del negocio</w:t>
      </w:r>
    </w:p>
    <w:p>
      <w:pPr>
        <w:jc w:val="left"/>
      </w:pPr>
      <w:r>
        <w:rPr>
          <w:b w:val="0"/>
        </w:rPr>
        <w:t>• Tomar pedido</w:t>
      </w:r>
    </w:p>
    <w:p>
      <w:pPr>
        <w:jc w:val="left"/>
      </w:pPr>
      <w:r>
        <w:rPr>
          <w:b w:val="0"/>
        </w:rPr>
        <w:t>• Evaluar y registrar pedido</w:t>
      </w:r>
    </w:p>
    <w:p>
      <w:pPr>
        <w:jc w:val="left"/>
      </w:pPr>
      <w:r>
        <w:rPr>
          <w:b w:val="0"/>
        </w:rPr>
        <w:t>• Verificar pedido impreso</w:t>
      </w:r>
    </w:p>
    <w:p>
      <w:pPr>
        <w:jc w:val="left"/>
      </w:pPr>
      <w:r>
        <w:rPr>
          <w:b w:val="0"/>
        </w:rPr>
        <w:t>• Preparar y embalar pedido</w:t>
      </w:r>
    </w:p>
    <w:p>
      <w:pPr>
        <w:jc w:val="left"/>
      </w:pPr>
      <w:r>
        <w:rPr>
          <w:b w:val="0"/>
        </w:rPr>
        <w:t>• Despachar pedido</w:t>
      </w:r>
    </w:p>
    <w:p>
      <w:pPr>
        <w:jc w:val="left"/>
      </w:pPr>
      <w:r>
        <w:rPr>
          <w:b w:val="0"/>
        </w:rPr>
        <w:t>• Facturar pedido</w:t>
      </w:r>
    </w:p>
    <w:p>
      <w:pPr>
        <w:pStyle w:val="Heading1"/>
      </w:pPr>
      <w:r>
        <w:t>2. Actores del negocio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B8B8"/>
          <w:left w:val="single" w:sz="4" w:color="B8B8B8"/>
          <w:bottom w:val="single" w:sz="4" w:color="B8B8B8"/>
          <w:right w:val="single" w:sz="4" w:color="B8B8B8"/>
          <w:insideH w:val="single" w:sz="4" w:color="B8B8B8"/>
          <w:insideV w:val="single" w:sz="4" w:color="B8B8B8"/>
        </w:tblBorders>
      </w:tblPr>
      <w:tblGrid>
        <w:gridCol w:w="1984"/>
        <w:gridCol w:w="2551"/>
        <w:gridCol w:w="4876"/>
      </w:tblGrid>
      <w:tr>
        <w:trPr>
          <w:tblHeader/>
          <w:cantSplit/>
        </w:trPr>
        <w:tc>
          <w:tcPr>
            <w:tcW w:type="dxa" w:w="3249"/>
            <w:shd w:fill="E8E8E8"/>
          </w:tcPr>
          <w:p>
            <w:pPr>
              <w:spacing w:before="120" w:after="120"/>
            </w:pPr>
            <w:r>
              <w:rPr>
                <w:b/>
                <w:sz w:val="21"/>
              </w:rPr>
              <w:t>Participante</w:t>
            </w:r>
          </w:p>
        </w:tc>
        <w:tc>
          <w:tcPr>
            <w:tcW w:type="dxa" w:w="3249"/>
            <w:shd w:fill="E8E8E8"/>
          </w:tcPr>
          <w:p>
            <w:pPr>
              <w:spacing w:before="120" w:after="120"/>
            </w:pPr>
            <w:r>
              <w:rPr>
                <w:b/>
                <w:sz w:val="21"/>
              </w:rPr>
              <w:t>Tipo</w:t>
            </w:r>
          </w:p>
        </w:tc>
        <w:tc>
          <w:tcPr>
            <w:tcW w:type="dxa" w:w="3249"/>
            <w:shd w:fill="E8E8E8"/>
          </w:tcPr>
          <w:p>
            <w:pPr>
              <w:spacing w:before="120" w:after="120"/>
            </w:pPr>
            <w:r>
              <w:rPr>
                <w:b/>
                <w:sz w:val="21"/>
              </w:rPr>
              <w:t>Qué hace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120" w:after="120"/>
            </w:pPr>
            <w:r>
              <w:rPr>
                <w:sz w:val="21"/>
              </w:rPr>
              <w:t>Cliente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rPr>
                <w:sz w:val="21"/>
              </w:rPr>
              <w:t>Actor externo</w:t>
            </w:r>
          </w:p>
        </w:tc>
        <w:tc>
          <w:tcPr>
            <w:tcW w:type="dxa" w:w="4876"/>
          </w:tcPr>
          <w:p>
            <w:pPr>
              <w:spacing w:before="120" w:after="120"/>
            </w:pPr>
            <w:r>
              <w:rPr>
                <w:sz w:val="21"/>
              </w:rPr>
              <w:t>Solicita productos y recibe la factura.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120" w:after="120"/>
            </w:pPr>
            <w:r>
              <w:rPr>
                <w:sz w:val="21"/>
              </w:rPr>
              <w:t>Vendedor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rPr>
                <w:sz w:val="21"/>
              </w:rPr>
              <w:t>Trabajador del negocio</w:t>
            </w:r>
          </w:p>
        </w:tc>
        <w:tc>
          <w:tcPr>
            <w:tcW w:type="dxa" w:w="4876"/>
          </w:tcPr>
          <w:p>
            <w:pPr>
              <w:spacing w:before="120" w:after="120"/>
            </w:pPr>
            <w:r>
              <w:rPr>
                <w:sz w:val="21"/>
              </w:rPr>
              <w:t>Toma el pedido y entrega el formato impreso.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120" w:after="120"/>
            </w:pPr>
            <w:r>
              <w:rPr>
                <w:sz w:val="21"/>
              </w:rPr>
              <w:t>Operadora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rPr>
                <w:sz w:val="21"/>
              </w:rPr>
              <w:t>Trabajadora del negocio</w:t>
            </w:r>
          </w:p>
        </w:tc>
        <w:tc>
          <w:tcPr>
            <w:tcW w:type="dxa" w:w="4876"/>
          </w:tcPr>
          <w:p>
            <w:pPr>
              <w:spacing w:before="120" w:after="120"/>
            </w:pPr>
            <w:r>
              <w:rPr>
                <w:sz w:val="21"/>
              </w:rPr>
              <w:t>Revisa existencias y crédito; registra y actualiza el pedido.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120" w:after="120"/>
            </w:pPr>
            <w:r>
              <w:rPr>
                <w:sz w:val="21"/>
              </w:rPr>
              <w:t>Despachador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rPr>
                <w:sz w:val="21"/>
              </w:rPr>
              <w:t>Trabajador del negocio</w:t>
            </w:r>
          </w:p>
        </w:tc>
        <w:tc>
          <w:tcPr>
            <w:tcW w:type="dxa" w:w="4876"/>
          </w:tcPr>
          <w:p>
            <w:pPr>
              <w:spacing w:before="120" w:after="120"/>
            </w:pPr>
            <w:r>
              <w:rPr>
                <w:sz w:val="21"/>
              </w:rPr>
              <w:t>Prepara el paquete y la nota de despacho.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120" w:after="120"/>
            </w:pPr>
            <w:r>
              <w:rPr>
                <w:sz w:val="21"/>
              </w:rPr>
              <w:t>Área de transportes</w:t>
            </w:r>
          </w:p>
        </w:tc>
        <w:tc>
          <w:tcPr>
            <w:tcW w:type="dxa" w:w="2551"/>
          </w:tcPr>
          <w:p>
            <w:pPr>
              <w:spacing w:before="120" w:after="120"/>
            </w:pPr>
            <w:r>
              <w:rPr>
                <w:sz w:val="21"/>
              </w:rPr>
              <w:t>Área interna</w:t>
            </w:r>
          </w:p>
        </w:tc>
        <w:tc>
          <w:tcPr>
            <w:tcW w:type="dxa" w:w="4876"/>
          </w:tcPr>
          <w:p>
            <w:pPr>
              <w:spacing w:before="120" w:after="120"/>
            </w:pPr>
            <w:r>
              <w:rPr>
                <w:sz w:val="21"/>
              </w:rPr>
              <w:t>Recibe el paquete y la nota de despacho.</w:t>
            </w:r>
          </w:p>
        </w:tc>
      </w:tr>
    </w:tbl>
    <w:p>
      <w:r>
        <w:br w:type="page"/>
      </w:r>
    </w:p>
    <w:p>
      <w:pPr>
        <w:pStyle w:val="Heading1"/>
      </w:pPr>
      <w:r>
        <w:t>Procesos y escenarios</w:t>
      </w:r>
    </w:p>
    <w:p>
      <w:pPr>
        <w:jc w:val="left"/>
      </w:pPr>
      <w:r>
        <w:t>La X indica quién participa en cada actividad.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222222"/>
          <w:left w:val="single" w:sz="5" w:color="222222"/>
          <w:bottom w:val="single" w:sz="5" w:color="222222"/>
          <w:right w:val="single" w:sz="5" w:color="222222"/>
          <w:insideH w:val="single" w:sz="5" w:color="222222"/>
          <w:insideV w:val="single" w:sz="5" w:color="222222"/>
        </w:tblBorders>
      </w:tblPr>
      <w:tblGrid>
        <w:gridCol w:w="1871"/>
        <w:gridCol w:w="3458"/>
        <w:gridCol w:w="680"/>
        <w:gridCol w:w="680"/>
        <w:gridCol w:w="680"/>
        <w:gridCol w:w="680"/>
        <w:gridCol w:w="680"/>
        <w:gridCol w:w="680"/>
      </w:tblGrid>
      <w:tr>
        <w:trPr>
          <w:trHeight w:val="397"/>
          <w:tblHeader/>
          <w:cantSplit/>
        </w:trPr>
        <w:tc>
          <w:tcPr>
            <w:tcW w:type="dxa" w:w="1871"/>
            <w:vMerge w:val="restart"/>
            <w:shd w:fill="222B3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ESCENARIO</w:t>
            </w:r>
          </w:p>
        </w:tc>
        <w:tc>
          <w:tcPr>
            <w:tcW w:type="dxa" w:w="3458"/>
            <w:vMerge w:val="restart"/>
            <w:shd w:fill="222B3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PROCESO</w:t>
            </w:r>
          </w:p>
        </w:tc>
        <w:tc>
          <w:tcPr>
            <w:tcW w:type="dxa" w:w="4080"/>
            <w:gridSpan w:val="6"/>
            <w:shd w:fill="222B35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ACTOR</w:t>
            </w:r>
          </w:p>
        </w:tc>
      </w:tr>
      <w:tr>
        <w:trPr>
          <w:trHeight w:val="1474"/>
          <w:tblHeader/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Merge/>
          </w:tcPr>
          <w:p/>
        </w:tc>
        <w:tc>
          <w:tcPr>
            <w:tcW w:type="dxa" w:w="680"/>
            <w:textDirection w:val="btLr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Cliente</w:t>
            </w:r>
          </w:p>
        </w:tc>
        <w:tc>
          <w:tcPr>
            <w:tcW w:type="dxa" w:w="680"/>
            <w:textDirection w:val="btLr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Vendedor</w:t>
            </w:r>
          </w:p>
        </w:tc>
        <w:tc>
          <w:tcPr>
            <w:tcW w:type="dxa" w:w="680"/>
            <w:textDirection w:val="btLr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Operadora</w:t>
            </w:r>
          </w:p>
        </w:tc>
        <w:tc>
          <w:tcPr>
            <w:tcW w:type="dxa" w:w="680"/>
            <w:textDirection w:val="btLr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Despachador</w:t>
            </w:r>
          </w:p>
        </w:tc>
        <w:tc>
          <w:tcPr>
            <w:tcW w:type="dxa" w:w="680"/>
            <w:textDirection w:val="btLr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Transportes</w:t>
            </w:r>
          </w:p>
        </w:tc>
        <w:tc>
          <w:tcPr>
            <w:tcW w:type="dxa" w:w="680"/>
            <w:textDirection w:val="btLr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Responsable de facturación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Tomar pedido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Solicitar productos y tomar el pedido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 w:val="restart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Evaluar y registrar pedido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Consultar existencias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Consultar crédito del cliente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Registrar el pedido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 w:val="restart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Verificar pedido impreso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Entregar el pedido impreso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Revisar datos y enviar copia a despacho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 w:val="restart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Preparar y embalar pedido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Retirar y embalar los productos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Identificar el paquete con el código del pedido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Preparar la nota de despacho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 w:val="restart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Despachar pedido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Entregar el paquete y la nota a transportes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Comunicar la salida del almacén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Marcar como atendido y habilitar facturación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871"/>
            <w:vMerge w:val="restart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Facturar pedido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Preparar y enviar la factura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1871"/>
            <w:vMerge/>
          </w:tcPr>
          <w:p/>
        </w:tc>
        <w:tc>
          <w:tcPr>
            <w:tcW w:type="dxa" w:w="3458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</w:pPr>
            <w:r>
              <w:rPr>
                <w:rFonts w:ascii="Calibri" w:hAnsi="Calibri"/>
                <w:sz w:val="18"/>
              </w:rPr>
              <w:t>Recibir la factura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  <w:tc>
          <w:tcPr>
            <w:tcW w:type="dxa" w:w="680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40" w:after="40" w:line="240" w:lineRule="auto"/>
              <w:jc w:val="center"/>
            </w:pPr>
          </w:p>
        </w:tc>
      </w:tr>
    </w:tbl>
    <w:p>
      <w:pPr>
        <w:pStyle w:val="Heading2"/>
      </w:pPr>
      <w:r>
        <w:t>Cómo se realiza la atención</w:t>
      </w:r>
    </w:p>
    <w:p>
      <w:pPr>
        <w:jc w:val="left"/>
      </w:pPr>
      <w:r>
        <w:rPr>
          <w:b w:val="0"/>
        </w:rPr>
        <w:t>El vendedor toma la solicitud y llama a la operadora. Ella revisa las existencias y el crédito del cliente antes de registrar el pedido. Después, el vendedor entrega el formato impreso para revisar los datos y enviar una copia a despacho.</w:t>
      </w:r>
    </w:p>
    <w:p>
      <w:pPr>
        <w:jc w:val="left"/>
      </w:pPr>
      <w:r>
        <w:rPr>
          <w:b w:val="0"/>
        </w:rPr>
        <w:t>El despachador prepara el paquete y la nota de despacho. Cuando el pedido sale del almacén, se informa a la operadora para marcarlo como atendido y habilitar su facturación. La factura se envía al cliente después del despacho.</w:t>
      </w:r>
    </w:p>
    <w:p>
      <w:r>
        <w:br w:type="page"/>
      </w:r>
    </w:p>
    <w:p>
      <w:pPr>
        <w:pStyle w:val="Heading1"/>
      </w:pPr>
      <w:r>
        <w:t>3. Modelo de casos de uso del negocio</w:t>
      </w:r>
    </w:p>
    <w:p>
      <w:pPr>
        <w:jc w:val="left"/>
      </w:pPr>
      <w:r>
        <w:rPr>
          <w:b w:val="0"/>
        </w:rPr>
        <w:t>El cliente se muestra como actor externo. El vendedor, la operadora, el despachador y transportes participan dentro de la empresa. Las conexiones indican quién interviene en cada proceso.</w:t>
      </w:r>
    </w:p>
    <w:p>
      <w:r>
        <w:drawing>
          <wp:inline xmlns:a="http://schemas.openxmlformats.org/drawingml/2006/main" xmlns:pic="http://schemas.openxmlformats.org/drawingml/2006/picture">
            <wp:extent cx="5652000" cy="5919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negocio_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91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18"/>
        </w:rPr>
        <w:t>Modelo de negocio de atención de pedidos.</w:t>
      </w:r>
    </w:p>
    <w:p>
      <w:r>
        <w:br w:type="page"/>
      </w:r>
    </w:p>
    <w:p>
      <w:pPr>
        <w:pStyle w:val="Heading1"/>
      </w:pPr>
      <w:r>
        <w:t>4. Diagrama de casos de uso del sistema</w:t>
        <w:br/>
        <w:t>Modelo de Requerimiento Funcional</w:t>
      </w:r>
    </w:p>
    <w:p>
      <w:r>
        <w:t>Este modelo muestra las funciones del sistema y quién las utiliza. La operadora revisa existencias y crédito, registra el pedido, verifica sus datos, actualiza su situación y habilita la facturación. El responsable de facturación emite la factura.</w:t>
      </w:r>
    </w:p>
    <w:p>
      <w:r>
        <w:drawing>
          <wp:inline xmlns:a="http://schemas.openxmlformats.org/drawingml/2006/main" xmlns:pic="http://schemas.openxmlformats.org/drawingml/2006/picture">
            <wp:extent cx="5940000" cy="44769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Requerimiento_Func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7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cliente y el vendedor no se muestran como usuarios del sistema: la solicitud se recibe por medio del vendedor y la consulta se hace por teléfono.</w:t>
      </w:r>
    </w:p>
    <w:p>
      <w:r>
        <w:rPr>
          <w:sz w:val="20"/>
        </w:rPr>
        <w:t>El caso no indica el cargo de quien prepara la factura. Se usa el rol «Responsable de facturación» para representar esa tarea; podría realizarla la misma operadora.</w:t>
      </w:r>
    </w:p>
    <w:p>
      <w:r>
        <w:br w:type="page"/>
      </w:r>
    </w:p>
    <w:p>
      <w:pPr>
        <w:pStyle w:val="Heading1"/>
      </w:pPr>
      <w:r>
        <w:t>5. Reglas de negocio</w:t>
      </w:r>
    </w:p>
    <w:p>
      <w:pPr>
        <w:jc w:val="left"/>
      </w:pPr>
      <w:r>
        <w:rPr>
          <w:b w:val="0"/>
        </w:rPr>
        <w:t>1. Antes de aceptar el pedido, se deben revisar las existencias de los productos solicitados.</w:t>
      </w:r>
    </w:p>
    <w:p>
      <w:pPr>
        <w:jc w:val="left"/>
      </w:pPr>
      <w:r>
        <w:rPr>
          <w:b w:val="0"/>
        </w:rPr>
        <w:t>2. También se debe revisar el crédito autorizado del cliente según el monto del pedido.</w:t>
      </w:r>
    </w:p>
    <w:p>
      <w:pPr>
        <w:jc w:val="left"/>
      </w:pPr>
      <w:r>
        <w:rPr>
          <w:b w:val="0"/>
        </w:rPr>
        <w:t>3. Las existencias y el crédito se consultan antes de registrar el pedido.</w:t>
      </w:r>
    </w:p>
    <w:p>
      <w:pPr>
        <w:jc w:val="left"/>
      </w:pPr>
      <w:r>
        <w:rPr>
          <w:b w:val="0"/>
        </w:rPr>
        <w:t>4. El registro debe incluir el número de pedido, el cliente, el vendedor y el monto total.</w:t>
      </w:r>
    </w:p>
    <w:p>
      <w:pPr>
        <w:jc w:val="left"/>
      </w:pPr>
      <w:r>
        <w:rPr>
          <w:b w:val="0"/>
        </w:rPr>
        <w:t>5. El vendedor debe entregar el pedido impreso en los formatos de la empresa.</w:t>
      </w:r>
    </w:p>
    <w:p>
      <w:pPr>
        <w:jc w:val="left"/>
      </w:pPr>
      <w:r>
        <w:rPr>
          <w:b w:val="0"/>
        </w:rPr>
        <w:t>6. Una copia del pedido se usa para revisar los datos registrados y otra se envía a despacho.</w:t>
      </w:r>
    </w:p>
    <w:p>
      <w:pPr>
        <w:jc w:val="left"/>
      </w:pPr>
      <w:r>
        <w:rPr>
          <w:b w:val="0"/>
        </w:rPr>
        <w:t>7. El área de despacho prepara el pedido con los productos retirados del almacén.</w:t>
      </w:r>
    </w:p>
    <w:p>
      <w:pPr>
        <w:jc w:val="left"/>
      </w:pPr>
      <w:r>
        <w:rPr>
          <w:b w:val="0"/>
        </w:rPr>
        <w:t>8. El paquete debe llevar el código del pedido.</w:t>
      </w:r>
    </w:p>
    <w:p>
      <w:pPr>
        <w:jc w:val="left"/>
      </w:pPr>
      <w:r>
        <w:rPr>
          <w:b w:val="0"/>
        </w:rPr>
        <w:t>9. La nota de despacho se prepara al embalar el pedido.</w:t>
      </w:r>
    </w:p>
    <w:p>
      <w:pPr>
        <w:jc w:val="left"/>
      </w:pPr>
      <w:r>
        <w:rPr>
          <w:b w:val="0"/>
        </w:rPr>
        <w:t>10. El paquete se entrega a transportes junto con la nota de despacho.</w:t>
      </w:r>
    </w:p>
    <w:p>
      <w:pPr>
        <w:jc w:val="left"/>
      </w:pPr>
      <w:r>
        <w:rPr>
          <w:b w:val="0"/>
        </w:rPr>
        <w:t>11. Al salir el paquete del almacén, se envía una copia de la nota a la operadora.</w:t>
      </w:r>
    </w:p>
    <w:p>
      <w:pPr>
        <w:jc w:val="left"/>
      </w:pPr>
      <w:r>
        <w:rPr>
          <w:b w:val="0"/>
        </w:rPr>
        <w:t>12. Con esa información, la operadora marca el pedido como atendido y habilita la facturación.</w:t>
      </w:r>
    </w:p>
    <w:p>
      <w:pPr>
        <w:jc w:val="left"/>
      </w:pPr>
      <w:r>
        <w:rPr>
          <w:b w:val="0"/>
        </w:rPr>
        <w:t>13. La factura se envía al cliente una vez despachado el producto.</w:t>
      </w:r>
    </w:p>
    <w:sectPr w:rsidR="00FC693F" w:rsidRPr="0006063C" w:rsidSect="00034616">
      <w:footerReference w:type="default" r:id="rId12"/>
      <w:pgSz w:w="12240" w:h="15840"/>
      <w:pgMar w:top="964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030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03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