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UNIVERSIDAD NACIONAL JOSÉ FAUSTINO</w:t>
        <w:br/>
        <w:t>SÁNCHEZ CARRIÓN</w:t>
      </w:r>
    </w:p>
    <w:p>
      <w:pPr>
        <w:jc w:val="center"/>
      </w:pPr>
      <w:r>
        <w:rPr>
          <w:b/>
          <w:sz w:val="22"/>
        </w:rPr>
        <w:t>FACULTAD DE INGENIERÍA INDUSTRIAL, SISTEMAS E INFORMÁTICA</w:t>
      </w:r>
    </w:p>
    <w:p>
      <w:pPr>
        <w:jc w:val="center"/>
      </w:pPr>
      <w:r>
        <w:rPr>
          <w:b/>
          <w:sz w:val="22"/>
        </w:rPr>
        <w:t>ESCUELA PROFESIONAL DE INGENIERÍA DE SISTEMAS</w:t>
      </w:r>
    </w:p>
    <w:p>
      <w:pPr>
        <w:jc w:val="left"/>
      </w:pPr>
      <w:r>
        <w:rPr>
          <w:b w:val="0"/>
        </w:rPr>
      </w:r>
    </w:p>
    <w:p>
      <w:pPr>
        <w:jc w:val="center"/>
      </w:pPr>
      <w:r>
        <w:rPr>
          <w:b/>
          <w:sz w:val="40"/>
        </w:rPr>
        <w:t>COMPLEMENTO ESPECIALIZADO</w:t>
      </w:r>
    </w:p>
    <w:p>
      <w:pPr>
        <w:jc w:val="center"/>
      </w:pPr>
      <w:r>
        <w:rPr>
          <w:b/>
          <w:sz w:val="34"/>
        </w:rPr>
        <w:t>MODELO DE CASOS DE USO DEL NEGOCIO</w:t>
      </w:r>
    </w:p>
    <w:p>
      <w:pPr>
        <w:jc w:val="center"/>
      </w:pPr>
      <w:r>
        <w:rPr>
          <w:b w:val="0"/>
          <w:sz w:val="30"/>
        </w:rPr>
        <w:t>Caso práctico: atención de pedidos</w:t>
      </w:r>
    </w:p>
    <w:p>
      <w:pPr>
        <w:jc w:val="left"/>
      </w:pPr>
      <w:r>
        <w:rPr>
          <w:b w:val="0"/>
        </w:rPr>
      </w:r>
    </w:p>
    <w:p>
      <w:pPr>
        <w:jc w:val="center"/>
      </w:pPr>
      <w:r>
        <w:rPr>
          <w:b/>
        </w:rPr>
        <w:t>ESTUDIANTE:</w:t>
      </w:r>
    </w:p>
    <w:p>
      <w:pPr>
        <w:jc w:val="center"/>
      </w:pPr>
      <w:r>
        <w:rPr>
          <w:b w:val="0"/>
        </w:rPr>
        <w:t>OLIVARES MORENO, PIERO ALEXANDER</w:t>
      </w:r>
    </w:p>
    <w:p>
      <w:pPr>
        <w:jc w:val="left"/>
      </w:pPr>
      <w:r>
        <w:rPr>
          <w:b w:val="0"/>
        </w:rPr>
      </w:r>
    </w:p>
    <w:p>
      <w:pPr>
        <w:jc w:val="center"/>
      </w:pPr>
      <w:r>
        <w:rPr>
          <w:b/>
        </w:rPr>
        <w:t>DOCENTE:</w:t>
      </w:r>
    </w:p>
    <w:p>
      <w:pPr>
        <w:jc w:val="center"/>
      </w:pPr>
      <w:r>
        <w:rPr>
          <w:b w:val="0"/>
        </w:rPr>
        <w:t>ING. RONALD D. FLORES FLORES</w:t>
      </w:r>
    </w:p>
    <w:p>
      <w:pPr>
        <w:jc w:val="left"/>
      </w:pPr>
      <w:r>
        <w:rPr>
          <w:b w:val="0"/>
        </w:rPr>
      </w:r>
    </w:p>
    <w:p>
      <w:pPr>
        <w:jc w:val="center"/>
      </w:pPr>
      <w:r>
        <w:rPr>
          <w:b/>
        </w:rPr>
        <w:t>CICLO:</w:t>
      </w:r>
    </w:p>
    <w:p>
      <w:pPr>
        <w:jc w:val="center"/>
      </w:pPr>
      <w:r>
        <w:rPr>
          <w:b w:val="0"/>
        </w:rPr>
        <w:t>V</w:t>
      </w:r>
    </w:p>
    <w:p>
      <w:pPr>
        <w:jc w:val="left"/>
      </w:pPr>
      <w:r>
        <w:rPr>
          <w:b w:val="0"/>
        </w:rPr>
      </w:r>
    </w:p>
    <w:p>
      <w:pPr>
        <w:jc w:val="center"/>
      </w:pPr>
      <w:r>
        <w:rPr>
          <w:b/>
          <w:sz w:val="28"/>
        </w:rPr>
        <w:t>HUACHO – 2026</w:t>
      </w:r>
    </w:p>
    <w:p>
      <w:pPr>
        <w:jc w:val="center"/>
      </w:pPr>
      <w:r>
        <w:rPr>
          <w:b w:val="0"/>
          <w:color w:val="D4A500"/>
        </w:rPr>
        <w:t>━━━━━━━━━━━━━━━━━━━━━━━━━━━━</w:t>
      </w:r>
    </w:p>
    <w:p>
      <w:pPr>
        <w:jc w:val="center"/>
      </w:pPr>
      <w:r>
        <w:rPr>
          <w:b w:val="0"/>
          <w:color w:val="387AD3"/>
        </w:rPr>
        <w:t>━━━━━━━━━━━━━━━━━━━━━━━━━━━━</w:t>
      </w:r>
    </w:p>
    <w:p>
      <w:r>
        <w:br w:type="page"/>
      </w:r>
    </w:p>
    <w:p>
      <w:pPr>
        <w:pStyle w:val="Title"/>
      </w:pPr>
      <w:r>
        <w:t>1. Análisis del caso</w:t>
      </w:r>
    </w:p>
    <w:p>
      <w:pPr>
        <w:jc w:val="left"/>
      </w:pPr>
      <w:r>
        <w:rPr>
          <w:b w:val="0"/>
        </w:rPr>
        <w:t>El negocio atiende pedidos captados por vendedores que visitan a sus clientes. La atención comprende la toma de la solicitud, la evaluación de existencias y crédito, el registro, la revisión documental, la preparación física, el despacho y la facturación. El resultado descrito es un pedido despachado y su factura enviada al cliente.</w:t>
      </w:r>
    </w:p>
    <w:p>
      <w:pPr>
        <w:jc w:val="left"/>
      </w:pPr>
      <w:r>
        <w:rPr>
          <w:b w:val="0"/>
        </w:rPr>
        <w:t>Alcance: únicamente el modelo de negocio. Se mantiene el estilo del ejemplo VentaLIBROS: actor de negocio externo, trabajadores internos, casos de uso de negocio y asociaciones dirigidas de participación. Los seis CUN descomponen el proceso general «Atender pedidos» con fines de análisis; no son pantallas ni funciones de software.</w:t>
      </w:r>
    </w:p>
    <w:p>
      <w:pPr>
        <w:pStyle w:val="Heading1"/>
      </w:pPr>
      <w:r>
        <w:t>2. Actores y trabajadores del negocio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/>
        </w:trPr>
        <w:tc>
          <w:tcPr>
            <w:tcW w:type="dxa" w:w="3249"/>
          </w:tcPr>
          <w:p>
            <w:r>
              <w:rPr>
                <w:sz w:val="20"/>
              </w:rPr>
              <w:t>Participante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Tipo / figura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Intervención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Cliente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Actor de negocio: muñeco con marca diagonal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Solicita productos al vendedor y recibe la factura. Es el beneficiario externo; no se afirma que use el sistema.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Vendedor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Trabajador de negocio: figura dentro de un círculo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Visita al cliente, toma su solicitud, llama a la operadora y entrega el pedido impreso.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Operadora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Trabajador de negocio: figura dentro de un círculo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Consulta existencias y crédito, registra el pedido, revisa el impreso y actualiza su situación para habilitar la facturación.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Despachador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Trabajador de negocio: figura dentro de un círculo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Retira mercancía, prepara y embala el pedido, identifica el paquete y elabora la nota de despacho.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Área de transportes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Trabajador de negocio: figura dentro de un círculo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Recibe el paquete y la nota de despacho. Se representa como rol interno; no se presume una empresa externa.</w:t>
            </w:r>
          </w:p>
        </w:tc>
      </w:tr>
    </w:tbl>
    <w:p>
      <w:pPr>
        <w:jc w:val="left"/>
      </w:pPr>
      <w:r>
        <w:rPr>
          <w:b w:val="0"/>
        </w:rPr>
        <w:t>El almacén es un área y una fuente de existencias, no un actor adicional identificado explícitamente. El teléfono, el archivo de pedidos, la cuenta corriente y el sistema son medios o recursos. No se agregan banco, administrador ni subtipos de cliente del ejemplo de libros.</w:t>
      </w:r>
    </w:p>
    <w:p>
      <w:r>
        <w:br w:type="page"/>
      </w:r>
    </w:p>
    <w:p>
      <w:pPr>
        <w:pStyle w:val="Heading1"/>
      </w:pPr>
      <w:r>
        <w:t>3. Tabla de actores, procesos y escenarios</w:t>
      </w:r>
    </w:p>
    <w:p>
      <w:pPr>
        <w:jc w:val="left"/>
      </w:pPr>
      <w:r>
        <w:rPr>
          <w:b w:val="0"/>
        </w:rPr>
        <w:t>Un escenario es una ejecución concreta del proceso: indica qué sucede, quién interviene y cuál es el resultado. Se separan los hechos del enunciado de las situaciones que requieren aclaración.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/>
        </w:trPr>
        <w:tc>
          <w:tcPr>
            <w:tcW w:type="dxa" w:w="3249"/>
          </w:tcPr>
          <w:p>
            <w:r>
              <w:rPr>
                <w:sz w:val="20"/>
              </w:rPr>
              <w:t>CUN / proceso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Actores o trabajadores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Escenario principal y resultado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CUN-01</w:t>
              <w:br/>
              <w:t>Tomar pedido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Cliente; vendedor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El vendedor visita al cliente y recoge el detalle de los productos solicitados.</w:t>
              <w:br/>
              <w:t>Resultado: Solicitud captada para consultar su atención.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CUN-02</w:t>
              <w:br/>
              <w:t>Evaluar y registrar pedido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Vendedor; operadora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El vendedor llama. La operadora consulta los saldos de almacén y el crédito autorizado en la cuenta corriente según el monto. Si es atendible, registra número de pedido, cliente, vendedor y monto total.</w:t>
              <w:br/>
              <w:t>Resultado: Pedido registrado después de ambas comprobaciones.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CUN-03</w:t>
              <w:br/>
              <w:t>Verificar pedido impreso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Vendedor; operadora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El vendedor entrega el pedido impreso en los formatos de la empresa. Una copia se contrasta con el registro y otra se remite al área de despacho.</w:t>
              <w:br/>
              <w:t>Resultado: Datos contrastados y copia disponible para despacho.</w:t>
            </w:r>
          </w:p>
        </w:tc>
      </w:tr>
    </w:tbl>
    <w:p>
      <w:r>
        <w:br w:type="page"/>
      </w:r>
    </w:p>
    <w:p>
      <w:pPr>
        <w:pStyle w:val="Heading1"/>
      </w:pPr>
      <w:r>
        <w:t>3. Tabla de actores, procesos y escenarios (continuación)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/>
        </w:trPr>
        <w:tc>
          <w:tcPr>
            <w:tcW w:type="dxa" w:w="3249"/>
          </w:tcPr>
          <w:p>
            <w:r>
              <w:rPr>
                <w:sz w:val="20"/>
              </w:rPr>
              <w:t>CUN / proceso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Actores o trabajadores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Escenario principal y resultado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CUN-04</w:t>
              <w:br/>
              <w:t>Preparar y embalar pedido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Despachador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Despacho retira del almacén los productos solicitados, prepara el pedido físico, lo embala, asigna al paquete el código del pedido y elabora la nota de despacho.</w:t>
              <w:br/>
              <w:t>Resultado: Paquete identificado y nota de despacho preparada.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CUN-05</w:t>
              <w:br/>
              <w:t>Despachar pedido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Despachador; área de transportes; operadora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Se remiten el paquete y la nota al área de transportes. Cuando el paquete sale del almacén, una copia de la nota se envía a la operadora para marcar el pedido como atendido y habilitar la facturación.</w:t>
              <w:br/>
              <w:t>Resultado: Salida comunicada, pedido atendido y facturación habilitada.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  <w:t>CUN-06</w:t>
              <w:br/>
              <w:t>Facturar pedido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Operadora; cliente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  <w:t>Con la opción habilitada se prepara la factura del pedido y se envía al cliente una vez despachado el producto.</w:t>
              <w:br/>
              <w:t>Resultado: Factura preparada y enviada al cliente.</w:t>
            </w:r>
          </w:p>
        </w:tc>
      </w:tr>
    </w:tbl>
    <w:p>
      <w:r>
        <w:br w:type="page"/>
      </w:r>
    </w:p>
    <w:p>
      <w:pPr>
        <w:pStyle w:val="Heading1"/>
      </w:pPr>
      <w:r>
        <w:t>4. Diagrama CUN del modelo de negocio</w:t>
      </w:r>
    </w:p>
    <w:p>
      <w:pPr>
        <w:jc w:val="left"/>
      </w:pPr>
      <w:r>
        <w:rPr>
          <w:b w:val="0"/>
        </w:rPr>
        <w:t>La figura conserva los estereotipos visuales de tu archivo: Business Actor, Business Worker y Business Use Case. El cliente aparece como beneficiario externo; su asociación con la facturación representa la recepción de la factura, no su emisión.</w:t>
      </w:r>
    </w:p>
    <w:p>
      <w:r>
        <w:drawing>
          <wp:inline xmlns:a="http://schemas.openxmlformats.org/drawingml/2006/main" xmlns:pic="http://schemas.openxmlformats.org/drawingml/2006/picture">
            <wp:extent cx="5868000" cy="6732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negocio_pedid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732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rPr>
          <w:b w:val="0"/>
          <w:sz w:val="18"/>
        </w:rPr>
        <w:t>Figura 1. Modelo de negocio de atención de pedidos. Representación gráfica elaborada a partir de la notación del archivo de referencia; no es una captura ni una exportación de IBM Rational Rose.</w:t>
      </w:r>
    </w:p>
    <w:p>
      <w:r>
        <w:br w:type="page"/>
      </w:r>
    </w:p>
    <w:p>
      <w:pPr>
        <w:pStyle w:val="Heading1"/>
      </w:pPr>
      <w:r>
        <w:t>5. Conexiones y lectura del modelo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</w:tcPr>
          <w:p>
            <w:r>
              <w:rPr>
                <w:sz w:val="20"/>
              </w:rPr>
              <w:t>Participante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CUN asociados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Cliente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CUN-01; CUN-06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Vendedor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CUN-01; CUN-02; CUN-03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Operadora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CUN-02; CUN-03; CUN-05; CUN-06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Despachador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CUN-04; CUN-05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Área de transportes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CUN-05</w:t>
            </w:r>
          </w:p>
        </w:tc>
      </w:tr>
    </w:tbl>
    <w:p>
      <w:pPr>
        <w:jc w:val="left"/>
      </w:pPr>
      <w:r>
        <w:rPr>
          <w:b w:val="0"/>
        </w:rPr>
        <w:t>Las líneas dirigidas conservan el estilo de tu ejemplo y expresan participación en el caso de uso. No conectan un proceso con el siguiente ni representan el flujo del pedido. No se usan generalizaciones: el caso no define tipos especializados de cliente. Tampoco se añaden relaciones include o extend, porque no se está realizando el modelo detallado del sistema.</w:t>
      </w:r>
    </w:p>
    <w:p>
      <w:pPr>
        <w:pStyle w:val="Heading1"/>
      </w:pPr>
      <w:r>
        <w:t>6. Escenarios alternativos y aspectos por validar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/>
        </w:trPr>
        <w:tc>
          <w:tcPr>
            <w:tcW w:type="dxa" w:w="4873"/>
          </w:tcPr>
          <w:p>
            <w:r>
              <w:rPr>
                <w:sz w:val="20"/>
              </w:rPr>
              <w:t>Proceso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Situación / límite del enunciado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CUN-01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El enunciado no detalla excepciones en esta etapa.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CUN-02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Si faltan existencias o el crédito resulta insuficiente, no se presupone aceptación: se requiere definir con el negocio cómo resolverlo.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CUN-03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Si se detectan diferencias, el caso no establece quién corrige ni cómo se autoriza la corrección; queda por precisar.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CUN-04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No se describen faltantes al preparar ni despachos parciales; no se incorporan como políticas.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CUN-05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Si no hay constancia de salida, no se da por cumplido el evento que habilita la facturación. No se modela una entrega domiciliaria no descrita.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</w:rPr>
              <w:t>CUN-06</w:t>
            </w:r>
          </w:p>
        </w:tc>
        <w:tc>
          <w:tcPr>
            <w:tcW w:type="dxa" w:w="4873"/>
          </w:tcPr>
          <w:p>
            <w:r>
              <w:rPr>
                <w:sz w:val="20"/>
              </w:rPr>
              <w:t>El enunciado no identifica quién prepara la factura: se asocia a la operadora por su intervención al habilitarla, como supuesto por validar.</w:t>
            </w:r>
          </w:p>
        </w:tc>
      </w:tr>
    </w:tbl>
    <w:p>
      <w:pPr>
        <w:jc w:val="left"/>
      </w:pPr>
      <w:r>
        <w:rPr>
          <w:b w:val="0"/>
        </w:rPr>
        <w:t>La preparación y envío de la factura se vinculan a la operadora como supuesto de modelado; el texto solo confirma expresamente que ella habilita la facturación. Debe validarse si interviene otro trabajador. Transportes se modela como área interna, tal como indica el relato. El ciclo V se conserva provisionalmente de la carátula facilitada.</w:t>
      </w:r>
    </w:p>
    <w:p>
      <w:pPr>
        <w:pStyle w:val="Heading1"/>
      </w:pPr>
      <w:r>
        <w:t>Referencia y archivo editable</w:t>
      </w:r>
    </w:p>
    <w:p>
      <w:pPr>
        <w:jc w:val="left"/>
      </w:pPr>
      <w:r>
        <w:rPr>
          <w:b w:val="0"/>
        </w:rPr>
        <w:t>Fuentes: imagen del caso práctico proporcionada por el estudiante; archivo OlivaresMoreno_VentaLIBROS.mdl, escrito originalmente con Rose 2006. El archivo adjunto OlivaresMoreno_AtencionPedidos.mdl fue generado adaptando la estructura Petal y las vistas del ejemplo. Su apertura y presentación visual deben comprobarse en IBM Rational Rose; no se ha ejecutado ese programa en este entorno.</w:t>
      </w:r>
    </w:p>
    <w:p>
      <w:pPr>
        <w:jc w:val="left"/>
      </w:pPr>
      <w:r>
        <w:rPr>
          <w:b w:val="0"/>
        </w:rPr>
        <w:t>Carátula recreada con los datos y colores de la imagen facilitada. No se ha insertado una reproducción del escudo, porque no se dispone de su imagen original como archivo independiente.</w:t>
      </w:r>
    </w:p>
    <w:sectPr w:rsidR="00FC693F" w:rsidRPr="0006063C" w:rsidSect="00034616"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83C5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83C5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