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sz="0"/>
              <w:left w:val="none" w:sz="0"/>
              <w:bottom w:val="none" w:sz="0"/>
              <w:right w:val="none" w:sz="0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DATAORBIT AI</w:t>
            </w: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  —  Engineering One-Pager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Technical architecture overview for the data engineering team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What We're Building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DataOrbit AI is an </w:t>
            </w: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agentic data warehouse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 for SMBs (50-500 employees) running 3-7 SaaS tools. We provision a managed Postgres warehouse when they connect their tools via OAuth, automatically resolve entities across systems, apply a pre-built semantic layer (Cube Core), monitor data quality end-to-end, and deliver proactive AI intelligence through </w:t>
            </w: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DataOrbit Apollo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 — the AI agent that generates weekly briefings, exception alerts, and on-demand Q&amp;A. The customer never sees the warehouse, writes SQL, or configures a pipeline.</w:t>
            </w:r>
          </w:p>
        </w:tc>
      </w:tr>
    </w:tbl>
    <w:p>
      <w:pPr>
        <w:pStyle w:val="Heading1"/>
      </w:pPr>
      <w:r>
        <w:t xml:space="preserve">Six-Layer Architecture</w:t>
      </w:r>
    </w:p>
    <w:p>
      <w:pPr>
        <w:spacing w:after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Each layer builds on the one below. Data flows upward; quality and confidence scores propagate through every boundary.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00"/>
        <w:gridCol w:w="3500"/>
        <w:gridCol w:w="264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Key Technology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AI Agent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
(Apollo)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Weekly briefings, exception alerts, on-demand Q&amp;A — all grounded in certified metrics, never hallucinated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Claude/GPT API + custom orchestration (intent router → context fetcher → LLM narrator)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Semantic Layer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
(Cube Core)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Certified metric definitions (YAML), SQL generation, caching, SQL + REST + GraphQL APIs. 30+ pre-built metrics per template.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Cube Core (Apache 2.0), YAML data models, Cube Store caching, DuckDB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Unified Entity Graph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Cross-system entity profiles, derived states (Healthy, At Risk, Churning, Expansion Ready). Queries analytics.* tables.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SQL views over analytics schema + entity_links. State rules per system combination template.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Entity Matching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
Engine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Deterministic matching (MVP): email, domain, external ID, normalized name. Probabilistic (v2): Splink. Human-in-the-loop for uncertain matches.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Custom Python (MVP), Splink + DuckDB (v2). Outputs: entities + entity_links tables.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Data Quality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
Engine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Source profiling, completeness, freshness, volume consistency, schema stability, duplicate detection. Confidence scores propagate to every downstream layer.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Custom profiling on canonical.* tables. Quality gate between ingestion and entity matching.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Managed Warehouse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
+ Connectors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OAuth ingestion, schema normalization, scheduled sync (daily batch + hourly critical events). Three-tier schema: raw → canonical → analytics.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Postgres (Supabase/Neon/RDS), Airbyte or custom REST. MVP: HubSpot + Stripe + QuickBooks.</w:t>
            </w:r>
          </w:p>
        </w:tc>
      </w:tr>
    </w:tbl>
    <w:p>
      <w:pPr>
        <w:pStyle w:val="Heading1"/>
      </w:pPr>
      <w:r>
        <w:t xml:space="preserve">Data Flow: Three-Tier Schema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This is the core data pipeline you'll be building. Each tier serves a distinct purpose.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9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Schema &amp; Examples</w:t>
            </w:r>
          </w:p>
        </w:tc>
        <w:tc>
          <w:tcPr>
            <w:tcW w:type="dxa" w:w="4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Purpose &amp; Consumers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① Raw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raw.hubspot_companies
raw.stripe_customers
raw.quickbooks_invoices</w:t>
            </w:r>
          </w:p>
        </w:tc>
        <w:tc>
          <w:tcPr>
            <w:tcW w:type="dxa" w:w="4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Exact copy of source system data. Preserves original structure. Written by connectors. Read by DQ Engine for schema stability monitoring.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② Canonical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canonical.companies
canonical.invoices
canonical.contacts</w:t>
            </w:r>
          </w:p>
        </w:tc>
        <w:tc>
          <w:tcPr>
            <w:tcW w:type="dxa" w:w="4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System-agnostic normalized tables. Each row has source_system + source_system_id. Connector modules map their system's fields here. Entity matching and DQ Engine operate on this tier.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③ Analytics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analytics.companies
analytics.invoices
analytics.entity_states</w:t>
            </w:r>
          </w:p>
        </w:tc>
        <w:tc>
          <w:tcPr>
            <w:tcW w:type="dxa" w:w="4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Unified tables joined via entity_links. What Cube Core queries. What the AI agent reads. Includes derived entity states computed from cross-system rules.</w:t>
            </w:r>
          </w:p>
        </w:tc>
      </w:tr>
    </w:tbl>
    <w:p>
      <w:pPr>
        <w:pStyle w:val="Heading1"/>
      </w:pPr>
      <w:r>
        <w:t xml:space="preserve">Entity Resolution Schema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System-agnostic design. Adding a new connector requires zero schema changes — just new rows in entity_links.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B82F6"/>
                <w:sz w:val="19"/>
                <w:szCs w:val="19"/>
              </w:rPr>
              <w:t xml:space="preserve">entities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334155"/>
                <w:sz w:val="15"/>
                <w:szCs w:val="15"/>
              </w:rPr>
              <w:t xml:space="preserve">entity_id  UUID PK
entity_type  VARCHAR (company, contact, employee)
display_name  VARCHAR
overall_confidence  VARCHAR (high, medium, low)
created_at  TIMESTAMP
updated_at  TIMESTAMP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19"/>
                <w:szCs w:val="19"/>
              </w:rPr>
              <w:t xml:space="preserve">entity_links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334155"/>
                <w:sz w:val="15"/>
                <w:szCs w:val="15"/>
              </w:rPr>
              <w:t xml:space="preserve">link_id  UUID PK
entity_id  UUID FK → entities
source_system  VARCHAR (hubspot, stripe, ...)
source_entity_type  VARCHAR
source_record_id  VARCHAR
match_confidence  VARCHAR
match_method  VARCHAR
confirmed_by_customer  BOOLEAN</w:t>
            </w:r>
          </w:p>
        </w:tc>
      </w:tr>
    </w:tbl>
    <w:p>
      <w:pPr>
        <w:pStyle w:val="Heading1"/>
      </w:pPr>
      <w: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Precision over recall in entity matching.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A false positive (merging two different companies) destroys trust permanently. We target &gt;95% precision, accepting lower recall that improves over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The LLM is the voice, not the brain.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Every number comes from a governed SQL query via Cube, not from LLM generation. The LLM translates human language → structured queries and structured results → human narrative.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Confidence propagation end-to-end.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Every AI output carries a confidence tag derived from upstream data quality: source freshness, field completeness, match confidence, metric stability. "MRR: $412K (high confidence)" vs. "Revenue Per Employee: $3,420 (low confidence — stale HRIS data)."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Templates, not custom builds.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Pre-built connector modules, canonical model mappings, entity matching rules, Cube metric definitions, and derived state rules per system combination (e.g., HubSpot + Stripe + QuickBooks). Build once, deploy to every customer on that combination.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Influence maps, not causal graphs.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Metric decomposition trees are mathematical (Revenue = Pipeline × Conversion × Deal Size), not statistical causal claims. The AI agent checks each branch when a metric changes — structured diagnostic reasoning, not speculation.</w:t>
      </w:r>
    </w:p>
    <w:p>
      <w:pPr>
        <w:pStyle w:val="Heading1"/>
      </w:pPr>
      <w:r>
        <w:t xml:space="preserve">Phase 1 Scope (Weeks 1-6)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Goal: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Get a weekly business briefing into a customer's hands from HubSpot + Stripe + QuickBooks data.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Layer</w:t>
            </w:r>
          </w:p>
        </w:tc>
        <w:tc>
          <w:tcPr>
            <w:tcW w:type="dxa" w:w="7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1 Deliverable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L1 — Warehouse + Connectors</w:t>
            </w:r>
          </w:p>
        </w:tc>
        <w:tc>
          <w:tcPr>
            <w:tcW w:type="dxa" w:w="7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OAuth connectors for HubSpot, Stripe, QuickBooks. Postgres warehouse with raw + canonical + analytics schemas. Daily batch sync.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L2 — Data Quality</w:t>
            </w:r>
          </w:p>
        </w:tc>
        <w:tc>
          <w:tcPr>
            <w:tcW w:type="dxa" w:w="7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Source profiling after each sync: completeness rates, record counts, freshness. Duplicate detection. Volume consistency. Schema change alerts. Confidence scores per table.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L3 — Entity Matching</w:t>
            </w:r>
          </w:p>
        </w:tc>
        <w:tc>
          <w:tcPr>
            <w:tcW w:type="dxa" w:w="7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Deterministic only: email, domain, external ID, normalized name matching. Produce entities + entity_links with confidence. Web UI for human confirmation of uncertain matches.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L4 — Entity Graph</w:t>
            </w:r>
          </w:p>
        </w:tc>
        <w:tc>
          <w:tcPr>
            <w:tcW w:type="dxa" w:w="7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Unified company/customer views via analytics schema. Basic derived states (Healthy, At Risk, Churning).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L5 — Semantic Layer</w:t>
            </w:r>
          </w:p>
        </w:tc>
        <w:tc>
          <w:tcPr>
            <w:tcW w:type="dxa" w:w="7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Cube Core with ~15 core B2B SaaS metrics. Single-system metrics (always available) + cross-system metrics (available when entities matched).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L6 — AI Agent (Apollo)</w:t>
            </w:r>
          </w:p>
        </w:tc>
        <w:tc>
          <w:tcPr>
            <w:tcW w:type="dxa" w:w="7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Weekly briefing only: query Cube SQL API → LLM summarize → email delivery. Confidence tags on all numbers from L2 quality scores. No alerts or Q&amp;A yet.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Explicitly deferred: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Probabilistic matching, alerts, Q&amp;A, BI integration, influence maps, Slack, custom metric UI, connectors beyond the initial 3.</w:t>
      </w:r>
    </w:p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Full Reference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The complete product blueprint (DataOrbit_AI_Product_Blueprint.md, ~2,900 lines) covers: detailed layer specifications, composable template architecture, AI implementation patterns (four-component pattern, query pipeline), data modeling philosophy, competitive landscape, build plan phases 1-4, and business model. Ask for access if you don't have it.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2026-03-01T06:47:45.391Z</dcterms:created>
  <dcterms:modified xsi:type="dcterms:W3CDTF">2026-03-01T06:47:45.392Z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