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4"/>
          <w:szCs w:val="34"/>
          <w:u w:val="single"/>
        </w:rPr>
        <w:t xml:space="preserve">Emergency Response Recommendation System</w:t>
      </w:r>
    </w:p>
    <w:p>
      <w:pPr>
        <w:spacing w:after="60"/>
        <w:jc w:val="center"/>
      </w:pPr>
      <w:r>
        <w:rPr>
          <w:rFonts w:ascii="Calibri" w:cs="Calibri" w:eastAsia="Calibri" w:hAnsi="Calibri"/>
          <w:b/>
          <w:bCs/>
          <w:color w:val="1F4E5F"/>
          <w:sz w:val="24"/>
          <w:szCs w:val="24"/>
        </w:rPr>
        <w:t xml:space="preserve">Flood Response — Ayeyarwady Delta Region, Myanmar</w:t>
      </w:r>
    </w:p>
    <w:p>
      <w:pPr>
        <w:spacing w:after="20"/>
        <w:jc w:val="center"/>
      </w:pPr>
      <w:r>
        <w:rPr>
          <w:rFonts w:ascii="Calibri" w:cs="Calibri" w:eastAsia="Calibri" w:hAnsi="Calibri"/>
          <w:i/>
          <w:iCs/>
          <w:color w:val="5A5A5A"/>
          <w:sz w:val="21"/>
          <w:szCs w:val="21"/>
        </w:rPr>
        <w:t xml:space="preserve">Full System &amp; Data Specification — grounded in DMH gauge data and township flood-risk tiering</w:t>
      </w:r>
    </w:p>
    <w:p>
      <w:pPr>
        <w:spacing w:after="300"/>
        <w:jc w:val="center"/>
      </w:pPr>
      <w:r>
        <w:rPr>
          <w:rFonts w:ascii="Calibri" w:cs="Calibri" w:eastAsia="Calibri" w:hAnsi="Calibri"/>
          <w:i/>
          <w:iCs/>
          <w:color w:val="5A5A5A"/>
          <w:sz w:val="19"/>
          <w:szCs w:val="19"/>
        </w:rPr>
        <w:t xml:space="preserve">Base township: Yegyi  |  Network: 25 townships, two hazard regimes  |  Stack: Next.js + SWI-Prolog</w:t>
      </w:r>
    </w:p>
    <w:p>
      <w:pPr>
        <w:spacing w:after="140"/>
      </w:pPr>
      <w:r>
        <w:rPr>
          <w:rFonts w:ascii="Calibri" w:cs="Calibri" w:eastAsia="Calibri" w:hAnsi="Calibri"/>
          <w:b w:val="false"/>
          <w:bCs w:val="false"/>
          <w:i/>
          <w:iCs/>
          <w:sz w:val="21"/>
          <w:szCs w:val="21"/>
        </w:rPr>
        <w:t xml:space="preserve">This is the complete, authoritative build specification: every data structure, rule, algorithm, and interface described below is the decided design, stated once, with no alternate or superseded versions folded in. Section 17 records where each real-world number and rule comes from.</w:t>
      </w:r>
    </w:p>
    <w:p>
      <w:pPr>
        <w:spacing w:after="100" w:before="220"/>
      </w:pPr>
      <w:r>
        <w:rPr>
          <w:rFonts w:ascii="Calibri" w:cs="Calibri" w:eastAsia="Calibri" w:hAnsi="Calibri"/>
          <w:b/>
          <w:bCs/>
          <w:color w:val="3A6B7A"/>
          <w:sz w:val="21"/>
          <w:szCs w:val="21"/>
        </w:rPr>
        <w:t xml:space="preserve">Contents</w:t>
      </w:r>
    </w:p>
    <w:p>
      <w:pPr>
        <w:pStyle w:val="ListParagraph"/>
        <w:numPr>
          <w:ilvl w:val="0"/>
          <w:numId w:val="2"/>
        </w:numPr>
        <w:spacing w:after="60"/>
      </w:pPr>
      <w:r>
        <w:rPr>
          <w:rFonts w:ascii="Calibri" w:cs="Calibri" w:eastAsia="Calibri" w:hAnsi="Calibri"/>
          <w:sz w:val="21"/>
          <w:szCs w:val="21"/>
        </w:rPr>
        <w:t xml:space="preserve">1. Purpose &amp; Framing</w:t>
      </w:r>
    </w:p>
    <w:p>
      <w:pPr>
        <w:pStyle w:val="ListParagraph"/>
        <w:numPr>
          <w:ilvl w:val="0"/>
          <w:numId w:val="2"/>
        </w:numPr>
        <w:spacing w:after="60"/>
      </w:pPr>
      <w:r>
        <w:rPr>
          <w:rFonts w:ascii="Calibri" w:cs="Calibri" w:eastAsia="Calibri" w:hAnsi="Calibri"/>
          <w:sz w:val="21"/>
          <w:szCs w:val="21"/>
        </w:rPr>
        <w:t xml:space="preserve">2. Context &amp; Real-World Grounding</w:t>
      </w:r>
    </w:p>
    <w:p>
      <w:pPr>
        <w:pStyle w:val="ListParagraph"/>
        <w:numPr>
          <w:ilvl w:val="0"/>
          <w:numId w:val="2"/>
        </w:numPr>
        <w:spacing w:after="60"/>
      </w:pPr>
      <w:r>
        <w:rPr>
          <w:rFonts w:ascii="Calibri" w:cs="Calibri" w:eastAsia="Calibri" w:hAnsi="Calibri"/>
          <w:sz w:val="21"/>
          <w:szCs w:val="21"/>
        </w:rPr>
        <w:t xml:space="preserve">3. Target Users</w:t>
      </w:r>
    </w:p>
    <w:p>
      <w:pPr>
        <w:pStyle w:val="ListParagraph"/>
        <w:numPr>
          <w:ilvl w:val="0"/>
          <w:numId w:val="2"/>
        </w:numPr>
        <w:spacing w:after="60"/>
      </w:pPr>
      <w:r>
        <w:rPr>
          <w:rFonts w:ascii="Calibri" w:cs="Calibri" w:eastAsia="Calibri" w:hAnsi="Calibri"/>
          <w:sz w:val="21"/>
          <w:szCs w:val="21"/>
        </w:rPr>
        <w:t xml:space="preserve">4. System Architecture Overview</w:t>
      </w:r>
    </w:p>
    <w:p>
      <w:pPr>
        <w:pStyle w:val="ListParagraph"/>
        <w:numPr>
          <w:ilvl w:val="0"/>
          <w:numId w:val="2"/>
        </w:numPr>
        <w:spacing w:after="60"/>
      </w:pPr>
      <w:r>
        <w:rPr>
          <w:rFonts w:ascii="Calibri" w:cs="Calibri" w:eastAsia="Calibri" w:hAnsi="Calibri"/>
          <w:sz w:val="21"/>
          <w:szCs w:val="21"/>
        </w:rPr>
        <w:t xml:space="preserve">5. Data Model</w:t>
      </w:r>
    </w:p>
    <w:p>
      <w:pPr>
        <w:pStyle w:val="ListParagraph"/>
        <w:numPr>
          <w:ilvl w:val="0"/>
          <w:numId w:val="2"/>
        </w:numPr>
        <w:spacing w:after="60"/>
      </w:pPr>
      <w:r>
        <w:rPr>
          <w:rFonts w:ascii="Calibri" w:cs="Calibri" w:eastAsia="Calibri" w:hAnsi="Calibri"/>
          <w:sz w:val="21"/>
          <w:szCs w:val="21"/>
        </w:rPr>
        <w:t xml:space="preserve">6. Regional Network Specification</w:t>
      </w:r>
    </w:p>
    <w:p>
      <w:pPr>
        <w:pStyle w:val="ListParagraph"/>
        <w:numPr>
          <w:ilvl w:val="0"/>
          <w:numId w:val="2"/>
        </w:numPr>
        <w:spacing w:after="60"/>
      </w:pPr>
      <w:r>
        <w:rPr>
          <w:rFonts w:ascii="Calibri" w:cs="Calibri" w:eastAsia="Calibri" w:hAnsi="Calibri"/>
          <w:sz w:val="21"/>
          <w:szCs w:val="21"/>
        </w:rPr>
        <w:t xml:space="preserve">7. Prolog Reasoning Specification</w:t>
      </w:r>
    </w:p>
    <w:p>
      <w:pPr>
        <w:pStyle w:val="ListParagraph"/>
        <w:numPr>
          <w:ilvl w:val="0"/>
          <w:numId w:val="2"/>
        </w:numPr>
        <w:spacing w:after="60"/>
      </w:pPr>
      <w:r>
        <w:rPr>
          <w:rFonts w:ascii="Calibri" w:cs="Calibri" w:eastAsia="Calibri" w:hAnsi="Calibri"/>
          <w:sz w:val="21"/>
          <w:szCs w:val="21"/>
        </w:rPr>
        <w:t xml:space="preserve">8. Priority Scoring Specification</w:t>
      </w:r>
    </w:p>
    <w:p>
      <w:pPr>
        <w:pStyle w:val="ListParagraph"/>
        <w:numPr>
          <w:ilvl w:val="0"/>
          <w:numId w:val="2"/>
        </w:numPr>
        <w:spacing w:after="60"/>
      </w:pPr>
      <w:r>
        <w:rPr>
          <w:rFonts w:ascii="Calibri" w:cs="Calibri" w:eastAsia="Calibri" w:hAnsi="Calibri"/>
          <w:sz w:val="21"/>
          <w:szCs w:val="21"/>
        </w:rPr>
        <w:t xml:space="preserve">9. Compound Capability Filtering</w:t>
      </w:r>
    </w:p>
    <w:p>
      <w:pPr>
        <w:pStyle w:val="ListParagraph"/>
        <w:numPr>
          <w:ilvl w:val="0"/>
          <w:numId w:val="2"/>
        </w:numPr>
        <w:spacing w:after="60"/>
      </w:pPr>
      <w:r>
        <w:rPr>
          <w:rFonts w:ascii="Calibri" w:cs="Calibri" w:eastAsia="Calibri" w:hAnsi="Calibri"/>
          <w:sz w:val="21"/>
          <w:szCs w:val="21"/>
        </w:rPr>
        <w:t xml:space="preserve">10. Shortest-Path Routing Specification</w:t>
      </w:r>
    </w:p>
    <w:p>
      <w:pPr>
        <w:pStyle w:val="ListParagraph"/>
        <w:numPr>
          <w:ilvl w:val="0"/>
          <w:numId w:val="2"/>
        </w:numPr>
        <w:spacing w:after="60"/>
      </w:pPr>
      <w:r>
        <w:rPr>
          <w:rFonts w:ascii="Calibri" w:cs="Calibri" w:eastAsia="Calibri" w:hAnsi="Calibri"/>
          <w:sz w:val="21"/>
          <w:szCs w:val="21"/>
        </w:rPr>
        <w:t xml:space="preserve">11. Case Lifecycle &amp; Resource Reservation</w:t>
      </w:r>
    </w:p>
    <w:p>
      <w:pPr>
        <w:pStyle w:val="ListParagraph"/>
        <w:numPr>
          <w:ilvl w:val="0"/>
          <w:numId w:val="2"/>
        </w:numPr>
        <w:spacing w:after="60"/>
      </w:pPr>
      <w:r>
        <w:rPr>
          <w:rFonts w:ascii="Calibri" w:cs="Calibri" w:eastAsia="Calibri" w:hAnsi="Calibri"/>
          <w:sz w:val="21"/>
          <w:szCs w:val="21"/>
        </w:rPr>
        <w:t xml:space="preserve">12. API Contract</w:t>
      </w:r>
    </w:p>
    <w:p>
      <w:pPr>
        <w:pStyle w:val="ListParagraph"/>
        <w:numPr>
          <w:ilvl w:val="0"/>
          <w:numId w:val="2"/>
        </w:numPr>
        <w:spacing w:after="60"/>
      </w:pPr>
      <w:r>
        <w:rPr>
          <w:rFonts w:ascii="Calibri" w:cs="Calibri" w:eastAsia="Calibri" w:hAnsi="Calibri"/>
          <w:sz w:val="21"/>
          <w:szCs w:val="21"/>
        </w:rPr>
        <w:t xml:space="preserve">13. UI/UX Specification</w:t>
      </w:r>
    </w:p>
    <w:p>
      <w:pPr>
        <w:pStyle w:val="ListParagraph"/>
        <w:numPr>
          <w:ilvl w:val="0"/>
          <w:numId w:val="2"/>
        </w:numPr>
        <w:spacing w:after="60"/>
      </w:pPr>
      <w:r>
        <w:rPr>
          <w:rFonts w:ascii="Calibri" w:cs="Calibri" w:eastAsia="Calibri" w:hAnsi="Calibri"/>
          <w:sz w:val="21"/>
          <w:szCs w:val="21"/>
        </w:rPr>
        <w:t xml:space="preserve">14. End-to-End Worked Example (Real Event)</w:t>
      </w:r>
    </w:p>
    <w:p>
      <w:pPr>
        <w:pStyle w:val="ListParagraph"/>
        <w:numPr>
          <w:ilvl w:val="0"/>
          <w:numId w:val="2"/>
        </w:numPr>
        <w:spacing w:after="60"/>
      </w:pPr>
      <w:r>
        <w:rPr>
          <w:rFonts w:ascii="Calibri" w:cs="Calibri" w:eastAsia="Calibri" w:hAnsi="Calibri"/>
          <w:sz w:val="21"/>
          <w:szCs w:val="21"/>
        </w:rPr>
        <w:t xml:space="preserve">15. Edge Cases &amp; Failure Modes</w:t>
      </w:r>
    </w:p>
    <w:p>
      <w:pPr>
        <w:pStyle w:val="ListParagraph"/>
        <w:numPr>
          <w:ilvl w:val="0"/>
          <w:numId w:val="2"/>
        </w:numPr>
        <w:spacing w:after="60"/>
      </w:pPr>
      <w:r>
        <w:rPr>
          <w:rFonts w:ascii="Calibri" w:cs="Calibri" w:eastAsia="Calibri" w:hAnsi="Calibri"/>
          <w:sz w:val="21"/>
          <w:szCs w:val="21"/>
        </w:rPr>
        <w:t xml:space="preserve">16. Assumptions &amp; Known Simplifications</w:t>
      </w:r>
    </w:p>
    <w:p>
      <w:pPr>
        <w:pStyle w:val="ListParagraph"/>
        <w:numPr>
          <w:ilvl w:val="0"/>
          <w:numId w:val="2"/>
        </w:numPr>
        <w:spacing w:after="60"/>
      </w:pPr>
      <w:r>
        <w:rPr>
          <w:rFonts w:ascii="Calibri" w:cs="Calibri" w:eastAsia="Calibri" w:hAnsi="Calibri"/>
          <w:sz w:val="21"/>
          <w:szCs w:val="21"/>
        </w:rPr>
        <w:t xml:space="preserve">17. Data Sources &amp; Provenance</w:t>
      </w:r>
    </w:p>
    <w:p>
      <w:pPr>
        <w:pStyle w:val="ListParagraph"/>
        <w:numPr>
          <w:ilvl w:val="0"/>
          <w:numId w:val="2"/>
        </w:numPr>
        <w:spacing w:after="60"/>
      </w:pPr>
      <w:r>
        <w:rPr>
          <w:rFonts w:ascii="Calibri" w:cs="Calibri" w:eastAsia="Calibri" w:hAnsi="Calibri"/>
          <w:sz w:val="21"/>
          <w:szCs w:val="21"/>
        </w:rPr>
        <w:t xml:space="preserve">18. Testing &amp; Validation Plan</w:t>
      </w:r>
    </w:p>
    <w:p>
      <w:pPr>
        <w:pStyle w:val="ListParagraph"/>
        <w:numPr>
          <w:ilvl w:val="0"/>
          <w:numId w:val="2"/>
        </w:numPr>
        <w:spacing w:after="60"/>
      </w:pPr>
      <w:r>
        <w:rPr>
          <w:rFonts w:ascii="Calibri" w:cs="Calibri" w:eastAsia="Calibri" w:hAnsi="Calibri"/>
          <w:sz w:val="21"/>
          <w:szCs w:val="21"/>
        </w:rPr>
        <w:t xml:space="preserve">19. Module Breakdown for Implementation</w:t>
      </w:r>
    </w:p>
    <w:p>
      <w:pPr>
        <w:pStyle w:val="ListParagraph"/>
        <w:numPr>
          <w:ilvl w:val="0"/>
          <w:numId w:val="2"/>
        </w:numPr>
        <w:spacing w:after="60"/>
      </w:pPr>
      <w:r>
        <w:rPr>
          <w:rFonts w:ascii="Calibri" w:cs="Calibri" w:eastAsia="Calibri" w:hAnsi="Calibri"/>
          <w:sz w:val="21"/>
          <w:szCs w:val="21"/>
        </w:rPr>
        <w:t xml:space="preserve">20. Future Expansion Plans</w:t>
      </w:r>
    </w:p>
    <w:p>
      <w:pPr>
        <w:pStyle w:val="ListParagraph"/>
        <w:numPr>
          <w:ilvl w:val="0"/>
          <w:numId w:val="2"/>
        </w:numPr>
        <w:spacing w:after="60"/>
      </w:pPr>
      <w:r>
        <w:rPr>
          <w:rFonts w:ascii="Calibri" w:cs="Calibri" w:eastAsia="Calibri" w:hAnsi="Calibri"/>
          <w:sz w:val="21"/>
          <w:szCs w:val="21"/>
        </w:rPr>
        <w:t xml:space="preserve">21. Glossary</w:t>
      </w:r>
    </w:p>
    <w:p>
      <w:pPr>
        <w:pageBreakBefore/>
        <w:pBdr>
          <w:bottom w:val="double" w:color="0F3345" w:sz="8" w:space="6"/>
        </w:pBdr>
        <w:spacing w:after="200" w:before="0"/>
      </w:pPr>
      <w:r>
        <w:rPr>
          <w:rFonts w:ascii="Calibri" w:cs="Calibri" w:eastAsia="Calibri" w:hAnsi="Calibri"/>
          <w:b/>
          <w:bCs/>
          <w:color w:val="0F3345"/>
          <w:sz w:val="30"/>
          <w:szCs w:val="30"/>
        </w:rPr>
        <w:t xml:space="preserve">1.  Purpose &amp; Framing</w:t>
      </w:r>
    </w:p>
    <w:p>
      <w:pPr>
        <w:spacing w:after="140"/>
      </w:pPr>
      <w:r>
        <w:rPr>
          <w:rFonts w:ascii="Calibri" w:cs="Calibri" w:eastAsia="Calibri" w:hAnsi="Calibri"/>
          <w:b w:val="false"/>
          <w:bCs w:val="false"/>
          <w:i w:val="false"/>
          <w:iCs w:val="false"/>
          <w:sz w:val="21"/>
          <w:szCs w:val="21"/>
        </w:rPr>
        <w:t xml:space="preserve">This is a prototype flood-response decision-support tool for the Ayeyarwady Delta, Myanmar. It is specified here as a real system design — every data structure, rule, and algorithm is meant to be implementable as stated, and every open question that would normally be resolved verbally is instead answered explicitly.</w:t>
      </w:r>
    </w:p>
    <w:p>
      <w:pPr>
        <w:spacing w:after="140"/>
      </w:pPr>
      <w:r>
        <w:rPr>
          <w:rFonts w:ascii="Calibri" w:cs="Calibri" w:eastAsia="Calibri" w:hAnsi="Calibri"/>
          <w:b w:val="false"/>
          <w:bCs w:val="false"/>
          <w:i w:val="false"/>
          <w:iCs w:val="false"/>
          <w:sz w:val="21"/>
          <w:szCs w:val="21"/>
        </w:rPr>
        <w:t xml:space="preserve">The system takes a structured report of current flood conditions in a township, reasons about it using a Prolog rule base (severity, recommended action, required response capabilities), separately scores urgency, and recommends the nearest suitable rescue unit and shelter from a simulated regional network — while explaining why. It is a decision-support tool: a human responder makes the final call.</w:t>
      </w:r>
    </w:p>
    <w:p>
      <w:pPr>
        <w:spacing w:after="140"/>
      </w:pPr>
      <w:r>
        <w:rPr>
          <w:rFonts w:ascii="Calibri" w:cs="Calibri" w:eastAsia="Calibri" w:hAnsi="Calibri"/>
          <w:b w:val="false"/>
          <w:bCs w:val="false"/>
          <w:i w:val="false"/>
          <w:iCs w:val="false"/>
          <w:sz w:val="21"/>
          <w:szCs w:val="21"/>
        </w:rPr>
        <w:t xml:space="preserve">The fleet, shelters, and environmental readings remain simulated data in this version. Section 20 describes replacing each simulated part with something real, including direct integration with the actual DMH/AIRBM/GloFAS systems named in Section 2.</w:t>
      </w:r>
    </w:p>
    <w:p>
      <w:pPr>
        <w:pageBreakBefore/>
        <w:pBdr>
          <w:bottom w:val="double" w:color="0F3345" w:sz="8" w:space="6"/>
        </w:pBdr>
        <w:spacing w:after="200" w:before="0"/>
      </w:pPr>
      <w:r>
        <w:rPr>
          <w:rFonts w:ascii="Calibri" w:cs="Calibri" w:eastAsia="Calibri" w:hAnsi="Calibri"/>
          <w:b/>
          <w:bCs/>
          <w:color w:val="0F3345"/>
          <w:sz w:val="30"/>
          <w:szCs w:val="30"/>
        </w:rPr>
        <w:t xml:space="preserve">2.  Context &amp; Real-World Grounding</w:t>
      </w:r>
    </w:p>
    <w:p>
      <w:pPr>
        <w:spacing w:after="140"/>
      </w:pPr>
      <w:r>
        <w:rPr>
          <w:rFonts w:ascii="Calibri" w:cs="Calibri" w:eastAsia="Calibri" w:hAnsi="Calibri"/>
          <w:b w:val="false"/>
          <w:bCs w:val="false"/>
          <w:i w:val="false"/>
          <w:iCs w:val="false"/>
          <w:sz w:val="21"/>
          <w:szCs w:val="21"/>
        </w:rPr>
        <w:t xml:space="preserve">Ayeyarwady Region is the delta of the Ayeyarwady River, Myanmar's main rice-growing area, and its most flood-exposed region in most monsoon seasons — flooding somewhere in the delta almost every year between May and October. Peer-reviewed satellite analysis (Seeger et al., International Journal of Disaster Risk Reduction 114:104723, 2024) found flood risk affects at least 65% of the delta's population and 60% of its ecosystem, with Pathein District showing the highest frequency — some areas flooded in every single monsoon month across the 2015–2023 study period.</w:t>
      </w:r>
    </w:p>
    <w:p>
      <w:pPr>
        <w:spacing w:after="140"/>
      </w:pPr>
      <w:r>
        <w:rPr>
          <w:rFonts w:ascii="Calibri" w:cs="Calibri" w:eastAsia="Calibri" w:hAnsi="Calibri"/>
          <w:b w:val="false"/>
          <w:bCs w:val="false"/>
          <w:i w:val="false"/>
          <w:iCs w:val="false"/>
          <w:sz w:val="21"/>
          <w:szCs w:val="21"/>
        </w:rPr>
        <w:t xml:space="preserve">Two distinct hazards must be understood separately (Section 7 builds the first; the second is fully specified as Section 20's next build target):</w:t>
      </w:r>
    </w:p>
    <w:p>
      <w:pPr>
        <w:pStyle w:val="ListParagraph"/>
        <w:numPr>
          <w:ilvl w:val="0"/>
          <w:numId w:val="2"/>
        </w:numPr>
        <w:spacing w:after="60"/>
      </w:pPr>
      <w:r>
        <w:rPr>
          <w:rFonts w:ascii="Calibri" w:cs="Calibri" w:eastAsia="Calibri" w:hAnsi="Calibri"/>
          <w:sz w:val="21"/>
          <w:szCs w:val="21"/>
        </w:rPr>
        <w:t xml:space="preserve">Riverine/monsoon flooding — peaks in August, driven by upstream Ayeyarwady and Ngawun River discharge and by embankment breaches, concentrated in the upper and central delta.</w:t>
      </w:r>
    </w:p>
    <w:p>
      <w:pPr>
        <w:pStyle w:val="ListParagraph"/>
        <w:numPr>
          <w:ilvl w:val="0"/>
          <w:numId w:val="2"/>
        </w:numPr>
        <w:spacing w:after="60"/>
      </w:pPr>
      <w:r>
        <w:rPr>
          <w:rFonts w:ascii="Calibri" w:cs="Calibri" w:eastAsia="Calibri" w:hAnsi="Calibri"/>
          <w:sz w:val="21"/>
          <w:szCs w:val="21"/>
        </w:rPr>
        <w:t xml:space="preserve">Cyclone storm surge — brackets the monsoon (April–May and October–November), catastrophic in the coastal south. Cyclone Nargis (2 May 2008) is the defining event: the official Post-Nargis Joint Assessment recorded 84,537 dead and 53,836 missing, with independent estimates (Fritz et al., Nature Geoscience, 2009) exceeding 138,000 — the worst disaster in Myanmar's recorded history, driven by a roughly 3.6 m storm surge reaching about 40 km inland.</w:t>
      </w:r>
    </w:p>
    <w:p>
      <w:pPr>
        <w:spacing w:after="140"/>
      </w:pPr>
      <w:r>
        <w:rPr>
          <w:rFonts w:ascii="Calibri" w:cs="Calibri" w:eastAsia="Calibri" w:hAnsi="Calibri"/>
          <w:b w:val="false"/>
          <w:bCs w:val="false"/>
          <w:i w:val="false"/>
          <w:iCs w:val="false"/>
          <w:sz w:val="21"/>
          <w:szCs w:val="21"/>
        </w:rPr>
        <w:t xml:space="preserve">The live case this project has been grounded in throughout is real and current: the Ngawun River embankment near Lemyethna breached on 30–31 July 2026 (mile marker 25/3, near Jamkone village), widening from roughly 15 m to 90 m, and flooded Lemyethna, Hinthada, Yekyi, Kyonpyaw, Ngathaingchaung, and Kyangin — over 39,000 people in Lemyethna township alone affected, 7,734 homes flooded. The same embankment had a comparable breach roughly 35 years earlier that took two and a half months to close. This event is the primary worked example in Section 14.</w:t>
      </w:r>
    </w:p>
    <w:p>
      <w:pPr>
        <w:spacing w:after="140"/>
      </w:pPr>
      <w:r>
        <w:rPr>
          <w:rFonts w:ascii="Calibri" w:cs="Calibri" w:eastAsia="Calibri" w:hAnsi="Calibri"/>
          <w:b w:val="false"/>
          <w:bCs w:val="false"/>
          <w:i w:val="false"/>
          <w:iCs w:val="false"/>
          <w:sz w:val="21"/>
          <w:szCs w:val="21"/>
        </w:rPr>
        <w:t xml:space="preserve">Yegyi Township remains the base/pilot node throughout this document — it is directly documented as actively affected, and the Myanmar Red Cross Society's Yegyi Township branch is a concrete, real target-user anchor — but the rule base and network now span 25 townships across the Delta's real flood-frequency tiers (Section 6), not an arbitrary sample.</w:t>
      </w:r>
    </w:p>
    <w:p>
      <w:pPr>
        <w:spacing w:after="140"/>
      </w:pPr>
      <w:r>
        <w:rPr>
          <w:rFonts w:ascii="Calibri" w:cs="Calibri" w:eastAsia="Calibri" w:hAnsi="Calibri"/>
          <w:b w:val="false"/>
          <w:bCs w:val="false"/>
          <w:i w:val="false"/>
          <w:iCs w:val="false"/>
          <w:sz w:val="21"/>
          <w:szCs w:val="21"/>
        </w:rPr>
        <w:t xml:space="preserve">The architectural pattern — rule-based severity/action assessment, separate urgency scoring, capability-filtered resource matching, then shortest-path selection — mirrors IRIS-AI, a deployed AI resource-recommendation system used by six UK fire departments (roughly 15 million people covered), which advises a human incident commander rather than acting autonomously. No equivalent deployed product exists specifically for flood response recommendation: real systems in this space (Google Flood Hub; the Flash Flood Guidance System covering the Lower Mekong Basin; Myanmar's own DMH/AIRBM system, Section 17) forecast and alert, they do not recommend a specific unit or shelter.</w:t>
      </w:r>
    </w:p>
    <w:p>
      <w:pPr>
        <w:pageBreakBefore/>
        <w:pBdr>
          <w:bottom w:val="double" w:color="0F3345" w:sz="8" w:space="6"/>
        </w:pBdr>
        <w:spacing w:after="200" w:before="0"/>
      </w:pPr>
      <w:r>
        <w:rPr>
          <w:rFonts w:ascii="Calibri" w:cs="Calibri" w:eastAsia="Calibri" w:hAnsi="Calibri"/>
          <w:b/>
          <w:bCs/>
          <w:color w:val="0F3345"/>
          <w:sz w:val="30"/>
          <w:szCs w:val="30"/>
        </w:rPr>
        <w:t xml:space="preserve">3.  Target Users</w:t>
      </w:r>
    </w:p>
    <w:p>
      <w:pPr>
        <w:spacing w:after="100" w:before="220"/>
      </w:pPr>
      <w:r>
        <w:rPr>
          <w:rFonts w:ascii="Calibri" w:cs="Calibri" w:eastAsia="Calibri" w:hAnsi="Calibri"/>
          <w:b/>
          <w:bCs/>
          <w:color w:val="3A6B7A"/>
          <w:sz w:val="21"/>
          <w:szCs w:val="21"/>
        </w:rPr>
        <w:t xml:space="preserve">Primary user</w:t>
      </w:r>
    </w:p>
    <w:p>
      <w:pPr>
        <w:spacing w:after="140"/>
      </w:pPr>
      <w:r>
        <w:rPr>
          <w:rFonts w:ascii="Calibri" w:cs="Calibri" w:eastAsia="Calibri" w:hAnsi="Calibri"/>
          <w:b w:val="false"/>
          <w:bCs w:val="false"/>
          <w:i w:val="false"/>
          <w:iCs w:val="false"/>
          <w:sz w:val="21"/>
          <w:szCs w:val="21"/>
        </w:rPr>
        <w:t xml:space="preserve">A township-level emergency responder: a Myanmar Red Cross Society (MRCS) branch coordinator, or a member of a Township Disaster Management Committee. MRCS and equivalent committees operate a branch in essentially every township, which is what makes a region-wide (not Yegyi-only) network a realistic requirement.</w:t>
      </w:r>
    </w:p>
    <w:p>
      <w:pPr>
        <w:spacing w:after="100" w:before="220"/>
      </w:pPr>
      <w:r>
        <w:rPr>
          <w:rFonts w:ascii="Calibri" w:cs="Calibri" w:eastAsia="Calibri" w:hAnsi="Calibri"/>
          <w:b/>
          <w:bCs/>
          <w:color w:val="3A6B7A"/>
          <w:sz w:val="21"/>
          <w:szCs w:val="21"/>
        </w:rPr>
        <w:t xml:space="preserve">Secondary users (named, not built for in this version)</w:t>
      </w:r>
    </w:p>
    <w:p>
      <w:pPr>
        <w:pStyle w:val="ListParagraph"/>
        <w:numPr>
          <w:ilvl w:val="0"/>
          <w:numId w:val="2"/>
        </w:numPr>
        <w:spacing w:after="60"/>
      </w:pPr>
      <w:r>
        <w:rPr>
          <w:rFonts w:ascii="Calibri" w:cs="Calibri" w:eastAsia="Calibri" w:hAnsi="Calibri"/>
          <w:sz w:val="21"/>
          <w:szCs w:val="21"/>
        </w:rPr>
        <w:t xml:space="preserve">A regional coordinator overseeing multiple townships during a region-wide event — needs the multi-case overview in Section 13.3.</w:t>
      </w:r>
    </w:p>
    <w:p>
      <w:pPr>
        <w:pStyle w:val="ListParagraph"/>
        <w:numPr>
          <w:ilvl w:val="0"/>
          <w:numId w:val="2"/>
        </w:numPr>
        <w:spacing w:after="60"/>
      </w:pPr>
      <w:r>
        <w:rPr>
          <w:rFonts w:ascii="Calibri" w:cs="Calibri" w:eastAsia="Calibri" w:hAnsi="Calibri"/>
          <w:sz w:val="21"/>
          <w:szCs w:val="21"/>
        </w:rPr>
        <w:t xml:space="preserve">An operations/admin user updating fleet and shelter status, or DMH gauge readings — currently just data edits, no admin UI (Section 20).</w:t>
      </w:r>
    </w:p>
    <w:p>
      <w:pPr>
        <w:spacing w:after="100" w:before="220"/>
      </w:pPr>
      <w:r>
        <w:rPr>
          <w:rFonts w:ascii="Calibri" w:cs="Calibri" w:eastAsia="Calibri" w:hAnsi="Calibri"/>
          <w:b/>
          <w:bCs/>
          <w:color w:val="3A6B7A"/>
          <w:sz w:val="21"/>
          <w:szCs w:val="21"/>
        </w:rPr>
        <w:t xml:space="preserve">What the system is not</w:t>
      </w:r>
    </w:p>
    <w:p>
      <w:pPr>
        <w:spacing w:after="140"/>
      </w:pPr>
      <w:r>
        <w:rPr>
          <w:rFonts w:ascii="Calibri" w:cs="Calibri" w:eastAsia="Calibri" w:hAnsi="Calibri"/>
          <w:b w:val="false"/>
          <w:bCs w:val="false"/>
          <w:i w:val="false"/>
          <w:iCs w:val="false"/>
          <w:sz w:val="21"/>
          <w:szCs w:val="21"/>
        </w:rPr>
        <w:t xml:space="preserve">Not autonomous: it does not contact rescue crews or shelters directly and does not override human judgment.</w:t>
      </w:r>
    </w:p>
    <w:p>
      <w:pPr>
        <w:pageBreakBefore/>
        <w:pBdr>
          <w:bottom w:val="double" w:color="0F3345" w:sz="8" w:space="6"/>
        </w:pBdr>
        <w:spacing w:after="200" w:before="0"/>
      </w:pPr>
      <w:r>
        <w:rPr>
          <w:rFonts w:ascii="Calibri" w:cs="Calibri" w:eastAsia="Calibri" w:hAnsi="Calibri"/>
          <w:b/>
          <w:bCs/>
          <w:color w:val="0F3345"/>
          <w:sz w:val="30"/>
          <w:szCs w:val="30"/>
        </w:rPr>
        <w:t xml:space="preserve">4.  System Architecture Overview</w:t>
      </w:r>
    </w:p>
    <w:p>
      <w:pPr>
        <w:spacing w:after="140"/>
      </w:pPr>
      <w:r>
        <w:rPr>
          <w:rFonts w:ascii="Calibri" w:cs="Calibri" w:eastAsia="Calibri" w:hAnsi="Calibri"/>
          <w:b w:val="false"/>
          <w:bCs w:val="false"/>
          <w:i w:val="false"/>
          <w:iCs w:val="false"/>
          <w:sz w:val="21"/>
          <w:szCs w:val="21"/>
        </w:rPr>
        <w:t xml:space="preserve">Two technologies do the real work: Next.js (React on the client, Node.js/TypeScript API routes on the server) and SWI-Prolog (the reasoning engine, reached over HTTP). No Python, no machine learning.</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React (client)  --fetch--&gt;  Next.js API Route (Node/TS)  --HTTP--&gt;  SWI-Prolog HTTP server</w:t>
      </w:r>
      <w:r>
        <w:rPr>
          <w:rFonts w:ascii="Consolas" w:cs="Consolas" w:eastAsia="Consolas" w:hAnsi="Consolas"/>
          <w:sz w:val="18"/>
          <w:szCs w:val="18"/>
        </w:rPr>
        <w:br/>
        <w:t xml:space="preserve">     ^                              |    ^                                |</w:t>
      </w:r>
      <w:r>
        <w:rPr>
          <w:rFonts w:ascii="Consolas" w:cs="Consolas" w:eastAsia="Consolas" w:hAnsi="Consolas"/>
          <w:sz w:val="18"/>
          <w:szCs w:val="18"/>
        </w:rPr>
        <w:br/>
        <w:t xml:space="preserve">     +-------- JSON response -------+    +---------- JSON facts in, ------+</w:t>
      </w:r>
      <w:r>
        <w:rPr>
          <w:rFonts w:ascii="Consolas" w:cs="Consolas" w:eastAsia="Consolas" w:hAnsi="Consolas"/>
          <w:sz w:val="18"/>
          <w:szCs w:val="18"/>
        </w:rPr>
        <w:br/>
        <w:t xml:space="preserve">                                          JSON assessment out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PostgreSQL (Case, RescueUnit, Shelter,</w:t>
      </w:r>
      <w:r>
        <w:rPr>
          <w:rFonts w:ascii="Consolas" w:cs="Consolas" w:eastAsia="Consolas" w:hAnsi="Consolas"/>
          <w:sz w:val="18"/>
          <w:szCs w:val="18"/>
        </w:rPr>
        <w:br/>
        <w:t xml:space="preserve">                          GaugeStation, reservation state — Section 5)</w:t>
      </w:r>
    </w:p>
    <w:p>
      <w:pPr>
        <w:spacing w:after="140"/>
      </w:pPr>
      <w:r>
        <w:rPr>
          <w:rFonts w:ascii="Calibri" w:cs="Calibri" w:eastAsia="Calibri" w:hAnsi="Calibri"/>
          <w:b w:val="false"/>
          <w:bCs w:val="false"/>
          <w:i w:val="false"/>
          <w:iCs w:val="false"/>
          <w:sz w:val="21"/>
          <w:szCs w:val="21"/>
        </w:rPr>
        <w:t xml:space="preserve">Prolog's only job: given facts about one township's current conditions, return severity, recommended action, and the required-capability set. All resource selection (unit, shelter, route) is TypeScript logic in the API route.</w:t>
      </w:r>
    </w:p>
    <w:p>
      <w:pPr>
        <w:spacing w:after="140"/>
      </w:pPr>
      <w:r>
        <w:rPr>
          <w:rFonts w:ascii="Calibri" w:cs="Calibri" w:eastAsia="Calibri" w:hAnsi="Calibri"/>
          <w:b w:val="false"/>
          <w:bCs w:val="false"/>
          <w:i w:val="false"/>
          <w:iCs w:val="false"/>
          <w:sz w:val="21"/>
          <w:szCs w:val="21"/>
        </w:rPr>
        <w:t xml:space="preserve">Case, RescueUnit, Shelter, GaugeStation, and reservation state (Section 11) persist in a relational store — PostgreSQL throughout this document. The Section 5 schema maps directly to tables with foreign keys (Case.township_id → Township.id, Case.assigned_unit_id → RescueUnit.id, and so on), and Section 11's atomic reservation requirement is naturally expressed as a single transactional UPDATE. Fleet, shelter, and network reference data (Sections 5.1–5.3, 5.5, 5.6) can be seeded once and edited manually for this prototype, but Case and reservation state (Section 5.4, Section 11) must be real persisted rows, not in-memory server state — two concurrent API requests reading and writing the same RescueUnit row is exactly the concurrency scenario Section 11 depends on the database to arbitrate correctly.</w:t>
      </w:r>
    </w:p>
    <w:p>
      <w:pPr>
        <w:keepLines/>
        <w:pBdr>
          <w:left w:val="single" w:color="1F4E5F" w:sz="18"/>
        </w:pBdr>
        <w:shd w:fill="EAF1F4" w:color="auto" w:val="clear"/>
        <w:spacing w:after="200"/>
        <w:ind w:left="120"/>
      </w:pPr>
      <w:r>
        <w:rPr>
          <w:rFonts w:ascii="Calibri" w:cs="Calibri" w:eastAsia="Calibri" w:hAnsi="Calibri"/>
          <w:b/>
          <w:bCs/>
          <w:color w:val="1F4E5F"/>
          <w:sz w:val="20"/>
          <w:szCs w:val="20"/>
        </w:rPr>
        <w:t xml:space="preserve">Client-only components: </w:t>
      </w:r>
      <w:r>
        <w:rPr>
          <w:rFonts w:ascii="Calibri" w:cs="Calibri" w:eastAsia="Calibri" w:hAnsi="Calibri"/>
          <w:i/>
          <w:iCs/>
          <w:sz w:val="20"/>
          <w:szCs w:val="20"/>
        </w:rPr>
        <w:t xml:space="preserve">The Leaflet map must be a client-only component (‘use client’, SSR disabled for that piece) because Leaflet needs a real browser window and Next.js otherwise pre-renders on the server by default.</w:t>
      </w:r>
    </w:p>
    <w:p>
      <w:pPr>
        <w:pageBreakBefore/>
        <w:pBdr>
          <w:bottom w:val="double" w:color="0F3345" w:sz="8" w:space="6"/>
        </w:pBdr>
        <w:spacing w:after="200" w:before="0"/>
      </w:pPr>
      <w:r>
        <w:rPr>
          <w:rFonts w:ascii="Calibri" w:cs="Calibri" w:eastAsia="Calibri" w:hAnsi="Calibri"/>
          <w:b/>
          <w:bCs/>
          <w:color w:val="0F3345"/>
          <w:sz w:val="30"/>
          <w:szCs w:val="30"/>
        </w:rPr>
        <w:t xml:space="preserve">5.  Data Model</w:t>
      </w:r>
    </w:p>
    <w:p>
      <w:pPr>
        <w:spacing w:after="140"/>
      </w:pPr>
      <w:r>
        <w:rPr>
          <w:rFonts w:ascii="Calibri" w:cs="Calibri" w:eastAsia="Calibri" w:hAnsi="Calibri"/>
          <w:b w:val="false"/>
          <w:bCs w:val="false"/>
          <w:i w:val="false"/>
          <w:iCs w:val="false"/>
          <w:sz w:val="21"/>
          <w:szCs w:val="21"/>
        </w:rPr>
        <w:t xml:space="preserve">Field names here are fixed identifiers used throughout the rest of this document.</w:t>
      </w:r>
    </w:p>
    <w:p>
      <w:pPr>
        <w:spacing w:after="100" w:before="220"/>
      </w:pPr>
      <w:r>
        <w:rPr>
          <w:rFonts w:ascii="Calibri" w:cs="Calibri" w:eastAsia="Calibri" w:hAnsi="Calibri"/>
          <w:b/>
          <w:bCs/>
          <w:color w:val="3A6B7A"/>
          <w:sz w:val="21"/>
          <w:szCs w:val="21"/>
        </w:rPr>
        <w:t xml:space="preserve">5.1  Township (network node)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4100"/>
      </w:tblGrid>
      <w:tr>
        <w:tc>
          <w:tcPr>
            <w:tcW w:type="dxa" w:w="1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1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4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 (slug)</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"yegyi" — used as the Prolog atom directly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display_name</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"Yegyi"</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district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one of the region's districts, e.g. Pathein, Hinthada, Ma-ubin, Pyapon, Labutta, Myaungmya, Kyonpyaw, Thayarwady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hazard_tier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riverine_upper | riverine_central | coastal_surge | hub — see Section 6.1</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gauge_station_id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GaugeStation.id, nullable</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the DMH station this township's severity references — see Section 6.2</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lat, lng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float, float</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approximate real coordinates, for the Leaflet map only</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is_base</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boolean</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true only for Yegyi — marks the pilot node in the UI, no logic depends on it</w:t>
            </w:r>
          </w:p>
        </w:tc>
      </w:tr>
    </w:tbl>
    <w:p>
      <w:pPr>
        <w:spacing w:after="100" w:before="220"/>
      </w:pPr>
      <w:r>
        <w:rPr>
          <w:rFonts w:ascii="Calibri" w:cs="Calibri" w:eastAsia="Calibri" w:hAnsi="Calibri"/>
          <w:b/>
          <w:bCs/>
          <w:color w:val="3A6B7A"/>
          <w:sz w:val="21"/>
          <w:szCs w:val="21"/>
        </w:rPr>
        <w:t xml:space="preserve">5.2  GaugeStation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100"/>
      </w:tblGrid>
      <w:tr>
        <w:tc>
          <w:tcPr>
            <w:tcW w:type="dxa" w:w="1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3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3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id</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"hinthada_gauge"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"Ayeyarwady", "Ngawun", "Toe", "Pathein"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danger_level_cm</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w:t>
            </w:r>
          </w:p>
        </w:tc>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real DMH datum — see Section 6.2 table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source_note</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3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"DMH daily water-level forecast, 26 June 2025" — see Section 17 caveat on this being a single dated snapshot</w:t>
            </w:r>
          </w:p>
        </w:tc>
      </w:tr>
    </w:tbl>
    <w:p>
      <w:pPr>
        <w:spacing w:after="100" w:before="220"/>
      </w:pPr>
      <w:r>
        <w:rPr>
          <w:rFonts w:ascii="Calibri" w:cs="Calibri" w:eastAsia="Calibri" w:hAnsi="Calibri"/>
          <w:b/>
          <w:bCs/>
          <w:color w:val="3A6B7A"/>
          <w:sz w:val="21"/>
          <w:szCs w:val="21"/>
        </w:rPr>
        <w:t xml:space="preserve">5.3  NetworkEdge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900"/>
      </w:tblGrid>
      <w:tr>
        <w:tc>
          <w:tcPr>
            <w:tcW w:type="dxa" w:w="1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2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3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from, to</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Township.id, Township.id</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undirected</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distance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number</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abstract relative-distance unit for water-route travel between townships, not kilometers and not road distance — Section 7.5, Section 10.1</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passable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boolean</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default true; represents a water-route obstruction (e.g. a collapsed bridge span blocking a channel), not road condition — see Section 7.5. Operator-maintained network data, same as RescueUnit/Shelter status (Section 16) — set false when a specific segment is known to be out; Dijkstra (Section 10) automatically excludes any edge with passable=false and finds the next-shortest route with no separate logic needed.</w:t>
            </w:r>
          </w:p>
        </w:tc>
      </w:tr>
    </w:tbl>
    <w:p>
      <w:pPr>
        <w:spacing w:after="100" w:before="220"/>
      </w:pPr>
      <w:r>
        <w:rPr>
          <w:rFonts w:ascii="Calibri" w:cs="Calibri" w:eastAsia="Calibri" w:hAnsi="Calibri"/>
          <w:b/>
          <w:bCs/>
          <w:color w:val="3A6B7A"/>
          <w:sz w:val="21"/>
          <w:szCs w:val="21"/>
        </w:rPr>
        <w:t xml:space="preserve">5.4  Case (one flood report)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700"/>
      </w:tblGrid>
      <w:tr>
        <w:tc>
          <w:tcPr>
            <w:tcW w:type="dxa" w:w="2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2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3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case_id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format FLD-YYYYMMDD-NNN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Township.id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required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gauge_reading_cm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current reading at the township's referenced gauge station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upstream_heavy_rain_days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 0–3+</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consecutive days of heavy rainfall reported in the upstream catchment — the compilation's documented trigger pattern (3+ days raises river levels 0.6–1.3 m)</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local_rainfall</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light | moderate | heavy | very_heavy — local rainfall, kept as a secondary/flash-flood signal, not the primary severity driver</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embankment_status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intact | breached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terrain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low_lying | elevated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road_status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open | impassable — a ground-access signal at the reported township only; determines whether the responding RescueUnit must be motorized (Section 7.3). Does NOT affect NetworkEdge.passable or routing — Section 7.5.</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vulnerable_present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boolean</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injured_survivors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boolean</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affected_population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reported_at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ISO 8601 timestamp</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server-set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status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open | assessed | dispatched | resolved | cancelled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severity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 (assigned)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low | moderate | high | severe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recommended_action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 (assigned)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required_capabilities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array of enum (assigned)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subset of { motorized, medical_support }</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priority_score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 (assigned)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priority_band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 (assigned)</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low | moderate | high | critical</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assigned_unit_id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RescueUnit.id, nullable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assigned_shelter_id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Shelter.id, nullable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bl>
    <w:p>
      <w:pPr>
        <w:spacing w:after="140"/>
      </w:pPr>
      <w:r>
        <w:rPr>
          <w:rFonts w:ascii="Calibri" w:cs="Calibri" w:eastAsia="Calibri" w:hAnsi="Calibri"/>
          <w:b w:val="false"/>
          <w:bCs w:val="false"/>
          <w:i/>
          <w:iCs/>
          <w:sz w:val="21"/>
          <w:szCs w:val="21"/>
        </w:rPr>
        <w:t xml:space="preserve">River condition is captured as gauge_reading_cm, a real number compared against the station's danger level in Section 7.1 — not a self-reported category.</w:t>
      </w:r>
    </w:p>
    <w:p>
      <w:pPr>
        <w:spacing w:after="100" w:before="220"/>
      </w:pPr>
      <w:r>
        <w:rPr>
          <w:rFonts w:ascii="Calibri" w:cs="Calibri" w:eastAsia="Calibri" w:hAnsi="Calibri"/>
          <w:b/>
          <w:bCs/>
          <w:color w:val="3A6B7A"/>
          <w:sz w:val="21"/>
          <w:szCs w:val="21"/>
        </w:rPr>
        <w:t xml:space="preserve">5.5  RescueUnit</w:t>
      </w:r>
    </w:p>
    <w:p>
      <w:pPr>
        <w:spacing w:after="140"/>
      </w:pPr>
      <w:r>
        <w:rPr>
          <w:rFonts w:ascii="Calibri" w:cs="Calibri" w:eastAsia="Calibri" w:hAnsi="Calibri"/>
          <w:b w:val="false"/>
          <w:bCs w:val="false"/>
          <w:i w:val="false"/>
          <w:iCs w:val="false"/>
          <w:sz w:val="21"/>
          <w:szCs w:val="21"/>
        </w:rPr>
        <w:t xml:space="preserve">Every RescueUnit in this network is a rescue boat — there is no land-vehicle unit type in this version. This is why mobility is motorized | standard rather than, say, a vehicle-class enum: a motorized unit is an engine-powered boat, a standard unit is a non-motorized (paddle/oar) boat, and both travel the water routes in Section 5.3/6.3 identically. This fact is load-bearing for Section 7.5's routing logic and Section 7.3's capability rules — it is stated here, not only inferred from the "RB-" id convention below, so it cannot be missed by an implementer reading this section in isolation.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400"/>
      </w:tblGrid>
      <w:tr>
        <w:tc>
          <w:tcPr>
            <w:tcW w:type="dxa" w:w="1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2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4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"RB-01" — RB = Rescue Boat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home_township_id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Township.id</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status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 | reserved | deployed</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mobility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motorized | standard — see boat definition above</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medical_support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boolean</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see definition box below — NOT “has a first-aid kit”</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capacity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 nullable</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not enforced by any rule in this version</w:t>
            </w:r>
          </w:p>
        </w:tc>
      </w:tr>
    </w:tbl>
    <w:p>
      <w:pPr>
        <w:keepLines/>
        <w:pBdr>
          <w:left w:val="single" w:color="1F4E5F" w:sz="18"/>
        </w:pBdr>
        <w:shd w:fill="EAF1F4" w:color="auto" w:val="clear"/>
        <w:spacing w:after="200"/>
        <w:ind w:left="120"/>
      </w:pPr>
      <w:r>
        <w:rPr>
          <w:rFonts w:ascii="Calibri" w:cs="Calibri" w:eastAsia="Calibri" w:hAnsi="Calibri"/>
          <w:b/>
          <w:bCs/>
          <w:color w:val="1F4E5F"/>
          <w:sz w:val="20"/>
          <w:szCs w:val="20"/>
        </w:rPr>
        <w:t xml:space="preserve">Definition — medical_support: </w:t>
      </w:r>
      <w:r>
        <w:rPr>
          <w:rFonts w:ascii="Calibri" w:cs="Calibri" w:eastAsia="Calibri" w:hAnsi="Calibri"/>
          <w:i/>
          <w:iCs/>
          <w:sz w:val="20"/>
          <w:szCs w:val="20"/>
        </w:rPr>
        <w:t xml:space="preserve">true means a trained person — a medic, a health worker, or an MRCS-trained first-aider — is assigned to this unit, not merely that it carries a first-aid kit (assumed present on every unit as a baseline, not modelled as a variable). Mirrors how IRIS-AI's real fire-department model treats personnel training as its own capability dimension.</w:t>
      </w:r>
    </w:p>
    <w:p>
      <w:pPr>
        <w:spacing w:after="100" w:before="220"/>
      </w:pPr>
      <w:r>
        <w:rPr>
          <w:rFonts w:ascii="Calibri" w:cs="Calibri" w:eastAsia="Calibri" w:hAnsi="Calibri"/>
          <w:b/>
          <w:bCs/>
          <w:color w:val="3A6B7A"/>
          <w:sz w:val="21"/>
          <w:szCs w:val="21"/>
        </w:rPr>
        <w:t xml:space="preserve">5.6  Shelter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tblGrid>
      <w:tr>
        <w:tc>
          <w:tcPr>
            <w:tcW w:type="dxa" w:w="1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Field</w:t>
            </w:r>
          </w:p>
        </w:tc>
        <w:tc>
          <w:tcPr>
            <w:tcW w:type="dxa" w:w="2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Type</w:t>
            </w:r>
          </w:p>
        </w:tc>
        <w:tc>
          <w:tcPr>
            <w:tcW w:type="dxa" w:w="4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Notes</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e.g. "S-01"</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display_name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string</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township_id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Township.id</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status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accepting | full | reserved_full</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capability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enum</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general | medical_equipped</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capacity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integer, nullable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not enforced by any rule in this version</w:t>
            </w:r>
          </w:p>
        </w:tc>
      </w:tr>
    </w:tbl>
    <w:p>
      <w:pPr>
        <w:keepLines/>
        <w:pBdr>
          <w:left w:val="single" w:color="1F4E5F" w:sz="18"/>
        </w:pBdr>
        <w:shd w:fill="EAF1F4" w:color="auto" w:val="clear"/>
        <w:spacing w:after="200"/>
        <w:ind w:left="120"/>
      </w:pPr>
      <w:r>
        <w:rPr>
          <w:rFonts w:ascii="Calibri" w:cs="Calibri" w:eastAsia="Calibri" w:hAnsi="Calibri"/>
          <w:b/>
          <w:bCs/>
          <w:color w:val="1F4E5F"/>
          <w:sz w:val="20"/>
          <w:szCs w:val="20"/>
        </w:rPr>
        <w:t xml:space="preserve">Definition — medical_equipped: </w:t>
      </w:r>
      <w:r>
        <w:rPr>
          <w:rFonts w:ascii="Calibri" w:cs="Calibri" w:eastAsia="Calibri" w:hAnsi="Calibri"/>
          <w:i/>
          <w:iCs/>
          <w:sz w:val="20"/>
          <w:szCs w:val="20"/>
        </w:rPr>
        <w:t xml:space="preserve">stocked with medical supplies AND staffed by a health worker on-site — not merely a first-aid box in storage.</w:t>
      </w:r>
    </w:p>
    <w:p>
      <w:pPr>
        <w:pageBreakBefore/>
        <w:pBdr>
          <w:bottom w:val="double" w:color="0F3345" w:sz="8" w:space="6"/>
        </w:pBdr>
        <w:spacing w:after="200" w:before="0"/>
      </w:pPr>
      <w:r>
        <w:rPr>
          <w:rFonts w:ascii="Calibri" w:cs="Calibri" w:eastAsia="Calibri" w:hAnsi="Calibri"/>
          <w:b/>
          <w:bCs/>
          <w:color w:val="0F3345"/>
          <w:sz w:val="30"/>
          <w:szCs w:val="30"/>
        </w:rPr>
        <w:t xml:space="preserve">6.  Regional Network Specification</w:t>
      </w:r>
    </w:p>
    <w:p>
      <w:pPr>
        <w:spacing w:after="140"/>
      </w:pPr>
      <w:r>
        <w:rPr>
          <w:rFonts w:ascii="Calibri" w:cs="Calibri" w:eastAsia="Calibri" w:hAnsi="Calibri"/>
          <w:b w:val="false"/>
          <w:bCs w:val="false"/>
          <w:i w:val="false"/>
          <w:iCs w:val="false"/>
          <w:sz w:val="21"/>
          <w:szCs w:val="21"/>
        </w:rPr>
        <w:t xml:space="preserve">The network spans the 25 townships the compilation's satellite-verified flood-frequency tiering identifies as the region's priority set — 18 in the riverine hazard zone this system models now, plus 7 coastal townships carried as network nodes (for shelter/logistics purposes) but explicitly not yet modeled for their dominant hazard, cyclone storm surge (Section 7.6, Section 20).</w:t>
      </w:r>
    </w:p>
    <w:p>
      <w:pPr>
        <w:spacing w:after="100" w:before="220"/>
      </w:pPr>
      <w:r>
        <w:rPr>
          <w:rFonts w:ascii="Calibri" w:cs="Calibri" w:eastAsia="Calibri" w:hAnsi="Calibri"/>
          <w:b/>
          <w:bCs/>
          <w:color w:val="3A6B7A"/>
          <w:sz w:val="21"/>
          <w:szCs w:val="21"/>
        </w:rPr>
        <w:t xml:space="preserve">6.1  Township list by tier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900"/>
      </w:tblGrid>
      <w:tr>
        <w:tc>
          <w:tcPr>
            <w:tcW w:type="dxa" w:w="2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Tier</w:t>
            </w:r>
          </w:p>
        </w:tc>
        <w:tc>
          <w:tcPr>
            <w:tcW w:type="dxa" w:w="3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Townships</w:t>
            </w:r>
          </w:p>
        </w:tc>
        <w:tc>
          <w:tcPr>
            <w:tcW w:type="dxa" w:w="2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Basis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Riverine — upper (Ayeyarwady mainstem)</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Hinthada, Zalun, Myanaung, Kyangin, Ingapu</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Flood almost every year; Hinthada floods twice, sometimes three times a year, water exceeding danger level by ~2.13 m for 15–16 days (Hinthada University Geography Dept via ADPC)</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Riverine — Ngawun River corridor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 Ngathaingchaung, Thabaung, Yegyi, Kyonpyaw, Kyaunggon, Kangyidaunt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Site of the July 2026 embankment breach and its documented flood path; includes the project's base township, Yegyi</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Riverine — delta central (Toe River / Ma-ubin district)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 Pantanaw, Nyaungdon, Danubyu</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World Bank flood-extent note names Nyaungdon among the worst-hit townships in the region for cropland/asset exposure — independently validating this project's earlier choice of the Nyaungdon flood-hazard paper as a threshold source (Section 17)</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Coastal — cyclone storm-surge zone (network nodes only; hazard not yet modeled, Section 7.6)</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Labutta, Bogale, Mawlamyinegyun, Pyapon, Dedaye, Kyaiklat, Ngapudaw, Myaungmya</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Catastrophic under storm surge (Cyclone Nargis: Labutta ~80,000 dead, Bogale ~10,000 dead) but comparatively low pure-monsoon riverine frequency; also flagged as most sea-level-rise-vulnerable (Seeger et al. 2023, HESS)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Hub</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Region capital; own DMH gauge; highest documented monsoon flood frequency of any single station (flooded some area every month in the 2015–2023 satellite study); logistics link between the Ngawun corridor and the coastal tier</w:t>
            </w:r>
          </w:p>
        </w:tc>
      </w:tr>
    </w:tbl>
    <w:p>
      <w:pPr>
        <w:spacing w:after="100" w:before="220"/>
      </w:pPr>
      <w:r>
        <w:rPr>
          <w:rFonts w:ascii="Calibri" w:cs="Calibri" w:eastAsia="Calibri" w:hAnsi="Calibri"/>
          <w:b/>
          <w:bCs/>
          <w:color w:val="3A6B7A"/>
          <w:sz w:val="21"/>
          <w:szCs w:val="21"/>
        </w:rPr>
        <w:t xml:space="preserve">6.2  Gauge stations (GaugeStation records, Section 5.2)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3700"/>
      </w:tblGrid>
      <w:tr>
        <w:tc>
          <w:tcPr>
            <w:tcW w:type="dxa" w:w="1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Station</w:t>
            </w:r>
          </w:p>
        </w:tc>
        <w:tc>
          <w:tcPr>
            <w:tcW w:type="dxa" w:w="1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River</w:t>
            </w:r>
          </w:p>
        </w:tc>
        <w:tc>
          <w:tcPr>
            <w:tcW w:type="dxa" w:w="1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Danger level</w:t>
            </w:r>
          </w:p>
        </w:tc>
        <w:tc>
          <w:tcPr>
            <w:tcW w:type="dxa" w:w="3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Townships referencing this station (assumption — see note below)</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Hinthada</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Ayeyarwady</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1342 cm (~44.0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Hinthada</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Zalun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Ayeyarwady</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1160 cm (~38.1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Zalun, Myanaung, Kyangin, Ingapu</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Ngathaingchaung</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Ngawun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1160 cm (~38.1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Ngathaingchaung, Lemyethna, Yegyi, Kyonpyaw</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Thabaung</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Ngawun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620 cm (~20.3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Thabaung, Kyaunggon, Kangyidaunt</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720 cm (~23.6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 Pantanaw, Nyaungdon, Danubyu</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Pathein/Ngawun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350 cm (~11.5 ft)</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r>
    </w:tbl>
    <w:p>
      <w:pPr>
        <w:keepLines/>
        <w:pBdr>
          <w:left w:val="single" w:color="1F4E5F" w:sz="18"/>
        </w:pBdr>
        <w:shd w:fill="FBEFE0" w:color="auto" w:val="clear"/>
        <w:spacing w:after="200"/>
        <w:ind w:left="120"/>
      </w:pPr>
      <w:r>
        <w:rPr>
          <w:rFonts w:ascii="Calibri" w:cs="Calibri" w:eastAsia="Calibri" w:hAnsi="Calibri"/>
          <w:b/>
          <w:bCs/>
          <w:color w:val="1F4E5F"/>
          <w:sz w:val="20"/>
          <w:szCs w:val="20"/>
        </w:rPr>
        <w:t xml:space="preserve">Assumption flagged for validation: </w:t>
      </w:r>
      <w:r>
        <w:rPr>
          <w:rFonts w:ascii="Calibri" w:cs="Calibri" w:eastAsia="Calibri" w:hAnsi="Calibri"/>
          <w:i/>
          <w:iCs/>
          <w:sz w:val="20"/>
          <w:szCs w:val="20"/>
        </w:rPr>
        <w:t xml:space="preserve">The six danger levels themselves are real, sourced DMH data (26 June 2025 forecast table). The mapping of which non-gauge township references which station is this document's own reasonable geographic inference (by river course and district), not stated explicitly in the source compilation — an implementer with access to DMH's actual station-assignment convention should verify and correct this table before relying on it operationally.</w:t>
      </w:r>
    </w:p>
    <w:p>
      <w:pPr>
        <w:spacing w:after="100" w:before="220"/>
      </w:pPr>
      <w:r>
        <w:rPr>
          <w:rFonts w:ascii="Calibri" w:cs="Calibri" w:eastAsia="Calibri" w:hAnsi="Calibri"/>
          <w:b/>
          <w:bCs/>
          <w:color w:val="3A6B7A"/>
          <w:sz w:val="21"/>
          <w:szCs w:val="21"/>
        </w:rPr>
        <w:t xml:space="preserve">6.3  Edge table (canonical — build this directly, the diagram below is a visual aid only)</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tblGrid>
      <w:tr>
        <w:tc>
          <w:tcPr>
            <w:tcW w:type="dxa" w:w="2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Township A</w:t>
            </w:r>
          </w:p>
        </w:tc>
        <w:tc>
          <w:tcPr>
            <w:tcW w:type="dxa" w:w="2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Township B</w:t>
            </w:r>
          </w:p>
        </w:tc>
        <w:tc>
          <w:tcPr>
            <w:tcW w:type="dxa" w:w="2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Distance</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Hinthada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Zalun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Zalun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Myanaung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Myanaung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Kyangin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Zalun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Ingapu</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Hinthada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Ngathaingchaung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Ngathaingchaung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Thabaung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Yegyi</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Yegyi</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Kyonpyaw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Kyonpyaw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Kyaunggon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Kyonpyaw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Kangyidaunt</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Thabaung</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Kyonpyaw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Nyaungdon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Nyaungdon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Pantanaw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Maubin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Danubyu</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Ngapudaw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Mawlamyinegyun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Mawlamyinegyun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Labutta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Mawlamyinegyun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Bogale</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Mawlamyinegyun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Myaungmya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Myaungmya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Labutta</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Bogale</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Pyapon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Pyapon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Dedaye</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Pyapon</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Kyaiklat</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Pantanaw</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Dedaye</w:t>
            </w:r>
          </w:p>
        </w:tc>
        <w:tc>
          <w:tcPr>
            <w:tcW w:type="dxa" w:w="2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w:t>
            </w:r>
          </w:p>
        </w:tc>
      </w:tr>
    </w:tbl>
    <w:p>
      <w:pPr>
        <w:spacing w:after="140"/>
      </w:pPr>
      <w:r>
        <w:rPr>
          <w:rFonts w:ascii="Calibri" w:cs="Calibri" w:eastAsia="Calibri" w:hAnsi="Calibri"/>
          <w:b w:val="false"/>
          <w:bCs w:val="false"/>
          <w:i w:val="false"/>
          <w:iCs w:val="false"/>
          <w:sz w:val="21"/>
          <w:szCs w:val="21"/>
        </w:rPr>
        <w:t xml:space="preserve">26 edges across 25 nodes — every node reachable from every other. Four bridge edges connect the four clusters: Hinthada–Lemyethna (mainstem ↔ Ngawun corridor), Kyonpyaw–Nyaungdon (Ngawun corridor ↔ delta-central), Thabaung–Pathein (Ngawun corridor ↔ coastal hub), Pantanaw–Dedaye (delta-central ↔ coastal). Adding a 26th township only requires new edge rows — nothing else in the system needs to change.</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Ingapu   Kyangin</w:t>
      </w:r>
      <w:r>
        <w:rPr>
          <w:rFonts w:ascii="Consolas" w:cs="Consolas" w:eastAsia="Consolas" w:hAnsi="Consolas"/>
          <w:sz w:val="18"/>
          <w:szCs w:val="18"/>
        </w:rPr>
        <w:br/>
        <w:t xml:space="preserve">   \      /</w:t>
      </w:r>
      <w:r>
        <w:rPr>
          <w:rFonts w:ascii="Consolas" w:cs="Consolas" w:eastAsia="Consolas" w:hAnsi="Consolas"/>
          <w:sz w:val="18"/>
          <w:szCs w:val="18"/>
        </w:rPr>
        <w:br/>
        <w:t xml:space="preserve">   Zalun--Myanaung        Kangyidaunt   Kyaunggon</w:t>
      </w:r>
      <w:r>
        <w:rPr>
          <w:rFonts w:ascii="Consolas" w:cs="Consolas" w:eastAsia="Consolas" w:hAnsi="Consolas"/>
          <w:sz w:val="18"/>
          <w:szCs w:val="18"/>
        </w:rPr>
        <w:br/>
        <w:t xml:space="preserve">     |                        \           /</w:t>
      </w:r>
      <w:r>
        <w:rPr>
          <w:rFonts w:ascii="Consolas" w:cs="Consolas" w:eastAsia="Consolas" w:hAnsi="Consolas"/>
          <w:sz w:val="18"/>
          <w:szCs w:val="18"/>
        </w:rPr>
        <w:br/>
        <w:t xml:space="preserve">  Hinthada                    Kyonpyaw--Yegyi--Lemyethna</w:t>
      </w:r>
      <w:r>
        <w:rPr>
          <w:rFonts w:ascii="Consolas" w:cs="Consolas" w:eastAsia="Consolas" w:hAnsi="Consolas"/>
          <w:sz w:val="18"/>
          <w:szCs w:val="18"/>
        </w:rPr>
        <w:br/>
        <w:t xml:space="preserve">                                 |                |</w:t>
      </w:r>
      <w:r>
        <w:rPr>
          <w:rFonts w:ascii="Consolas" w:cs="Consolas" w:eastAsia="Consolas" w:hAnsi="Consolas"/>
          <w:sz w:val="18"/>
          <w:szCs w:val="18"/>
        </w:rPr>
        <w:br/>
        <w:t xml:space="preserve">                             Nyaungdon      Ngathaingchaung</w:t>
      </w:r>
      <w:r>
        <w:rPr>
          <w:rFonts w:ascii="Consolas" w:cs="Consolas" w:eastAsia="Consolas" w:hAnsi="Consolas"/>
          <w:sz w:val="18"/>
          <w:szCs w:val="18"/>
        </w:rPr>
        <w:br/>
        <w:t xml:space="preserve">                              /    \               |</w:t>
      </w:r>
      <w:r>
        <w:rPr>
          <w:rFonts w:ascii="Consolas" w:cs="Consolas" w:eastAsia="Consolas" w:hAnsi="Consolas"/>
          <w:sz w:val="18"/>
          <w:szCs w:val="18"/>
        </w:rPr>
        <w:br/>
        <w:t xml:space="preserve">                          Maubin   Danubyu       Thabaung</w:t>
      </w:r>
      <w:r>
        <w:rPr>
          <w:rFonts w:ascii="Consolas" w:cs="Consolas" w:eastAsia="Consolas" w:hAnsi="Consolas"/>
          <w:sz w:val="18"/>
          <w:szCs w:val="18"/>
        </w:rPr>
        <w:br/>
        <w:t xml:space="preserve">                            |                        |</w:t>
      </w:r>
      <w:r>
        <w:rPr>
          <w:rFonts w:ascii="Consolas" w:cs="Consolas" w:eastAsia="Consolas" w:hAnsi="Consolas"/>
          <w:sz w:val="18"/>
          <w:szCs w:val="18"/>
        </w:rPr>
        <w:br/>
        <w:t xml:space="preserve">                        Pantanaw               Pathein--Ngapudaw</w:t>
      </w:r>
      <w:r>
        <w:rPr>
          <w:rFonts w:ascii="Consolas" w:cs="Consolas" w:eastAsia="Consolas" w:hAnsi="Consolas"/>
          <w:sz w:val="18"/>
          <w:szCs w:val="18"/>
        </w:rPr>
        <w:br/>
        <w:t xml:space="preserve">                            \                  /</w:t>
      </w:r>
      <w:r>
        <w:rPr>
          <w:rFonts w:ascii="Consolas" w:cs="Consolas" w:eastAsia="Consolas" w:hAnsi="Consolas"/>
          <w:sz w:val="18"/>
          <w:szCs w:val="18"/>
        </w:rPr>
        <w:br/>
        <w:t xml:space="preserve">                            Dedaye        Mawlamyinegyun</w:t>
      </w:r>
      <w:r>
        <w:rPr>
          <w:rFonts w:ascii="Consolas" w:cs="Consolas" w:eastAsia="Consolas" w:hAnsi="Consolas"/>
          <w:sz w:val="18"/>
          <w:szCs w:val="18"/>
        </w:rPr>
        <w:br/>
        <w:t xml:space="preserve">                               \           /   |     \</w:t>
      </w:r>
      <w:r>
        <w:rPr>
          <w:rFonts w:ascii="Consolas" w:cs="Consolas" w:eastAsia="Consolas" w:hAnsi="Consolas"/>
          <w:sz w:val="18"/>
          <w:szCs w:val="18"/>
        </w:rPr>
        <w:br/>
        <w:t xml:space="preserve">                              Pyapon    Labutta  Myaungmya</w:t>
      </w:r>
      <w:r>
        <w:rPr>
          <w:rFonts w:ascii="Consolas" w:cs="Consolas" w:eastAsia="Consolas" w:hAnsi="Consolas"/>
          <w:sz w:val="18"/>
          <w:szCs w:val="18"/>
        </w:rPr>
        <w:br/>
        <w:t xml:space="preserve">                               /    </w:t>
      </w:r>
      <w:r>
        <w:rPr>
          <w:rFonts w:ascii="Consolas" w:cs="Consolas" w:eastAsia="Consolas" w:hAnsi="Consolas"/>
          <w:sz w:val="18"/>
          <w:szCs w:val="18"/>
        </w:rPr>
        <w:br/>
        <w:t xml:space="preserve">                           Bogale   (Mawlamyinegyun--Bogale also connects)</w:t>
      </w:r>
      <w:r>
        <w:rPr>
          <w:rFonts w:ascii="Consolas" w:cs="Consolas" w:eastAsia="Consolas" w:hAnsi="Consolas"/>
          <w:sz w:val="18"/>
          <w:szCs w:val="18"/>
        </w:rPr>
        <w:br/>
        <w:t xml:space="preserve">                                                Kyaiklat--Pyapon</w:t>
      </w:r>
    </w:p>
    <w:p>
      <w:pPr>
        <w:pageBreakBefore/>
        <w:pBdr>
          <w:bottom w:val="double" w:color="0F3345" w:sz="8" w:space="6"/>
        </w:pBdr>
        <w:spacing w:after="200" w:before="0"/>
      </w:pPr>
      <w:r>
        <w:rPr>
          <w:rFonts w:ascii="Calibri" w:cs="Calibri" w:eastAsia="Calibri" w:hAnsi="Calibri"/>
          <w:b/>
          <w:bCs/>
          <w:color w:val="0F3345"/>
          <w:sz w:val="30"/>
          <w:szCs w:val="30"/>
        </w:rPr>
        <w:t xml:space="preserve">7.  Prolog Reasoning Specification</w:t>
      </w:r>
    </w:p>
    <w:p>
      <w:pPr>
        <w:spacing w:after="140"/>
      </w:pPr>
      <w:r>
        <w:rPr>
          <w:rFonts w:ascii="Calibri" w:cs="Calibri" w:eastAsia="Calibri" w:hAnsi="Calibri"/>
          <w:b w:val="false"/>
          <w:bCs w:val="false"/>
          <w:i w:val="false"/>
          <w:iCs w:val="false"/>
          <w:sz w:val="21"/>
          <w:szCs w:val="21"/>
        </w:rPr>
        <w:t xml:space="preserve">Authoritative logic — an implementer should be able to transcribe this section into a .pl file with no design decisions left to make.</w:t>
      </w:r>
    </w:p>
    <w:p>
      <w:pPr>
        <w:spacing w:after="100" w:before="220"/>
      </w:pPr>
      <w:r>
        <w:rPr>
          <w:rFonts w:ascii="Calibri" w:cs="Calibri" w:eastAsia="Calibri" w:hAnsi="Calibri"/>
          <w:b/>
          <w:bCs/>
          <w:color w:val="3A6B7A"/>
          <w:sz w:val="21"/>
          <w:szCs w:val="21"/>
        </w:rPr>
        <w:t xml:space="preserve">7.1  Severity — gauge percentage of danger level</w:t>
      </w:r>
    </w:p>
    <w:p>
      <w:pPr>
        <w:spacing w:after="140"/>
      </w:pPr>
      <w:r>
        <w:rPr>
          <w:rFonts w:ascii="Calibri" w:cs="Calibri" w:eastAsia="Calibri" w:hAnsi="Calibri"/>
          <w:b w:val="false"/>
          <w:bCs w:val="false"/>
          <w:i w:val="false"/>
          <w:iCs w:val="false"/>
          <w:sz w:val="21"/>
          <w:szCs w:val="21"/>
        </w:rPr>
        <w:t xml:space="preserve">Step 1: compute gauge_percent = round(100 * gauge_reading_cm / danger_level_cm) using the township's referenced station (Section 6.2). Step 2: map to a base band.</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tblGrid>
      <w:tr>
        <w:tc>
          <w:tcPr>
            <w:tcW w:type="dxa" w:w="3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gauge_percent</w:t>
            </w:r>
          </w:p>
        </w:tc>
        <w:tc>
          <w:tcPr>
            <w:tcW w:type="dxa" w:w="3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Base severity band</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&lt; 70%</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low</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70% – 99%</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moderate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100% – 114%</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high</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115%</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severe</w:t>
            </w:r>
          </w:p>
        </w:tc>
      </w:tr>
    </w:tbl>
    <w:p>
      <w:pPr>
        <w:keepLines/>
        <w:pBdr>
          <w:left w:val="single" w:color="1F4E5F" w:sz="18"/>
        </w:pBdr>
        <w:shd w:fill="FBEFE0" w:color="auto" w:val="clear"/>
        <w:spacing w:after="200"/>
        <w:ind w:left="120"/>
      </w:pPr>
      <w:r>
        <w:rPr>
          <w:rFonts w:ascii="Calibri" w:cs="Calibri" w:eastAsia="Calibri" w:hAnsi="Calibri"/>
          <w:b/>
          <w:bCs/>
          <w:color w:val="1F4E5F"/>
          <w:sz w:val="20"/>
          <w:szCs w:val="20"/>
        </w:rPr>
        <w:t xml:space="preserve">Assumption flagged for validation: </w:t>
      </w:r>
      <w:r>
        <w:rPr>
          <w:rFonts w:ascii="Calibri" w:cs="Calibri" w:eastAsia="Calibri" w:hAnsi="Calibri"/>
          <w:i/>
          <w:iCs/>
          <w:sz w:val="20"/>
          <w:szCs w:val="20"/>
        </w:rPr>
        <w:t xml:space="preserve">DMH publishes only a single danger-level datum per station, not intermediate watch/warning thresholds (this is stated explicitly in the source compilation's own caveats). The 70% / 100% / 115% cut-points above are this document's own reasonable extrapolation, not DMH-published values — flagged exactly as required by this project's own rule (Section 16): stated as an assumption, not presented as sourced fact.</w:t>
      </w:r>
    </w:p>
    <w:p>
      <w:pPr>
        <w:spacing w:after="140"/>
      </w:pPr>
      <w:r>
        <w:rPr>
          <w:rFonts w:ascii="Calibri" w:cs="Calibri" w:eastAsia="Calibri" w:hAnsi="Calibri"/>
          <w:b w:val="false"/>
          <w:bCs w:val="false"/>
          <w:i w:val="false"/>
          <w:iCs w:val="false"/>
          <w:sz w:val="21"/>
          <w:szCs w:val="21"/>
        </w:rPr>
        <w:t xml:space="preserve">Step 3 — terrain modifier: if terrain = low_lying, raise the base band by one level (low→moderate→high→severe, capped at severe); elevated leaves it unmodified.</w:t>
      </w:r>
    </w:p>
    <w:p>
      <w:pPr>
        <w:spacing w:after="140"/>
      </w:pPr>
      <w:r>
        <w:rPr>
          <w:rFonts w:ascii="Calibri" w:cs="Calibri" w:eastAsia="Calibri" w:hAnsi="Calibri"/>
          <w:b w:val="false"/>
          <w:bCs w:val="false"/>
          <w:i w:val="false"/>
          <w:iCs w:val="false"/>
          <w:sz w:val="21"/>
          <w:szCs w:val="21"/>
        </w:rPr>
        <w:t xml:space="preserve">Step 4 — local rainfall floor: if local_rainfall = very_heavy, the result is never lower than moderate, regardless of gauge_percent — this keeps a local flash-flood signal visible even before the river itself has risen, matching the documented pattern that intense local rain can flood low-lying areas before upstream discharge arrives.</w:t>
      </w:r>
    </w:p>
    <w:p>
      <w:pPr>
        <w:spacing w:after="140"/>
      </w:pPr>
      <w:r>
        <w:rPr>
          <w:rFonts w:ascii="Calibri" w:cs="Calibri" w:eastAsia="Calibri" w:hAnsi="Calibri"/>
          <w:b/>
          <w:bCs/>
          <w:i w:val="false"/>
          <w:iCs w:val="false"/>
          <w:sz w:val="21"/>
          <w:szCs w:val="21"/>
        </w:rPr>
        <w:t xml:space="preserve">Step 5 — embankment override (the new, highest-priority rule): if embankment_status = breached, severity = severe unconditionally, regardless of every other input. This is deliberately not merged into the gauge table — the source compilation is explicit that “breaches cause step-changes independent of gauge readings,” and the July 2026 Lemyethna breach is the direct real-world justification: a breach can flood a township even where the gauge reading itself has not yet crossed its danger level.</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gauge_percent(Township, Percent) :-</w:t>
      </w:r>
      <w:r>
        <w:rPr>
          <w:rFonts w:ascii="Consolas" w:cs="Consolas" w:eastAsia="Consolas" w:hAnsi="Consolas"/>
          <w:sz w:val="18"/>
          <w:szCs w:val="18"/>
        </w:rPr>
        <w:br/>
        <w:t xml:space="preserve">    township_gauge_reading(Township, Reading),</w:t>
      </w:r>
      <w:r>
        <w:rPr>
          <w:rFonts w:ascii="Consolas" w:cs="Consolas" w:eastAsia="Consolas" w:hAnsi="Consolas"/>
          <w:sz w:val="18"/>
          <w:szCs w:val="18"/>
        </w:rPr>
        <w:br/>
        <w:t xml:space="preserve">    township_gauge_station(Township, Station),</w:t>
      </w:r>
      <w:r>
        <w:rPr>
          <w:rFonts w:ascii="Consolas" w:cs="Consolas" w:eastAsia="Consolas" w:hAnsi="Consolas"/>
          <w:sz w:val="18"/>
          <w:szCs w:val="18"/>
        </w:rPr>
        <w:br/>
        <w:t xml:space="preserve">    gauge_danger_level(Station, Danger),</w:t>
      </w:r>
      <w:r>
        <w:rPr>
          <w:rFonts w:ascii="Consolas" w:cs="Consolas" w:eastAsia="Consolas" w:hAnsi="Consolas"/>
          <w:sz w:val="18"/>
          <w:szCs w:val="18"/>
        </w:rPr>
        <w:br/>
        <w:t xml:space="preserve">    Percent is round(100 * Reading / Danger).</w:t>
      </w:r>
      <w:r>
        <w:rPr>
          <w:rFonts w:ascii="Consolas" w:cs="Consolas" w:eastAsia="Consolas" w:hAnsi="Consolas"/>
          <w:sz w:val="18"/>
          <w:szCs w:val="18"/>
        </w:rPr>
        <w:br/>
        <w:t xml:space="preserve"/>
      </w:r>
      <w:r>
        <w:rPr>
          <w:rFonts w:ascii="Consolas" w:cs="Consolas" w:eastAsia="Consolas" w:hAnsi="Consolas"/>
          <w:sz w:val="18"/>
          <w:szCs w:val="18"/>
        </w:rPr>
        <w:br/>
        <w:t xml:space="preserve">base_band(Percent, low)     :- Percent &lt; 70.</w:t>
      </w:r>
      <w:r>
        <w:rPr>
          <w:rFonts w:ascii="Consolas" w:cs="Consolas" w:eastAsia="Consolas" w:hAnsi="Consolas"/>
          <w:sz w:val="18"/>
          <w:szCs w:val="18"/>
        </w:rPr>
        <w:br/>
        <w:t xml:space="preserve">base_band(Percent, moderate):- Percent &gt;= 70,  Percent &lt; 100.</w:t>
      </w:r>
      <w:r>
        <w:rPr>
          <w:rFonts w:ascii="Consolas" w:cs="Consolas" w:eastAsia="Consolas" w:hAnsi="Consolas"/>
          <w:sz w:val="18"/>
          <w:szCs w:val="18"/>
        </w:rPr>
        <w:br/>
        <w:t xml:space="preserve">base_band(Percent, high)    :- Percent &gt;= 100, Percent &lt; 115.</w:t>
      </w:r>
      <w:r>
        <w:rPr>
          <w:rFonts w:ascii="Consolas" w:cs="Consolas" w:eastAsia="Consolas" w:hAnsi="Consolas"/>
          <w:sz w:val="18"/>
          <w:szCs w:val="18"/>
        </w:rPr>
        <w:br/>
        <w:t xml:space="preserve">base_band(Percent, severe)  :- Percent &gt;= 115.</w:t>
      </w:r>
      <w:r>
        <w:rPr>
          <w:rFonts w:ascii="Consolas" w:cs="Consolas" w:eastAsia="Consolas" w:hAnsi="Consolas"/>
          <w:sz w:val="18"/>
          <w:szCs w:val="18"/>
        </w:rPr>
        <w:br/>
        <w:t xml:space="preserve"/>
      </w:r>
      <w:r>
        <w:rPr>
          <w:rFonts w:ascii="Consolas" w:cs="Consolas" w:eastAsia="Consolas" w:hAnsi="Consolas"/>
          <w:sz w:val="18"/>
          <w:szCs w:val="18"/>
        </w:rPr>
        <w:br/>
        <w:t xml:space="preserve">raise(low, moderate). raise(moderate, high). raise(high, severe). raise(severe, severe).</w:t>
      </w:r>
      <w:r>
        <w:rPr>
          <w:rFonts w:ascii="Consolas" w:cs="Consolas" w:eastAsia="Consolas" w:hAnsi="Consolas"/>
          <w:sz w:val="18"/>
          <w:szCs w:val="18"/>
        </w:rPr>
        <w:br/>
        <w:t xml:space="preserve">at_least(Band, moderate, moderate) :- member(Band, [low]).</w:t>
      </w:r>
      <w:r>
        <w:rPr>
          <w:rFonts w:ascii="Consolas" w:cs="Consolas" w:eastAsia="Consolas" w:hAnsi="Consolas"/>
          <w:sz w:val="18"/>
          <w:szCs w:val="18"/>
        </w:rPr>
        <w:br/>
        <w:t xml:space="preserve">at_least(Band, moderate, Band)     :- \+ member(Band, [low]).</w:t>
      </w:r>
      <w:r>
        <w:rPr>
          <w:rFonts w:ascii="Consolas" w:cs="Consolas" w:eastAsia="Consolas" w:hAnsi="Consolas"/>
          <w:sz w:val="18"/>
          <w:szCs w:val="18"/>
        </w:rPr>
        <w:br/>
        <w:t xml:space="preserve"/>
      </w:r>
      <w:r>
        <w:rPr>
          <w:rFonts w:ascii="Consolas" w:cs="Consolas" w:eastAsia="Consolas" w:hAnsi="Consolas"/>
          <w:sz w:val="18"/>
          <w:szCs w:val="18"/>
        </w:rPr>
        <w:br/>
        <w:t xml:space="preserve">severity(Township, severe) :- embankment_status(Township, breached), !.</w:t>
      </w:r>
      <w:r>
        <w:rPr>
          <w:rFonts w:ascii="Consolas" w:cs="Consolas" w:eastAsia="Consolas" w:hAnsi="Consolas"/>
          <w:sz w:val="18"/>
          <w:szCs w:val="18"/>
        </w:rPr>
        <w:br/>
        <w:t xml:space="preserve">severity(Township, Severity) :-</w:t>
      </w:r>
      <w:r>
        <w:rPr>
          <w:rFonts w:ascii="Consolas" w:cs="Consolas" w:eastAsia="Consolas" w:hAnsi="Consolas"/>
          <w:sz w:val="18"/>
          <w:szCs w:val="18"/>
        </w:rPr>
        <w:br/>
        <w:t xml:space="preserve">    gauge_percent(Township, Percent),</w:t>
      </w:r>
      <w:r>
        <w:rPr>
          <w:rFonts w:ascii="Consolas" w:cs="Consolas" w:eastAsia="Consolas" w:hAnsi="Consolas"/>
          <w:sz w:val="18"/>
          <w:szCs w:val="18"/>
        </w:rPr>
        <w:br/>
        <w:t xml:space="preserve">    base_band(Percent, Base0),</w:t>
      </w:r>
      <w:r>
        <w:rPr>
          <w:rFonts w:ascii="Consolas" w:cs="Consolas" w:eastAsia="Consolas" w:hAnsi="Consolas"/>
          <w:sz w:val="18"/>
          <w:szCs w:val="18"/>
        </w:rPr>
        <w:br/>
        <w:t xml:space="preserve">    ( terrain(Township, low_lying) -&gt; raise(Base0, Base1) ; Base1 = Base0 ),</w:t>
      </w:r>
      <w:r>
        <w:rPr>
          <w:rFonts w:ascii="Consolas" w:cs="Consolas" w:eastAsia="Consolas" w:hAnsi="Consolas"/>
          <w:sz w:val="18"/>
          <w:szCs w:val="18"/>
        </w:rPr>
        <w:br/>
        <w:t xml:space="preserve">    ( local_rainfall(Township, very_heavy) -&gt; at_least(Base1, moderate, Severity) ; Severity = Base1 ).</w:t>
      </w:r>
    </w:p>
    <w:p>
      <w:pPr>
        <w:spacing w:after="100" w:before="220"/>
      </w:pPr>
      <w:r>
        <w:rPr>
          <w:rFonts w:ascii="Calibri" w:cs="Calibri" w:eastAsia="Calibri" w:hAnsi="Calibri"/>
          <w:b/>
          <w:bCs/>
          <w:color w:val="3A6B7A"/>
          <w:sz w:val="21"/>
          <w:szCs w:val="21"/>
        </w:rPr>
        <w:t xml:space="preserve">7.2  Recommended action — unchanged mapping, deterministic from severity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6800"/>
      </w:tblGrid>
      <w:tr>
        <w:tc>
          <w:tcPr>
            <w:tcW w:type="dxa" w:w="20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Severity</w:t>
            </w:r>
          </w:p>
        </w:tc>
        <w:tc>
          <w:tcPr>
            <w:tcW w:type="dxa" w:w="6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Recommended action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severe</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Evacuate immediately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high</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Prepare to evacuate — evacuate vulnerable groups first, stage resources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moderate</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Heightened monitoring — increase reporting frequency, alert on-call responder</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low</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Routine monitoring</w:t>
            </w:r>
          </w:p>
        </w:tc>
      </w:tr>
    </w:tbl>
    <w:p>
      <w:pPr>
        <w:spacing w:after="100" w:before="220"/>
      </w:pPr>
      <w:r>
        <w:rPr>
          <w:rFonts w:ascii="Calibri" w:cs="Calibri" w:eastAsia="Calibri" w:hAnsi="Calibri"/>
          <w:b/>
          <w:bCs/>
          <w:color w:val="3A6B7A"/>
          <w:sz w:val="21"/>
          <w:szCs w:val="21"/>
        </w:rPr>
        <w:t xml:space="preserve">7.3  Required capabilities — unchanged pattern, one input added</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required_capability(Township, motorized) :- road_status(Township, impassable).</w:t>
      </w:r>
      <w:r>
        <w:rPr>
          <w:rFonts w:ascii="Consolas" w:cs="Consolas" w:eastAsia="Consolas" w:hAnsi="Consolas"/>
          <w:sz w:val="18"/>
          <w:szCs w:val="18"/>
        </w:rPr>
        <w:br/>
        <w:t xml:space="preserve">required_capability(Township, motorized) :- severity(Township, severe).</w:t>
      </w:r>
      <w:r>
        <w:rPr>
          <w:rFonts w:ascii="Consolas" w:cs="Consolas" w:eastAsia="Consolas" w:hAnsi="Consolas"/>
          <w:sz w:val="18"/>
          <w:szCs w:val="18"/>
        </w:rPr>
        <w:br/>
        <w:t xml:space="preserve">required_capability(Township, medical_support) :- injured_survivors(Township, yes).</w:t>
      </w:r>
      <w:r>
        <w:rPr>
          <w:rFonts w:ascii="Consolas" w:cs="Consolas" w:eastAsia="Consolas" w:hAnsi="Consolas"/>
          <w:sz w:val="18"/>
          <w:szCs w:val="18"/>
        </w:rPr>
        <w:br/>
        <w:t xml:space="preserve">required_capabilities(Township, Set) :-</w:t>
      </w:r>
      <w:r>
        <w:rPr>
          <w:rFonts w:ascii="Consolas" w:cs="Consolas" w:eastAsia="Consolas" w:hAnsi="Consolas"/>
          <w:sz w:val="18"/>
          <w:szCs w:val="18"/>
        </w:rPr>
        <w:br/>
        <w:t xml:space="preserve">    findall(C, required_capability(Township, C), List), list_to_set(List, Set).</w:t>
      </w:r>
      <w:r>
        <w:rPr>
          <w:rFonts w:ascii="Consolas" w:cs="Consolas" w:eastAsia="Consolas" w:hAnsi="Consolas"/>
          <w:sz w:val="18"/>
          <w:szCs w:val="18"/>
        </w:rPr>
        <w:br/>
        <w:t xml:space="preserve"/>
      </w:r>
      <w:r>
        <w:rPr>
          <w:rFonts w:ascii="Consolas" w:cs="Consolas" w:eastAsia="Consolas" w:hAnsi="Consolas"/>
          <w:sz w:val="18"/>
          <w:szCs w:val="18"/>
        </w:rPr>
        <w:br/>
        <w:t xml:space="preserve">required_shelter_capability(Township, medical_equipped) :- injured_survivors(Township, yes).</w:t>
      </w:r>
    </w:p>
    <w:p>
      <w:pPr>
        <w:spacing w:after="140"/>
      </w:pPr>
      <w:r>
        <w:rPr>
          <w:rFonts w:ascii="Calibri" w:cs="Calibri" w:eastAsia="Calibri" w:hAnsi="Calibri"/>
          <w:b w:val="false"/>
          <w:bCs w:val="false"/>
          <w:i w:val="false"/>
          <w:iCs w:val="false"/>
          <w:sz w:val="21"/>
          <w:szCs w:val="21"/>
        </w:rPr>
        <w:t xml:space="preserve">An embankment breach reliably implies severe (7.1) which already implies motorized (7.3) — no separate embankment→motorized rule is needed.</w:t>
      </w:r>
    </w:p>
    <w:p>
      <w:pPr>
        <w:spacing w:after="100" w:before="220"/>
      </w:pPr>
      <w:r>
        <w:rPr>
          <w:rFonts w:ascii="Calibri" w:cs="Calibri" w:eastAsia="Calibri" w:hAnsi="Calibri"/>
          <w:b/>
          <w:bCs/>
          <w:color w:val="3A6B7A"/>
          <w:sz w:val="21"/>
          <w:szCs w:val="21"/>
        </w:rPr>
        <w:t xml:space="preserve">7.4  Upstream heavy rain — early-warning signal, not a severity input</w:t>
      </w:r>
    </w:p>
    <w:p>
      <w:pPr>
        <w:spacing w:after="140"/>
      </w:pPr>
      <w:r>
        <w:rPr>
          <w:rFonts w:ascii="Calibri" w:cs="Calibri" w:eastAsia="Calibri" w:hAnsi="Calibri"/>
          <w:b w:val="false"/>
          <w:bCs w:val="false"/>
          <w:i w:val="false"/>
          <w:iCs w:val="false"/>
          <w:sz w:val="21"/>
          <w:szCs w:val="21"/>
        </w:rPr>
        <w:t xml:space="preserve">upstream_heavy_rain_days is deliberately NOT wired into the severity rules above — 3+ days of upstream heavy rain is a leading indicator that gauge_reading_cm is about to rise, not evidence that it already has. It is used only in the priority score (Section 8), where it contributes urgency without inflating a severity classification the current reading doesn't yet support. A future trend-based early-warning layer (Section 20) is the correct place to let this field actually predict severity.</w:t>
      </w:r>
    </w:p>
    <w:p>
      <w:pPr>
        <w:spacing w:after="100" w:before="220"/>
      </w:pPr>
      <w:r>
        <w:rPr>
          <w:rFonts w:ascii="Calibri" w:cs="Calibri" w:eastAsia="Calibri" w:hAnsi="Calibri"/>
          <w:b/>
          <w:bCs/>
          <w:color w:val="3A6B7A"/>
          <w:sz w:val="21"/>
          <w:szCs w:val="21"/>
        </w:rPr>
        <w:t xml:space="preserve">7.5  Road/edge impassability</w:t>
      </w:r>
    </w:p>
    <w:p>
      <w:pPr>
        <w:spacing w:after="140"/>
      </w:pPr>
      <w:r>
        <w:rPr>
          <w:rFonts w:ascii="Calibri" w:cs="Calibri" w:eastAsia="Calibri" w:hAnsi="Calibri"/>
          <w:b w:val="false"/>
          <w:bCs w:val="false"/>
          <w:i w:val="false"/>
          <w:iCs w:val="false"/>
          <w:sz w:val="21"/>
          <w:szCs w:val="21"/>
        </w:rPr>
        <w:t xml:space="preserve">road_status deliberately does NOT mark NetworkEdge rows impassable for Dijkstra (Section 10) — this is by design, not an oversight. Every RescueUnit in this network is a boat (Section 5.5's mobility enum is motorized | standard; there is no land-vehicle unit type), so the NetworkEdge graph represents water-route travel between townships, not road travel. road_status=impassable is a ground-access signal that determines whether the responding boat needs an engine (7.3) — it says nothing about whether the water route itself is open, and treating it as a routing block would be backwards for this domain: the flooding that makes roads impassable is typically why a boat response is needed in the first place, not a reason a boat can't get there.</w:t>
      </w:r>
    </w:p>
    <w:p>
      <w:pPr>
        <w:spacing w:after="140"/>
      </w:pPr>
      <w:r>
        <w:rPr>
          <w:rFonts w:ascii="Calibri" w:cs="Calibri" w:eastAsia="Calibri" w:hAnsi="Calibri"/>
          <w:b w:val="false"/>
          <w:bCs w:val="false"/>
          <w:i/>
          <w:iCs/>
          <w:sz w:val="21"/>
          <w:szCs w:val="21"/>
        </w:rPr>
        <w:t xml:space="preserve">NetworkEdge.passable (Section 5.3) exists for the genuine version of this problem — a specific water-route obstruction, such as a collapsed bridge span or a stretch worse-flooded than the reported incident itself, that makes one particular segment impassable regardless of the destination township's own conditions. It is operator-maintained network data, the same category as RescueUnit/Shelter status (Section 16) — no field in the current Case report sets it automatically. Once it is set false for a segment, no special rerouting logic is needed: Dijkstra (Section 10.2) already computes over only the passable edges, so it returns the next-shortest available route on its own. The open gap is upstream of Dijkstra, not in it — nothing yet feeds this field from a live report, satellite cross-check, or field observation (Section 20.2).</w:t>
      </w:r>
    </w:p>
    <w:p>
      <w:pPr>
        <w:spacing w:after="100" w:before="220"/>
      </w:pPr>
      <w:r>
        <w:rPr>
          <w:rFonts w:ascii="Calibri" w:cs="Calibri" w:eastAsia="Calibri" w:hAnsi="Calibri"/>
          <w:b/>
          <w:bCs/>
          <w:color w:val="3A6B7A"/>
          <w:sz w:val="21"/>
          <w:szCs w:val="21"/>
        </w:rPr>
        <w:t xml:space="preserve">7.6  Hazard Regime 2 — cyclone storm surge (scoped out of this version, specified for Section 20)</w:t>
      </w:r>
    </w:p>
    <w:p>
      <w:pPr>
        <w:keepLines/>
        <w:pBdr>
          <w:left w:val="single" w:color="1F4E5F" w:sz="18"/>
        </w:pBdr>
        <w:shd w:fill="F4E9E9" w:color="auto" w:val="clear"/>
        <w:spacing w:after="200"/>
        <w:ind w:left="120"/>
      </w:pPr>
      <w:r>
        <w:rPr>
          <w:rFonts w:ascii="Calibri" w:cs="Calibri" w:eastAsia="Calibri" w:hAnsi="Calibri"/>
          <w:b/>
          <w:bCs/>
          <w:color w:val="1F4E5F"/>
          <w:sz w:val="20"/>
          <w:szCs w:val="20"/>
        </w:rPr>
        <w:t xml:space="preserve">Not implemented in this version: </w:t>
      </w:r>
      <w:r>
        <w:rPr>
          <w:rFonts w:ascii="Calibri" w:cs="Calibri" w:eastAsia="Calibri" w:hAnsi="Calibri"/>
          <w:i/>
          <w:iCs/>
          <w:sz w:val="20"/>
          <w:szCs w:val="20"/>
        </w:rPr>
        <w:t xml:space="preserve">The seven coastal townships in Section 6.1's coastal tier (Labutta, Bogale, Mawlamyinegyun, Pyapon, Dedaye, Kyaiklat, Ngapudaw) face a different dominant hazard — cyclone storm surge, not river-gauge exceedance — driven by cyclone track, wind speed, and surge height, none of which exist in the current Case schema. A report submitted for one of these townships using today's schema will still run through Section 7.1–7.3 (gauge/embankment/rainfall logic) and produce an answer, but that answer does not capture their real primary risk. Cyclone Nargis (2008) is the extreme-scenario benchmark for this regime: roughly 84,500–138,000+ deaths, concentrated in Labutta (~80,000) and Bogale (~10,000), from a ~3.6 m surge reaching ~40 km inland. Section 20.1 specifies the concrete module (new facts: cyclone_track, wind_speed, surge_height_m, month; a parallel severity_surge/2 predicate) needed to close this gap.</w:t>
      </w:r>
    </w:p>
    <w:p>
      <w:pPr>
        <w:pageBreakBefore/>
        <w:pBdr>
          <w:bottom w:val="double" w:color="0F3345" w:sz="8" w:space="6"/>
        </w:pBdr>
        <w:spacing w:after="200" w:before="0"/>
      </w:pPr>
      <w:r>
        <w:rPr>
          <w:rFonts w:ascii="Calibri" w:cs="Calibri" w:eastAsia="Calibri" w:hAnsi="Calibri"/>
          <w:b/>
          <w:bCs/>
          <w:color w:val="0F3345"/>
          <w:sz w:val="30"/>
          <w:szCs w:val="30"/>
        </w:rPr>
        <w:t xml:space="preserve">8.  Priority Scoring Specification</w:t>
      </w:r>
    </w:p>
    <w:p>
      <w:pPr>
        <w:spacing w:after="140"/>
      </w:pPr>
      <w:r>
        <w:rPr>
          <w:rFonts w:ascii="Calibri" w:cs="Calibri" w:eastAsia="Calibri" w:hAnsi="Calibri"/>
          <w:b w:val="false"/>
          <w:bCs w:val="false"/>
          <w:i w:val="false"/>
          <w:iCs w:val="false"/>
          <w:sz w:val="21"/>
          <w:szCs w:val="21"/>
        </w:rPr>
        <w:t xml:space="preserve">Runs in the API route (TypeScript), in parallel with the Prolog call. Weights revised for the new schema.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4800"/>
      </w:tblGrid>
      <w:tr>
        <w:tc>
          <w:tcPr>
            <w:tcW w:type="dxa" w:w="2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Factor</w:t>
            </w:r>
          </w:p>
        </w:tc>
        <w:tc>
          <w:tcPr>
            <w:tcW w:type="dxa" w:w="1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Points</w:t>
            </w:r>
          </w:p>
        </w:tc>
        <w:tc>
          <w:tcPr>
            <w:tcW w:type="dxa" w:w="4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Condition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Embankment breached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+12</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embankment_status = breached — highest single factor, matching the compilation's description of breaches as step-change events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 band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+3 / +8 / +10</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moderate / high / severe, from Section 7.1's gauge_percent band (scored independently of severity, so a severe-via-embankment case still records how bad the river itself also is)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Upstream heavy rain ≥3 days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early-warning signal, Section 7.4</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Local rainfall</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+0 / +3 / +5 / +6</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light / moderate / heavy / very_heavy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Road impassable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+6</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Vulnerable group present</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+7</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Injured survivors</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+6</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Affected population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+0 / +2 / +4 / +6 / +8</w:t>
            </w:r>
          </w:p>
        </w:tc>
        <w:tc>
          <w:tcPr>
            <w:tcW w:type="dxa" w:w="4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0–99 / 100–499 / 500–1,999 / 2,000–9,999 / 10,000+ — tiered rather than a single ≥100 cutoff, so a 39,000-person case scores differently from a 150-person one instead of identically</w:t>
            </w:r>
          </w:p>
        </w:tc>
      </w:tr>
    </w:tbl>
    <w:p>
      <w:pPr>
        <w:keepLines/>
        <w:pBdr>
          <w:left w:val="single" w:color="1F4E5F" w:sz="18"/>
        </w:pBdr>
        <w:shd w:fill="FBEFE0" w:color="auto" w:val="clear"/>
        <w:spacing w:after="200"/>
        <w:ind w:left="120"/>
      </w:pPr>
      <w:r>
        <w:rPr>
          <w:rFonts w:ascii="Calibri" w:cs="Calibri" w:eastAsia="Calibri" w:hAnsi="Calibri"/>
          <w:b/>
          <w:bCs/>
          <w:color w:val="1F4E5F"/>
          <w:sz w:val="20"/>
          <w:szCs w:val="20"/>
        </w:rPr>
        <w:t xml:space="preserve">Assumption flagged for validation: </w:t>
      </w:r>
      <w:r>
        <w:rPr>
          <w:rFonts w:ascii="Calibri" w:cs="Calibri" w:eastAsia="Calibri" w:hAnsi="Calibri"/>
          <w:i/>
          <w:iCs/>
          <w:sz w:val="20"/>
          <w:szCs w:val="20"/>
        </w:rPr>
        <w:t xml:space="preserve">The five population tiers and their point values (0/2/4/6/8) are this document's own structure, not derived from any source — they replace a flat +5-for-any-size rule with something ordinally sensible, but the boundaries themselves have not been validated against real outcomes any more than the rest of Section 8's weights have (Section 16).</w:t>
      </w:r>
    </w:p>
    <w:p>
      <w:pPr>
        <w:spacing w:after="140"/>
      </w:pPr>
      <w:r>
        <w:rPr>
          <w:rFonts w:ascii="Calibri" w:cs="Calibri" w:eastAsia="Calibri" w:hAnsi="Calibri"/>
          <w:b w:val="false"/>
          <w:bCs w:val="false"/>
          <w:i w:val="false"/>
          <w:iCs w:val="false"/>
          <w:sz w:val="21"/>
          <w:szCs w:val="21"/>
        </w:rPr>
        <w:t xml:space="preserve">Maximum possible score: 12 + 10 + 4 + 6 + 6 + 7 + 6 + 8 = 59. Bands:</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0–10   -&gt; LOW</w:t>
      </w:r>
      <w:r>
        <w:rPr>
          <w:rFonts w:ascii="Consolas" w:cs="Consolas" w:eastAsia="Consolas" w:hAnsi="Consolas"/>
          <w:sz w:val="18"/>
          <w:szCs w:val="18"/>
        </w:rPr>
        <w:br/>
        <w:t xml:space="preserve">11–25  -&gt; MODERATE</w:t>
      </w:r>
      <w:r>
        <w:rPr>
          <w:rFonts w:ascii="Consolas" w:cs="Consolas" w:eastAsia="Consolas" w:hAnsi="Consolas"/>
          <w:sz w:val="18"/>
          <w:szCs w:val="18"/>
        </w:rPr>
        <w:br/>
        <w:t xml:space="preserve">26–40  -&gt; HIGH</w:t>
      </w:r>
      <w:r>
        <w:rPr>
          <w:rFonts w:ascii="Consolas" w:cs="Consolas" w:eastAsia="Consolas" w:hAnsi="Consolas"/>
          <w:sz w:val="18"/>
          <w:szCs w:val="18"/>
        </w:rPr>
        <w:br/>
        <w:t xml:space="preserve">41+     -&gt; CRITICAL</w:t>
      </w:r>
    </w:p>
    <w:p>
      <w:pPr>
        <w:spacing w:after="100" w:before="220"/>
      </w:pPr>
      <w:r>
        <w:rPr>
          <w:rFonts w:ascii="Calibri" w:cs="Calibri" w:eastAsia="Calibri" w:hAnsi="Calibri"/>
          <w:b/>
          <w:bCs/>
          <w:color w:val="3A6B7A"/>
          <w:sz w:val="21"/>
          <w:szCs w:val="21"/>
        </w:rPr>
        <w:t xml:space="preserve">8.1  Tie-breaking across multiple open cases</w:t>
      </w:r>
    </w:p>
    <w:p>
      <w:pPr>
        <w:spacing w:after="140"/>
      </w:pPr>
      <w:r>
        <w:rPr>
          <w:rFonts w:ascii="Calibri" w:cs="Calibri" w:eastAsia="Calibri" w:hAnsi="Calibri"/>
          <w:b w:val="false"/>
          <w:bCs w:val="false"/>
          <w:i w:val="false"/>
          <w:iCs w:val="false"/>
          <w:sz w:val="21"/>
          <w:szCs w:val="21"/>
        </w:rPr>
        <w:t xml:space="preserve">Tie-break order: (1) higher raw priority_score, (2) higher Prolog severity, (3) earlier reported_at.</w:t>
      </w:r>
    </w:p>
    <w:p>
      <w:pPr>
        <w:pageBreakBefore/>
        <w:pBdr>
          <w:bottom w:val="double" w:color="0F3345" w:sz="8" w:space="6"/>
        </w:pBdr>
        <w:spacing w:after="200" w:before="0"/>
      </w:pPr>
      <w:r>
        <w:rPr>
          <w:rFonts w:ascii="Calibri" w:cs="Calibri" w:eastAsia="Calibri" w:hAnsi="Calibri"/>
          <w:b/>
          <w:bCs/>
          <w:color w:val="0F3345"/>
          <w:sz w:val="30"/>
          <w:szCs w:val="30"/>
        </w:rPr>
        <w:t xml:space="preserve">9.  Compound Capability Filtering</w:t>
      </w:r>
    </w:p>
    <w:p>
      <w:pPr>
        <w:spacing w:after="140"/>
      </w:pPr>
      <w:r>
        <w:rPr>
          <w:rFonts w:ascii="Calibri" w:cs="Calibri" w:eastAsia="Calibri" w:hAnsi="Calibri"/>
          <w:b w:val="false"/>
          <w:bCs w:val="false"/>
          <w:i w:val="false"/>
          <w:iCs w:val="false"/>
          <w:sz w:val="21"/>
          <w:szCs w:val="21"/>
        </w:rPr>
        <w:t xml:space="preserve">The pattern generalizes to any capability set — a candidate must satisfy every entry in required_capabilities, not just one.</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function isCandidate(unit, requiredCapabilities) {</w:t>
      </w:r>
      <w:r>
        <w:rPr>
          <w:rFonts w:ascii="Consolas" w:cs="Consolas" w:eastAsia="Consolas" w:hAnsi="Consolas"/>
          <w:sz w:val="18"/>
          <w:szCs w:val="18"/>
        </w:rPr>
        <w:br/>
        <w:t xml:space="preserve">  if (unit.status !== 'available') return false;</w:t>
      </w:r>
      <w:r>
        <w:rPr>
          <w:rFonts w:ascii="Consolas" w:cs="Consolas" w:eastAsia="Consolas" w:hAnsi="Consolas"/>
          <w:sz w:val="18"/>
          <w:szCs w:val="18"/>
        </w:rPr>
        <w:br/>
        <w:t xml:space="preserve">  for (const cap of requiredCapabilities) {</w:t>
      </w:r>
      <w:r>
        <w:rPr>
          <w:rFonts w:ascii="Consolas" w:cs="Consolas" w:eastAsia="Consolas" w:hAnsi="Consolas"/>
          <w:sz w:val="18"/>
          <w:szCs w:val="18"/>
        </w:rPr>
        <w:br/>
        <w:t xml:space="preserve">    if (cap === 'motorized' &amp;&amp; unit.mobility !== 'motorized') return false;</w:t>
      </w:r>
      <w:r>
        <w:rPr>
          <w:rFonts w:ascii="Consolas" w:cs="Consolas" w:eastAsia="Consolas" w:hAnsi="Consolas"/>
          <w:sz w:val="18"/>
          <w:szCs w:val="18"/>
        </w:rPr>
        <w:br/>
        <w:t xml:space="preserve">    if (cap === 'medical_support' &amp;&amp; unit.medical_support !== true) return false;</w:t>
      </w:r>
      <w:r>
        <w:rPr>
          <w:rFonts w:ascii="Consolas" w:cs="Consolas" w:eastAsia="Consolas" w:hAnsi="Consolas"/>
          <w:sz w:val="18"/>
          <w:szCs w:val="18"/>
        </w:rPr>
        <w:br/>
        <w:t xml:space="preserve">  }</w:t>
      </w:r>
      <w:r>
        <w:rPr>
          <w:rFonts w:ascii="Consolas" w:cs="Consolas" w:eastAsia="Consolas" w:hAnsi="Consolas"/>
          <w:sz w:val="18"/>
          <w:szCs w:val="18"/>
        </w:rPr>
        <w:br/>
        <w:t xml:space="preserve">  return true;</w:t>
      </w:r>
      <w:r>
        <w:rPr>
          <w:rFonts w:ascii="Consolas" w:cs="Consolas" w:eastAsia="Consolas" w:hAnsi="Consolas"/>
          <w:sz w:val="18"/>
          <w:szCs w:val="18"/>
        </w:rPr>
        <w:br/>
        <w:t xml:space="preserve">}</w:t>
      </w:r>
    </w:p>
    <w:p>
      <w:pPr>
        <w:spacing w:after="100" w:before="220"/>
      </w:pPr>
      <w:r>
        <w:rPr>
          <w:rFonts w:ascii="Calibri" w:cs="Calibri" w:eastAsia="Calibri" w:hAnsi="Calibri"/>
          <w:b/>
          <w:bCs/>
          <w:color w:val="3A6B7A"/>
          <w:sz w:val="21"/>
          <w:szCs w:val="21"/>
        </w:rPr>
        <w:t xml:space="preserve">9.1  Fallback when no unit satisfies every requirement</w:t>
      </w:r>
    </w:p>
    <w:p>
      <w:pPr>
        <w:pStyle w:val="ListParagraph"/>
        <w:numPr>
          <w:ilvl w:val="0"/>
          <w:numId w:val="2"/>
        </w:numPr>
        <w:spacing w:after="60"/>
      </w:pPr>
      <w:r>
        <w:rPr>
          <w:rFonts w:ascii="Calibri" w:cs="Calibri" w:eastAsia="Calibri" w:hAnsi="Calibri"/>
          <w:sz w:val="21"/>
          <w:szCs w:val="21"/>
        </w:rPr>
        <w:t xml:space="preserve">1. Try the full required-capability set.</w:t>
      </w:r>
    </w:p>
    <w:p>
      <w:pPr>
        <w:pStyle w:val="ListParagraph"/>
        <w:numPr>
          <w:ilvl w:val="0"/>
          <w:numId w:val="3"/>
        </w:numPr>
        <w:spacing w:after="60"/>
      </w:pPr>
      <w:r>
        <w:rPr>
          <w:rFonts w:ascii="Calibri" w:cs="Calibri" w:eastAsia="Calibri" w:hAnsi="Calibri"/>
          <w:sz w:val="21"/>
          <w:szCs w:val="21"/>
        </w:rPr>
        <w:t xml:space="preserve">2. If no candidate, drop medical_support (keep motorized if required) and retry — flag: "No unit with medical support was available; arrange a medic to meet the case, or coordinate a second unit."</w:t>
      </w:r>
    </w:p>
    <w:p>
      <w:pPr>
        <w:pStyle w:val="ListParagraph"/>
        <w:numPr>
          <w:ilvl w:val="0"/>
          <w:numId w:val="3"/>
        </w:numPr>
        <w:spacing w:after="60"/>
      </w:pPr>
      <w:r>
        <w:rPr>
          <w:rFonts w:ascii="Calibri" w:cs="Calibri" w:eastAsia="Calibri" w:hAnsi="Calibri"/>
          <w:sz w:val="21"/>
          <w:szCs w:val="21"/>
        </w:rPr>
        <w:t xml:space="preserve">3. If still none, return assigned_unit_id = null, case stays open, flag: "No suitable rescue unit available in the network — escalate for manual coordination."</w:t>
      </w:r>
    </w:p>
    <w:p>
      <w:pPr>
        <w:spacing w:after="100" w:before="220"/>
      </w:pPr>
      <w:r>
        <w:rPr>
          <w:rFonts w:ascii="Calibri" w:cs="Calibri" w:eastAsia="Calibri" w:hAnsi="Calibri"/>
          <w:b/>
          <w:bCs/>
          <w:color w:val="3A6B7A"/>
          <w:sz w:val="21"/>
          <w:szCs w:val="21"/>
        </w:rPr>
        <w:t xml:space="preserve">9.2  Fallback for shelters</w:t>
      </w:r>
    </w:p>
    <w:p>
      <w:pPr>
        <w:spacing w:after="140"/>
      </w:pPr>
      <w:r>
        <w:rPr>
          <w:rFonts w:ascii="Calibri" w:cs="Calibri" w:eastAsia="Calibri" w:hAnsi="Calibri"/>
          <w:b w:val="false"/>
          <w:bCs w:val="false"/>
          <w:i w:val="false"/>
          <w:iCs w:val="false"/>
          <w:sz w:val="21"/>
          <w:szCs w:val="21"/>
        </w:rPr>
        <w:t xml:space="preserve">Same pattern: capability relaxed before availability; if none accepting anywhere in the network, null assignment with escalation flag.</w:t>
      </w:r>
    </w:p>
    <w:p>
      <w:pPr>
        <w:pageBreakBefore/>
        <w:pBdr>
          <w:bottom w:val="double" w:color="0F3345" w:sz="8" w:space="6"/>
        </w:pBdr>
        <w:spacing w:after="200" w:before="0"/>
      </w:pPr>
      <w:r>
        <w:rPr>
          <w:rFonts w:ascii="Calibri" w:cs="Calibri" w:eastAsia="Calibri" w:hAnsi="Calibri"/>
          <w:b/>
          <w:bCs/>
          <w:color w:val="0F3345"/>
          <w:sz w:val="30"/>
          <w:szCs w:val="30"/>
        </w:rPr>
        <w:t xml:space="preserve">10.  Shortest-Path Routing Specification</w:t>
      </w:r>
    </w:p>
    <w:p>
      <w:pPr>
        <w:spacing w:after="100" w:before="220"/>
      </w:pPr>
      <w:r>
        <w:rPr>
          <w:rFonts w:ascii="Calibri" w:cs="Calibri" w:eastAsia="Calibri" w:hAnsi="Calibri"/>
          <w:b/>
          <w:bCs/>
          <w:color w:val="3A6B7A"/>
          <w:sz w:val="21"/>
          <w:szCs w:val="21"/>
        </w:rPr>
        <w:t xml:space="preserve">10.1  Two distance scales</w:t>
      </w:r>
    </w:p>
    <w:p>
      <w:pPr>
        <w:pStyle w:val="ListParagraph"/>
        <w:numPr>
          <w:ilvl w:val="0"/>
          <w:numId w:val="2"/>
        </w:numPr>
        <w:spacing w:after="60"/>
      </w:pPr>
      <w:r>
        <w:rPr>
          <w:rFonts w:ascii="Calibri" w:cs="Calibri" w:eastAsia="Calibri" w:hAnsi="Calibri"/>
          <w:sz w:val="21"/>
          <w:szCs w:val="21"/>
        </w:rPr>
        <w:t xml:space="preserve">Inter-township distance — Section 6.3's edge values, abstract relative units, feeds Dijkstra.</w:t>
      </w:r>
    </w:p>
    <w:p>
      <w:pPr>
        <w:pStyle w:val="ListParagraph"/>
        <w:numPr>
          <w:ilvl w:val="0"/>
          <w:numId w:val="2"/>
        </w:numPr>
        <w:spacing w:after="60"/>
      </w:pPr>
      <w:r>
        <w:rPr>
          <w:rFonts w:ascii="Calibri" w:cs="Calibri" w:eastAsia="Calibri" w:hAnsi="Calibri"/>
          <w:sz w:val="21"/>
          <w:szCs w:val="21"/>
        </w:rPr>
        <w:t xml:space="preserve">Intra-township (“last-mile”) distance — a small illustrative per-unit figure for dashboard realism, not computed by Dijkstra (Section 20 describes replacing this with a real sub-township network).</w:t>
      </w:r>
    </w:p>
    <w:p>
      <w:pPr>
        <w:spacing w:after="100" w:before="220"/>
      </w:pPr>
      <w:r>
        <w:rPr>
          <w:rFonts w:ascii="Calibri" w:cs="Calibri" w:eastAsia="Calibri" w:hAnsi="Calibri"/>
          <w:b/>
          <w:bCs/>
          <w:color w:val="3A6B7A"/>
          <w:sz w:val="21"/>
          <w:szCs w:val="21"/>
        </w:rPr>
        <w:t xml:space="preserve">10.2  Algorithm</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1. Run Dijkstra from the incident's township over the full NetworkEdge graph (Section 6.3).</w:t>
      </w:r>
      <w:r>
        <w:rPr>
          <w:rFonts w:ascii="Consolas" w:cs="Consolas" w:eastAsia="Consolas" w:hAnsi="Consolas"/>
          <w:sz w:val="18"/>
          <w:szCs w:val="18"/>
        </w:rPr>
        <w:br/>
        <w:t xml:space="preserve">2. Restrict to units/shelters that passed the compound filter (Section 9).</w:t>
      </w:r>
      <w:r>
        <w:rPr>
          <w:rFonts w:ascii="Consolas" w:cs="Consolas" w:eastAsia="Consolas" w:hAnsi="Consolas"/>
          <w:sz w:val="18"/>
          <w:szCs w:val="18"/>
        </w:rPr>
        <w:br/>
        <w:t xml:space="preserve">3. distance-to-incident = shortest-distance(candidate.township, incident.township); 0 if co-located.</w:t>
      </w:r>
      <w:r>
        <w:rPr>
          <w:rFonts w:ascii="Consolas" w:cs="Consolas" w:eastAsia="Consolas" w:hAnsi="Consolas"/>
          <w:sz w:val="18"/>
          <w:szCs w:val="18"/>
        </w:rPr>
        <w:br/>
        <w:t xml:space="preserve">4. Pick the lowest distance-to-incident.</w:t>
      </w:r>
      <w:r>
        <w:rPr>
          <w:rFonts w:ascii="Consolas" w:cs="Consolas" w:eastAsia="Consolas" w:hAnsi="Consolas"/>
          <w:sz w:val="18"/>
          <w:szCs w:val="18"/>
        </w:rPr>
        <w:br/>
        <w:t xml:space="preserve">5. Tie-break: prefer a candidate already at the incident's township, else lower ID alphabetically.</w:t>
      </w:r>
    </w:p>
    <w:p>
      <w:pPr>
        <w:spacing w:after="100" w:before="220"/>
      </w:pPr>
      <w:r>
        <w:rPr>
          <w:rFonts w:ascii="Calibri" w:cs="Calibri" w:eastAsia="Calibri" w:hAnsi="Calibri"/>
          <w:b/>
          <w:bCs/>
          <w:color w:val="3A6B7A"/>
          <w:sz w:val="21"/>
          <w:szCs w:val="21"/>
        </w:rPr>
        <w:t xml:space="preserve">10.3  No-route case</w:t>
      </w:r>
    </w:p>
    <w:p>
      <w:pPr>
        <w:spacing w:after="140"/>
      </w:pPr>
      <w:r>
        <w:rPr>
          <w:rFonts w:ascii="Calibri" w:cs="Calibri" w:eastAsia="Calibri" w:hAnsi="Calibri"/>
          <w:b w:val="false"/>
          <w:bCs w:val="false"/>
          <w:i w:val="false"/>
          <w:iCs w:val="false"/>
          <w:sz w:val="21"/>
          <w:szCs w:val="21"/>
        </w:rPr>
        <w:t xml:space="preserve">If a township is missing from the graph, this is a validation error (Section 12), not a silent empty result — though with the Section 6.3 table now covering 25 real townships, this should only occur on a genuine data-entry mistake.</w:t>
      </w:r>
    </w:p>
    <w:p>
      <w:pPr>
        <w:pageBreakBefore/>
        <w:pBdr>
          <w:bottom w:val="double" w:color="0F3345" w:sz="8" w:space="6"/>
        </w:pBdr>
        <w:spacing w:after="200" w:before="0"/>
      </w:pPr>
      <w:r>
        <w:rPr>
          <w:rFonts w:ascii="Calibri" w:cs="Calibri" w:eastAsia="Calibri" w:hAnsi="Calibri"/>
          <w:b/>
          <w:bCs/>
          <w:color w:val="0F3345"/>
          <w:sz w:val="30"/>
          <w:szCs w:val="30"/>
        </w:rPr>
        <w:t xml:space="preserve">11.  Case Lifecycle &amp; Resource Reservation</w:t>
      </w:r>
    </w:p>
    <w:p>
      <w:pPr>
        <w:spacing w:after="140"/>
      </w:pPr>
      <w:r>
        <w:rPr>
          <w:rFonts w:ascii="Calibri" w:cs="Calibri" w:eastAsia="Calibri" w:hAnsi="Calibri"/>
          <w:b w:val="false"/>
          <w:bCs w:val="false"/>
          <w:i w:val="false"/>
          <w:iCs w:val="false"/>
          <w:sz w:val="21"/>
          <w:szCs w:val="21"/>
        </w:rPr>
        <w:t xml:space="preserve">The compilation confirms multi-township simultaneous flooding is the normal pattern for this region (the July 2026 breach alone hit six townships at once), which is exactly the situation this section's reservation model exists to handle correctly.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600"/>
      </w:tblGrid>
      <w:tr>
        <w:tc>
          <w:tcPr>
            <w:tcW w:type="dxa" w:w="1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Entity</w:t>
            </w:r>
          </w:p>
        </w:tc>
        <w:tc>
          <w:tcPr>
            <w:tcW w:type="dxa" w:w="3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States</w:t>
            </w:r>
          </w:p>
        </w:tc>
        <w:tc>
          <w:tcPr>
            <w:tcW w:type="dxa" w:w="3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Meaning</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Case.status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open → assessed → dispatched → resolved (or cancelled)</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open: submitted. assessed: fully processed. dispatched: responder confirmed. resolved: closed, resources released. cancelled: false/duplicate/superseded.</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RescueUnit.status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 → reserved → deployed → available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reserved on recommendation; deployed on dispatch confirmation; back to available on resolution.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Shelter.status</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accepting → reserved_full → accepting</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optional if capacity is not tracked numerically.</w:t>
            </w:r>
          </w:p>
        </w:tc>
      </w:tr>
    </w:tbl>
    <w:p>
      <w:pPr>
        <w:spacing w:after="140"/>
      </w:pPr>
      <w:r>
        <w:rPr>
          <w:rFonts w:ascii="Calibri" w:cs="Calibri" w:eastAsia="Calibri" w:hAnsi="Calibri"/>
          <w:b w:val="false"/>
          <w:bCs w:val="false"/>
          <w:i w:val="false"/>
          <w:iCs w:val="false"/>
          <w:sz w:val="21"/>
          <w:szCs w:val="21"/>
        </w:rPr>
        <w:t xml:space="preserve">Reservation happens atomically at the moment a unit/shelter is selected (end of Section 9/10), before the API response is sent — this is what prevents two concurrent cases (realistic during a multi-township event like the actual July 2026 breach) from both being shown the same unit as available. Concretely, "atomically" means a single PostgreSQL transaction (Section 4) that reads the candidate RescueUnit/Shelter row, checks status = available, and writes status = reserved before any other request can interleave — the database's own row-locking is what arbitrates two simultaneous requests for the same unit, not application-level logic.</w:t>
      </w:r>
    </w:p>
    <w:p>
      <w:pPr>
        <w:pageBreakBefore/>
        <w:pBdr>
          <w:bottom w:val="double" w:color="0F3345" w:sz="8" w:space="6"/>
        </w:pBdr>
        <w:spacing w:after="200" w:before="0"/>
      </w:pPr>
      <w:r>
        <w:rPr>
          <w:rFonts w:ascii="Calibri" w:cs="Calibri" w:eastAsia="Calibri" w:hAnsi="Calibri"/>
          <w:b/>
          <w:bCs/>
          <w:color w:val="0F3345"/>
          <w:sz w:val="30"/>
          <w:szCs w:val="30"/>
        </w:rPr>
        <w:t xml:space="preserve">12.  API Contract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5700"/>
      </w:tblGrid>
      <w:tr>
        <w:tc>
          <w:tcPr>
            <w:tcW w:type="dxa" w:w="2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Endpoint</w:t>
            </w:r>
          </w:p>
        </w:tc>
        <w:tc>
          <w:tcPr>
            <w:tcW w:type="dxa" w:w="12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Method</w:t>
            </w:r>
          </w:p>
        </w:tc>
        <w:tc>
          <w:tcPr>
            <w:tcW w:type="dxa" w:w="5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Purpose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/api/flood-case</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POST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Submit a new report, run the full pipeline, return the recommendation.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/api/flood-case/:id</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Retrieve current case state.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/api/flood-case/:id/dispatch</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POST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Mark status='dispatched'.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/api/flood-case/:id/resolve</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POST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Mark status='resolved', release reservations.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/api/flood-case/:id/cancel</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POST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Mark status='cancelled', release reservations.</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/api/cases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List all cases — backs the Section 13.3 overview.</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/api/townships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List Township nodes and their hazard_tier/gauge_station_id.</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/api/gauges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List GaugeStation records and current readings — backs a future admin/live-data view (Section 20).</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/api/units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/api/shelters</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
            </w:r>
          </w:p>
        </w:tc>
      </w:tr>
    </w:tbl>
    <w:p>
      <w:pPr>
        <w:spacing w:after="100" w:before="220"/>
      </w:pPr>
      <w:r>
        <w:rPr>
          <w:rFonts w:ascii="Calibri" w:cs="Calibri" w:eastAsia="Calibri" w:hAnsi="Calibri"/>
          <w:b/>
          <w:bCs/>
          <w:color w:val="3A6B7A"/>
          <w:sz w:val="21"/>
          <w:szCs w:val="21"/>
        </w:rPr>
        <w:t xml:space="preserve">12.1  POST /api/flood-case — request body</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"township_id": "lemyethna",</w:t>
      </w:r>
      <w:r>
        <w:rPr>
          <w:rFonts w:ascii="Consolas" w:cs="Consolas" w:eastAsia="Consolas" w:hAnsi="Consolas"/>
          <w:sz w:val="18"/>
          <w:szCs w:val="18"/>
        </w:rPr>
        <w:br/>
        <w:t xml:space="preserve">  "gauge_reading_cm": 1250,</w:t>
      </w:r>
      <w:r>
        <w:rPr>
          <w:rFonts w:ascii="Consolas" w:cs="Consolas" w:eastAsia="Consolas" w:hAnsi="Consolas"/>
          <w:sz w:val="18"/>
          <w:szCs w:val="18"/>
        </w:rPr>
        <w:br/>
        <w:t xml:space="preserve">  "upstream_heavy_rain_days": 3,</w:t>
      </w:r>
      <w:r>
        <w:rPr>
          <w:rFonts w:ascii="Consolas" w:cs="Consolas" w:eastAsia="Consolas" w:hAnsi="Consolas"/>
          <w:sz w:val="18"/>
          <w:szCs w:val="18"/>
        </w:rPr>
        <w:br/>
        <w:t xml:space="preserve">  "local_rainfall": "heavy",</w:t>
      </w:r>
      <w:r>
        <w:rPr>
          <w:rFonts w:ascii="Consolas" w:cs="Consolas" w:eastAsia="Consolas" w:hAnsi="Consolas"/>
          <w:sz w:val="18"/>
          <w:szCs w:val="18"/>
        </w:rPr>
        <w:br/>
        <w:t xml:space="preserve">  "embankment_status": "breached",</w:t>
      </w:r>
      <w:r>
        <w:rPr>
          <w:rFonts w:ascii="Consolas" w:cs="Consolas" w:eastAsia="Consolas" w:hAnsi="Consolas"/>
          <w:sz w:val="18"/>
          <w:szCs w:val="18"/>
        </w:rPr>
        <w:br/>
        <w:t xml:space="preserve">  "terrain": "low_lying",</w:t>
      </w:r>
      <w:r>
        <w:rPr>
          <w:rFonts w:ascii="Consolas" w:cs="Consolas" w:eastAsia="Consolas" w:hAnsi="Consolas"/>
          <w:sz w:val="18"/>
          <w:szCs w:val="18"/>
        </w:rPr>
        <w:br/>
        <w:t xml:space="preserve">  "road_status": "impassable",</w:t>
      </w:r>
      <w:r>
        <w:rPr>
          <w:rFonts w:ascii="Consolas" w:cs="Consolas" w:eastAsia="Consolas" w:hAnsi="Consolas"/>
          <w:sz w:val="18"/>
          <w:szCs w:val="18"/>
        </w:rPr>
        <w:br/>
        <w:t xml:space="preserve">  "vulnerable_present": true,</w:t>
      </w:r>
      <w:r>
        <w:rPr>
          <w:rFonts w:ascii="Consolas" w:cs="Consolas" w:eastAsia="Consolas" w:hAnsi="Consolas"/>
          <w:sz w:val="18"/>
          <w:szCs w:val="18"/>
        </w:rPr>
        <w:br/>
        <w:t xml:space="preserve">  "injured_survivors": true,</w:t>
      </w:r>
      <w:r>
        <w:rPr>
          <w:rFonts w:ascii="Consolas" w:cs="Consolas" w:eastAsia="Consolas" w:hAnsi="Consolas"/>
          <w:sz w:val="18"/>
          <w:szCs w:val="18"/>
        </w:rPr>
        <w:br/>
        <w:t xml:space="preserve">  "affected_population": 39000</w:t>
      </w:r>
      <w:r>
        <w:rPr>
          <w:rFonts w:ascii="Consolas" w:cs="Consolas" w:eastAsia="Consolas" w:hAnsi="Consolas"/>
          <w:sz w:val="18"/>
          <w:szCs w:val="18"/>
        </w:rPr>
        <w:br/>
        <w:t xml:space="preserve">}</w:t>
      </w:r>
    </w:p>
    <w:p>
      <w:pPr>
        <w:spacing w:after="100" w:before="220"/>
      </w:pPr>
      <w:r>
        <w:rPr>
          <w:rFonts w:ascii="Calibri" w:cs="Calibri" w:eastAsia="Calibri" w:hAnsi="Calibri"/>
          <w:b/>
          <w:bCs/>
          <w:color w:val="3A6B7A"/>
          <w:sz w:val="21"/>
          <w:szCs w:val="21"/>
        </w:rPr>
        <w:t xml:space="preserve">12.2  Success response (200) — see Section 14 for the full worked trace behind these numbers</w:t>
      </w:r>
    </w:p>
    <w:p>
      <w:pPr>
        <w:keepLines/>
        <w:pBdr>
          <w:top w:val="single" w:color="CCCCCC" w:sz="4"/>
          <w:bottom w:val="single" w:color="CCCCCC" w:sz="4"/>
          <w:left w:val="single" w:color="CCCCCC" w:sz="4"/>
          <w:right w:val="single" w:color="CCCCCC" w:sz="4"/>
        </w:pBdr>
        <w:shd w:fill="F2F2F2" w:color="auto"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"case_id": "FLD-20260731-001",</w:t>
      </w:r>
      <w:r>
        <w:rPr>
          <w:rFonts w:ascii="Consolas" w:cs="Consolas" w:eastAsia="Consolas" w:hAnsi="Consolas"/>
          <w:sz w:val="18"/>
          <w:szCs w:val="18"/>
        </w:rPr>
        <w:br/>
        <w:t xml:space="preserve">  "township_id": "lemyethna",</w:t>
      </w:r>
      <w:r>
        <w:rPr>
          <w:rFonts w:ascii="Consolas" w:cs="Consolas" w:eastAsia="Consolas" w:hAnsi="Consolas"/>
          <w:sz w:val="18"/>
          <w:szCs w:val="18"/>
        </w:rPr>
        <w:br/>
        <w:t xml:space="preserve">  "status": "assessed",</w:t>
      </w:r>
      <w:r>
        <w:rPr>
          <w:rFonts w:ascii="Consolas" w:cs="Consolas" w:eastAsia="Consolas" w:hAnsi="Consolas"/>
          <w:sz w:val="18"/>
          <w:szCs w:val="18"/>
        </w:rPr>
        <w:br/>
        <w:t xml:space="preserve">  "severity": "severe",</w:t>
      </w:r>
      <w:r>
        <w:rPr>
          <w:rFonts w:ascii="Consolas" w:cs="Consolas" w:eastAsia="Consolas" w:hAnsi="Consolas"/>
          <w:sz w:val="18"/>
          <w:szCs w:val="18"/>
        </w:rPr>
        <w:br/>
        <w:t xml:space="preserve">  "severity_reason": "embankment_breach_override",</w:t>
      </w:r>
      <w:r>
        <w:rPr>
          <w:rFonts w:ascii="Consolas" w:cs="Consolas" w:eastAsia="Consolas" w:hAnsi="Consolas"/>
          <w:sz w:val="18"/>
          <w:szCs w:val="18"/>
        </w:rPr>
        <w:br/>
        <w:t xml:space="preserve">  "recommended_action": "Evacuate immediately",</w:t>
      </w:r>
      <w:r>
        <w:rPr>
          <w:rFonts w:ascii="Consolas" w:cs="Consolas" w:eastAsia="Consolas" w:hAnsi="Consolas"/>
          <w:sz w:val="18"/>
          <w:szCs w:val="18"/>
        </w:rPr>
        <w:br/>
        <w:t xml:space="preserve">  "required_capabilities": ["motorized", "medical_support"],</w:t>
      </w:r>
      <w:r>
        <w:rPr>
          <w:rFonts w:ascii="Consolas" w:cs="Consolas" w:eastAsia="Consolas" w:hAnsi="Consolas"/>
          <w:sz w:val="18"/>
          <w:szCs w:val="18"/>
        </w:rPr>
        <w:br/>
        <w:t xml:space="preserve">  "priority_score": 56,</w:t>
      </w:r>
      <w:r>
        <w:rPr>
          <w:rFonts w:ascii="Consolas" w:cs="Consolas" w:eastAsia="Consolas" w:hAnsi="Consolas"/>
          <w:sz w:val="18"/>
          <w:szCs w:val="18"/>
        </w:rPr>
        <w:br/>
        <w:t xml:space="preserve">  "priority_band": "critical",</w:t>
      </w:r>
      <w:r>
        <w:rPr>
          <w:rFonts w:ascii="Consolas" w:cs="Consolas" w:eastAsia="Consolas" w:hAnsi="Consolas"/>
          <w:sz w:val="18"/>
          <w:szCs w:val="18"/>
        </w:rPr>
        <w:br/>
        <w:t xml:space="preserve">  "assigned_unit": { "id": "RB-01", "home_township_id": "yegyi", "distance_to_incident": 3 },</w:t>
      </w:r>
      <w:r>
        <w:rPr>
          <w:rFonts w:ascii="Consolas" w:cs="Consolas" w:eastAsia="Consolas" w:hAnsi="Consolas"/>
          <w:sz w:val="18"/>
          <w:szCs w:val="18"/>
        </w:rPr>
        <w:br/>
        <w:t xml:space="preserve">  "assigned_shelter": { "id": "S-03", "display_name": "Pathein General Hospital Annex",</w:t>
      </w:r>
      <w:r>
        <w:rPr>
          <w:rFonts w:ascii="Consolas" w:cs="Consolas" w:eastAsia="Consolas" w:hAnsi="Consolas"/>
          <w:sz w:val="18"/>
          <w:szCs w:val="18"/>
        </w:rPr>
        <w:br/>
        <w:t xml:space="preserve">                        "distance_to_incident": 9 },</w:t>
      </w:r>
      <w:r>
        <w:rPr>
          <w:rFonts w:ascii="Consolas" w:cs="Consolas" w:eastAsia="Consolas" w:hAnsi="Consolas"/>
          <w:sz w:val="18"/>
          <w:szCs w:val="18"/>
        </w:rPr>
        <w:br/>
        <w:t xml:space="preserve">  "notes": [</w:t>
      </w:r>
      <w:r>
        <w:rPr>
          <w:rFonts w:ascii="Consolas" w:cs="Consolas" w:eastAsia="Consolas" w:hAnsi="Consolas"/>
          <w:sz w:val="18"/>
          <w:szCs w:val="18"/>
        </w:rPr>
        <w:br/>
        <w:t xml:space="preserve">    "RB-02, stationed AT Lemyethna, was excluded — no medic aboard",</w:t>
      </w:r>
      <w:r>
        <w:rPr>
          <w:rFonts w:ascii="Consolas" w:cs="Consolas" w:eastAsia="Consolas" w:hAnsi="Consolas"/>
          <w:sz w:val="18"/>
          <w:szCs w:val="18"/>
        </w:rPr>
        <w:br/>
        <w:t xml:space="preserve">    "Lemyethna Monastery (nearest shelter, distance 0) lacks medical capability for this case"</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00" w:before="220"/>
      </w:pPr>
      <w:r>
        <w:rPr>
          <w:rFonts w:ascii="Calibri" w:cs="Calibri" w:eastAsia="Calibri" w:hAnsi="Calibri"/>
          <w:b/>
          <w:bCs/>
          <w:color w:val="3A6B7A"/>
          <w:sz w:val="21"/>
          <w:szCs w:val="21"/>
        </w:rPr>
        <w:t xml:space="preserve">12.3  Error / edge responses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900"/>
        <w:gridCol w:w="3800"/>
      </w:tblGrid>
      <w:tr>
        <w:tc>
          <w:tcPr>
            <w:tcW w:type="dxa" w:w="5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Condition</w:t>
            </w:r>
          </w:p>
        </w:tc>
        <w:tc>
          <w:tcPr>
            <w:tcW w:type="dxa" w:w="3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HTTP status</w:t>
            </w:r>
          </w:p>
        </w:tc>
      </w:tr>
      <w:tr>
        <w:tc>
          <w:tcPr>
            <w:tcW w:type="dxa" w:w="5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Missing/invalid field, unknown township_id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422</w:t>
            </w:r>
          </w:p>
        </w:tc>
      </w:tr>
      <w:tr>
        <w:tc>
          <w:tcPr>
            <w:tcW w:type="dxa" w:w="5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Prolog query fails to prove severity</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422</w:t>
            </w:r>
          </w:p>
        </w:tc>
      </w:tr>
      <w:tr>
        <w:tc>
          <w:tcPr>
            <w:tcW w:type="dxa" w:w="5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 unit/shelter satisfies requirements after fallback</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200, with null assignment + escalation note</w:t>
            </w:r>
          </w:p>
        </w:tc>
      </w:tr>
      <w:tr>
        <w:tc>
          <w:tcPr>
            <w:tcW w:type="dxa" w:w="5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SWI-Prolog server unreachable</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503</w:t>
            </w:r>
          </w:p>
        </w:tc>
      </w:tr>
    </w:tbl>
    <w:p>
      <w:pPr>
        <w:pageBreakBefore/>
        <w:pBdr>
          <w:bottom w:val="double" w:color="0F3345" w:sz="8" w:space="6"/>
        </w:pBdr>
        <w:spacing w:after="200" w:before="0"/>
      </w:pPr>
      <w:r>
        <w:rPr>
          <w:rFonts w:ascii="Calibri" w:cs="Calibri" w:eastAsia="Calibri" w:hAnsi="Calibri"/>
          <w:b/>
          <w:bCs/>
          <w:color w:val="0F3345"/>
          <w:sz w:val="30"/>
          <w:szCs w:val="30"/>
        </w:rPr>
        <w:t xml:space="preserve">13.  UI/UX Specification</w:t>
      </w:r>
    </w:p>
    <w:p>
      <w:pPr>
        <w:spacing w:after="100" w:before="220"/>
      </w:pPr>
      <w:r>
        <w:rPr>
          <w:rFonts w:ascii="Calibri" w:cs="Calibri" w:eastAsia="Calibri" w:hAnsi="Calibri"/>
          <w:b/>
          <w:bCs/>
          <w:color w:val="3A6B7A"/>
          <w:sz w:val="21"/>
          <w:szCs w:val="21"/>
        </w:rPr>
        <w:t xml:space="preserve">13.1  Screen: Report Flood Situation (form)</w:t>
      </w:r>
    </w:p>
    <w:p>
      <w:pPr>
        <w:spacing w:after="140"/>
      </w:pPr>
      <w:r>
        <w:rPr>
          <w:rFonts w:ascii="Calibri" w:cs="Calibri" w:eastAsia="Calibri" w:hAnsi="Calibri"/>
          <w:b w:val="false"/>
          <w:bCs w:val="false"/>
          <w:i w:val="false"/>
          <w:iCs w:val="false"/>
          <w:sz w:val="21"/>
          <w:szCs w:val="21"/>
        </w:rPr>
        <w:t xml:space="preserve">Field set matches Section 5.4: township, gauge reading (cm — or, more realistically for a non-technical responder, a simple “above/at/below the danger mark” choice that the client converts to an approximate cm value; see Section 20 for replacing this with a live feed entirely), upstream heavy-rain days, local rainfall, embankment status, terrain, road status, vulnerable groups, injuries, affected population.</w:t>
      </w:r>
    </w:p>
    <w:p>
      <w:pPr>
        <w:spacing w:after="100" w:before="220"/>
      </w:pPr>
      <w:r>
        <w:rPr>
          <w:rFonts w:ascii="Calibri" w:cs="Calibri" w:eastAsia="Calibri" w:hAnsi="Calibri"/>
          <w:b/>
          <w:bCs/>
          <w:color w:val="3A6B7A"/>
          <w:sz w:val="21"/>
          <w:szCs w:val="21"/>
        </w:rPr>
        <w:t xml:space="preserve">13.2  Screen: Results Dashboard</w:t>
      </w:r>
    </w:p>
    <w:p>
      <w:pPr>
        <w:spacing w:after="140"/>
      </w:pPr>
      <w:r>
        <w:rPr>
          <w:rFonts w:ascii="Calibri" w:cs="Calibri" w:eastAsia="Calibri" w:hAnsi="Calibri"/>
          <w:b w:val="false"/>
          <w:bCs w:val="false"/>
          <w:i w:val="false"/>
          <w:iCs w:val="false"/>
          <w:sz w:val="21"/>
          <w:szCs w:val="21"/>
        </w:rPr>
        <w:t xml:space="preserve">Shows severity, recommended_action, the assigned unit and shelter with their distances, and severity_reason (Section 12.2) so a responder can see at a glance whether a severe rating came from the gauge or from an embankment override — this distinction matters operationally, since an embankment breach can be addressed (temporary repair, sandbagging) in a way a rising river cannot.</w:t>
      </w:r>
    </w:p>
    <w:p>
      <w:pPr>
        <w:spacing w:after="100" w:before="220"/>
      </w:pPr>
      <w:r>
        <w:rPr>
          <w:rFonts w:ascii="Calibri" w:cs="Calibri" w:eastAsia="Calibri" w:hAnsi="Calibri"/>
          <w:b/>
          <w:bCs/>
          <w:color w:val="3A6B7A"/>
          <w:sz w:val="21"/>
          <w:szCs w:val="21"/>
        </w:rPr>
        <w:t xml:space="preserve">13.3  Screen: Regional Overview</w:t>
      </w:r>
    </w:p>
    <w:p>
      <w:pPr>
        <w:spacing w:after="140"/>
      </w:pPr>
      <w:r>
        <w:rPr>
          <w:rFonts w:ascii="Calibri" w:cs="Calibri" w:eastAsia="Calibri" w:hAnsi="Calibri"/>
          <w:b w:val="false"/>
          <w:bCs w:val="false"/>
          <w:i w:val="false"/>
          <w:iCs w:val="false"/>
          <w:sz w:val="21"/>
          <w:szCs w:val="21"/>
        </w:rPr>
        <w:t xml:space="preserve">Lists all open/assessed/dispatched cases with the regional map, color-coded by severity.</w:t>
      </w:r>
    </w:p>
    <w:p>
      <w:pPr>
        <w:spacing w:after="100" w:before="220"/>
      </w:pPr>
      <w:r>
        <w:rPr>
          <w:rFonts w:ascii="Calibri" w:cs="Calibri" w:eastAsia="Calibri" w:hAnsi="Calibri"/>
          <w:b/>
          <w:bCs/>
          <w:color w:val="3A6B7A"/>
          <w:sz w:val="21"/>
          <w:szCs w:val="21"/>
        </w:rPr>
        <w:t xml:space="preserve">13.4  Explainability element</w:t>
      </w:r>
    </w:p>
    <w:p>
      <w:pPr>
        <w:spacing w:after="140"/>
      </w:pPr>
      <w:r>
        <w:rPr>
          <w:rFonts w:ascii="Calibri" w:cs="Calibri" w:eastAsia="Calibri" w:hAnsi="Calibri"/>
          <w:b w:val="false"/>
          <w:bCs w:val="false"/>
          <w:i w:val="false"/>
          <w:iCs w:val="false"/>
          <w:sz w:val="21"/>
          <w:szCs w:val="21"/>
        </w:rPr>
        <w:t xml:space="preserve">A “Why?” trace states which gauge station was referenced and the computed gauge_percent, not just the final band — given Section 7.1's percentage bands are this document's own extrapolated assumption rather than official DMH thresholds, showing the raw percentage lets a responder sanity-check the classification themselves.</w:t>
      </w:r>
    </w:p>
    <w:p>
      <w:pPr>
        <w:spacing w:after="100" w:before="220"/>
      </w:pPr>
      <w:r>
        <w:rPr>
          <w:rFonts w:ascii="Calibri" w:cs="Calibri" w:eastAsia="Calibri" w:hAnsi="Calibri"/>
          <w:b/>
          <w:bCs/>
          <w:color w:val="3A6B7A"/>
          <w:sz w:val="21"/>
          <w:szCs w:val="21"/>
        </w:rPr>
        <w:t xml:space="preserve">13.5  Accessibility &amp; field-use considerations</w:t>
      </w:r>
    </w:p>
    <w:p>
      <w:pPr>
        <w:pStyle w:val="ListParagraph"/>
        <w:numPr>
          <w:ilvl w:val="0"/>
          <w:numId w:val="2"/>
        </w:numPr>
        <w:spacing w:after="60"/>
      </w:pPr>
      <w:r>
        <w:rPr>
          <w:rFonts w:ascii="Calibri" w:cs="Calibri" w:eastAsia="Calibri" w:hAnsi="Calibri"/>
          <w:sz w:val="21"/>
          <w:szCs w:val="21"/>
        </w:rPr>
        <w:t xml:space="preserve">Categorical fields (embankment status, terrain, road status, local rainfall) are dropdowns or toggles, not free text, to minimize data-entry errors under field stress.</w:t>
      </w:r>
    </w:p>
    <w:p>
      <w:pPr>
        <w:pStyle w:val="ListParagraph"/>
        <w:numPr>
          <w:ilvl w:val="0"/>
          <w:numId w:val="2"/>
        </w:numPr>
        <w:spacing w:after="60"/>
      </w:pPr>
      <w:r>
        <w:rPr>
          <w:rFonts w:ascii="Calibri" w:cs="Calibri" w:eastAsia="Calibri" w:hAnsi="Calibri"/>
          <w:sz w:val="21"/>
          <w:szCs w:val="21"/>
        </w:rPr>
        <w:t xml:space="preserve">Layout targets a mid-range Android phone browser at outdoor brightness — large tap targets, and severity colors (Section 13.2) chosen to stay distinguishable in direct sunlight.</w:t>
      </w:r>
    </w:p>
    <w:p>
      <w:pPr>
        <w:pStyle w:val="ListParagraph"/>
        <w:numPr>
          <w:ilvl w:val="0"/>
          <w:numId w:val="2"/>
        </w:numPr>
        <w:spacing w:after="60"/>
      </w:pPr>
      <w:r>
        <w:rPr>
          <w:rFonts w:ascii="Calibri" w:cs="Calibri" w:eastAsia="Calibri" w:hAnsi="Calibri"/>
          <w:sz w:val="21"/>
          <w:szCs w:val="21"/>
        </w:rPr>
        <w:t xml:space="preserve">Form and results language is kept plain and non-technical throughout, consistent with the primary user described in Section 3.</w:t>
      </w:r>
    </w:p>
    <w:p>
      <w:pPr>
        <w:pStyle w:val="ListParagraph"/>
        <w:numPr>
          <w:ilvl w:val="0"/>
          <w:numId w:val="2"/>
        </w:numPr>
        <w:spacing w:after="60"/>
      </w:pPr>
      <w:r>
        <w:rPr>
          <w:rFonts w:ascii="Calibri" w:cs="Calibri" w:eastAsia="Calibri" w:hAnsi="Calibri"/>
          <w:sz w:val="21"/>
          <w:szCs w:val="21"/>
        </w:rPr>
        <w:t xml:space="preserve">Burmese-language UI and offline/low-connectivity support are named as future work, not built in this version — Section 20.4.</w:t>
      </w:r>
    </w:p>
    <w:p>
      <w:pPr>
        <w:spacing w:after="100" w:before="220"/>
      </w:pPr>
      <w:r>
        <w:rPr>
          <w:rFonts w:ascii="Calibri" w:cs="Calibri" w:eastAsia="Calibri" w:hAnsi="Calibri"/>
          <w:b/>
          <w:bCs/>
          <w:color w:val="3A6B7A"/>
          <w:sz w:val="21"/>
          <w:szCs w:val="21"/>
        </w:rPr>
        <w:t xml:space="preserve">13.6  Visual direction — map design per screen</w:t>
      </w:r>
    </w:p>
    <w:p>
      <w:pPr>
        <w:spacing w:after="140"/>
      </w:pPr>
      <w:r>
        <w:rPr>
          <w:rFonts w:ascii="Calibri" w:cs="Calibri" w:eastAsia="Calibri" w:hAnsi="Calibri"/>
          <w:b w:val="false"/>
          <w:bCs w:val="false"/>
          <w:i w:val="false"/>
          <w:iCs w:val="false"/>
          <w:sz w:val="21"/>
          <w:szCs w:val="21"/>
        </w:rPr>
        <w:t xml:space="preserve">The map's information architecture differs by screen, following directly from the two different users named in Section 3 — this is a decided design direction, not a full visual spec; exact colors, iconography, and pixel layout remain open implementation choices (Section 19's operating rules).</w:t>
      </w:r>
    </w:p>
    <w:p>
      <w:pPr>
        <w:pStyle w:val="ListParagraph"/>
        <w:numPr>
          <w:ilvl w:val="0"/>
          <w:numId w:val="2"/>
        </w:numPr>
        <w:spacing w:after="60"/>
      </w:pPr>
      <w:r>
        <w:rPr>
          <w:rFonts w:ascii="Calibri" w:cs="Calibri" w:eastAsia="Calibri" w:hAnsi="Calibri"/>
          <w:sz w:val="21"/>
          <w:szCs w:val="21"/>
        </w:rPr>
        <w:t xml:space="preserve">Report → Results (Section 13.1/13.2, the primary user, on a mid-range Android phone outdoors — Section 13.5): the map stays minimal and high-contrast — a light basemap, three labeled pins (incident, assigned unit's home township, assigned shelter), and a single bold route line for the chosen path. Nothing else is overlaid. Severity is read off the colored badge on the Results card itself, not decoded from the map.</w:t>
      </w:r>
    </w:p>
    <w:p>
      <w:pPr>
        <w:pStyle w:val="ListParagraph"/>
        <w:numPr>
          <w:ilvl w:val="0"/>
          <w:numId w:val="2"/>
        </w:numPr>
        <w:spacing w:after="60"/>
      </w:pPr>
      <w:r>
        <w:rPr>
          <w:rFonts w:ascii="Calibri" w:cs="Calibri" w:eastAsia="Calibri" w:hAnsi="Calibri"/>
          <w:sz w:val="21"/>
          <w:szCs w:val="21"/>
        </w:rPr>
        <w:t xml:space="preserve">Regional Overview (Section 13.3, the secondary/admin user monitoring several cases at once, more plausibly on a larger screen): the map may carry more information density — multiple case pins color-coded by severity, alongside the fleet/case list panel — but should stay high-contrast rather than adopting a dark, low-contrast theme, both because nothing about this user's task requires it and because Section 13.5's sunlight-legibility requirement should hold if any component here is ever reused on a phone.</w:t>
      </w:r>
    </w:p>
    <w:p>
      <w:pPr>
        <w:pageBreakBefore/>
        <w:pBdr>
          <w:bottom w:val="double" w:color="0F3345" w:sz="8" w:space="6"/>
        </w:pBdr>
        <w:spacing w:after="200" w:before="0"/>
      </w:pPr>
      <w:r>
        <w:rPr>
          <w:rFonts w:ascii="Calibri" w:cs="Calibri" w:eastAsia="Calibri" w:hAnsi="Calibri"/>
          <w:b/>
          <w:bCs/>
          <w:color w:val="0F3345"/>
          <w:sz w:val="30"/>
          <w:szCs w:val="30"/>
        </w:rPr>
        <w:t xml:space="preserve">14.  End-to-End Worked Example (Real Event)</w:t>
      </w:r>
    </w:p>
    <w:p>
      <w:pPr>
        <w:spacing w:after="140"/>
      </w:pPr>
      <w:r>
        <w:rPr>
          <w:rFonts w:ascii="Calibri" w:cs="Calibri" w:eastAsia="Calibri" w:hAnsi="Calibri"/>
          <w:b w:val="false"/>
          <w:bCs w:val="false"/>
          <w:i w:val="false"/>
          <w:iCs w:val="false"/>
          <w:sz w:val="21"/>
          <w:szCs w:val="21"/>
        </w:rPr>
        <w:t xml:space="preserve">This worked example uses the actual July 2026 Lemyethna embankment breach — the real event this project has cited throughout — with its real, documented numbers.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100"/>
        <w:gridCol w:w="1900"/>
        <w:gridCol w:w="1900"/>
      </w:tblGrid>
      <w:tr>
        <w:tc>
          <w:tcPr>
            <w:tcW w:type="dxa" w:w="1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ID</w:t>
            </w:r>
          </w:p>
        </w:tc>
        <w:tc>
          <w:tcPr>
            <w:tcW w:type="dxa" w:w="1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Status</w:t>
            </w:r>
          </w:p>
        </w:tc>
        <w:tc>
          <w:tcPr>
            <w:tcW w:type="dxa" w:w="21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Location</w:t>
            </w:r>
          </w:p>
        </w:tc>
        <w:tc>
          <w:tcPr>
            <w:tcW w:type="dxa" w:w="1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Mobility</w:t>
            </w:r>
          </w:p>
        </w:tc>
        <w:tc>
          <w:tcPr>
            <w:tcW w:type="dxa" w:w="1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Medical Support</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RB-01</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Yegyi</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motorized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true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RB-02</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motorized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false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RB-03</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deployed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motorized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true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RB-04</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Myaungmya</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standard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false</w:t>
            </w:r>
          </w:p>
        </w:tc>
      </w:tr>
      <w:tr>
        <w:tc>
          <w:tcPr>
            <w:tcW w:type="dxa" w:w="1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RB-05</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available</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Bogale</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motorized</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true</w:t>
            </w:r>
          </w:p>
        </w:tc>
      </w:tr>
    </w:tbl>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000"/>
        <w:gridCol w:w="1500"/>
      </w:tblGrid>
      <w:tr>
        <w:tc>
          <w:tcPr>
            <w:tcW w:type="dxa" w:w="3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ID</w:t>
            </w:r>
          </w:p>
        </w:tc>
        <w:tc>
          <w:tcPr>
            <w:tcW w:type="dxa" w:w="16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Status</w:t>
            </w:r>
          </w:p>
        </w:tc>
        <w:tc>
          <w:tcPr>
            <w:tcW w:type="dxa" w:w="20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Capability</w:t>
            </w:r>
          </w:p>
        </w:tc>
        <w:tc>
          <w:tcPr>
            <w:tcW w:type="dxa" w:w="15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Location</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S-01 — Yegyi High School</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full</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general</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Yegyi</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S-02 — Lemyethna Monastery</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accepting</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general</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Lemyethna</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S-03 — Pathein General Hospital Annex</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accepting</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medical_equipped</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Pathein</w:t>
            </w:r>
          </w:p>
        </w:tc>
      </w:tr>
      <w:tr>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S-04 — Myaungmya Community Hall</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accepting</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general</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Myaungmya</w:t>
            </w:r>
          </w:p>
        </w:tc>
      </w:tr>
    </w:tbl>
    <w:p>
      <w:pPr>
        <w:spacing w:after="140"/>
      </w:pPr>
      <w:r>
        <w:rPr>
          <w:rFonts w:ascii="Calibri" w:cs="Calibri" w:eastAsia="Calibri" w:hAnsi="Calibri"/>
          <w:b w:val="false"/>
          <w:bCs w:val="false"/>
          <w:i w:val="false"/>
          <w:iCs w:val="false"/>
          <w:sz w:val="21"/>
          <w:szCs w:val="21"/>
        </w:rPr>
        <w:t xml:space="preserve">Incoming report: Lemyethna, gauge_reading_cm=1250 (against the Ngathaingchaung station's 1160 cm danger level, Section 6.2), upstream_heavy_rain_days=3, local_rainfall=heavy, embankment_status=breached, terrain=low_lying, road_status=impassable, vulnerable_present=true, injured_survivors=true, affected_population=39000 — the real documented figure for Lemyethna Township alone.</w:t>
      </w:r>
    </w:p>
    <w:p>
      <w:pPr>
        <w:spacing w:after="100" w:before="220"/>
      </w:pPr>
      <w:r>
        <w:rPr>
          <w:rFonts w:ascii="Calibri" w:cs="Calibri" w:eastAsia="Calibri" w:hAnsi="Calibri"/>
          <w:b/>
          <w:bCs/>
          <w:color w:val="3A6B7A"/>
          <w:sz w:val="21"/>
          <w:szCs w:val="21"/>
        </w:rPr>
        <w:t xml:space="preserve">Step-by-step trace</w:t>
      </w:r>
    </w:p>
    <w:p>
      <w:pPr>
        <w:pStyle w:val="ListParagraph"/>
        <w:numPr>
          <w:ilvl w:val="0"/>
          <w:numId w:val="2"/>
        </w:numPr>
        <w:spacing w:after="60"/>
      </w:pPr>
      <w:r>
        <w:rPr>
          <w:rFonts w:ascii="Calibri" w:cs="Calibri" w:eastAsia="Calibri" w:hAnsi="Calibri"/>
          <w:sz w:val="21"/>
          <w:szCs w:val="21"/>
        </w:rPr>
        <w:t xml:space="preserve">Section 7.1: gauge_percent = round(100 × 1250 / 1160) = 108% → base_band = high. embankment_status=breached fires first and overrides everything: severity = severe (severity_reason = embankment_breach_override).</w:t>
      </w:r>
    </w:p>
    <w:p>
      <w:pPr>
        <w:pStyle w:val="ListParagraph"/>
        <w:numPr>
          <w:ilvl w:val="0"/>
          <w:numId w:val="2"/>
        </w:numPr>
        <w:spacing w:after="60"/>
      </w:pPr>
      <w:r>
        <w:rPr>
          <w:rFonts w:ascii="Calibri" w:cs="Calibri" w:eastAsia="Calibri" w:hAnsi="Calibri"/>
          <w:sz w:val="21"/>
          <w:szCs w:val="21"/>
        </w:rPr>
        <w:t xml:space="preserve">Section 7.2: severity=severe → 'Evacuate immediately'.</w:t>
      </w:r>
    </w:p>
    <w:p>
      <w:pPr>
        <w:pStyle w:val="ListParagraph"/>
        <w:numPr>
          <w:ilvl w:val="0"/>
          <w:numId w:val="2"/>
        </w:numPr>
        <w:spacing w:after="60"/>
      </w:pPr>
      <w:r>
        <w:rPr>
          <w:rFonts w:ascii="Calibri" w:cs="Calibri" w:eastAsia="Calibri" w:hAnsi="Calibri"/>
          <w:sz w:val="21"/>
          <w:szCs w:val="21"/>
        </w:rPr>
        <w:t xml:space="preserve">Section 7.3: road_status=impassable → motorized required. severity=severe → motorized required (redundant, same conclusion). injured_survivors=true → medical_support required. required_capabilities = { motorized, medical_support }.</w:t>
      </w:r>
    </w:p>
    <w:p>
      <w:pPr>
        <w:pStyle w:val="ListParagraph"/>
        <w:numPr>
          <w:ilvl w:val="0"/>
          <w:numId w:val="2"/>
        </w:numPr>
        <w:spacing w:after="60"/>
      </w:pPr>
      <w:r>
        <w:rPr>
          <w:rFonts w:ascii="Calibri" w:cs="Calibri" w:eastAsia="Calibri" w:hAnsi="Calibri"/>
          <w:sz w:val="21"/>
          <w:szCs w:val="21"/>
        </w:rPr>
        <w:t xml:space="preserve">Section 8: embankment +12, gauge high-band +8, upstream rain (3 days) +4, local rainfall heavy +5, road impassable +6, vulnerable +7, injured +6, population 10,000+ tier +8 = 56 → priority_band = critical.</w:t>
      </w:r>
    </w:p>
    <w:p>
      <w:pPr>
        <w:pStyle w:val="ListParagraph"/>
        <w:numPr>
          <w:ilvl w:val="0"/>
          <w:numId w:val="2"/>
        </w:numPr>
        <w:spacing w:after="60"/>
      </w:pPr>
      <w:r>
        <w:rPr>
          <w:rFonts w:ascii="Calibri" w:cs="Calibri" w:eastAsia="Calibri" w:hAnsi="Calibri"/>
          <w:sz w:val="21"/>
          <w:szCs w:val="21"/>
        </w:rPr>
        <w:t xml:space="preserve">Section 9: RB-02 is stationed AT Lemyethna (distance 0) — the closest possible unit — but is excluded: no medic aboard. RB-01 (Yegyi, motorized, medical) is a candidate. RB-03 excluded (deployed). RB-04 excluded (standard, no medic). RB-05 (Bogale) a distant candidate.</w:t>
      </w:r>
    </w:p>
    <w:p>
      <w:pPr>
        <w:pStyle w:val="ListParagraph"/>
        <w:numPr>
          <w:ilvl w:val="0"/>
          <w:numId w:val="2"/>
        </w:numPr>
        <w:spacing w:after="60"/>
      </w:pPr>
      <w:r>
        <w:rPr>
          <w:rFonts w:ascii="Calibri" w:cs="Calibri" w:eastAsia="Calibri" w:hAnsi="Calibri"/>
          <w:sz w:val="21"/>
          <w:szCs w:val="21"/>
        </w:rPr>
        <w:t xml:space="preserve">Section 10: distance(Lemyethna→Yegyi) = 3 for RB-01. distance(Lemyethna→Bogale) = Lemyethna-Ngathaingchaung(3)+Thabaung(3)+Pathein(3)+Mawlamyinegyun(4)+Bogale(3) = 16 for RB-05. RB-01 wins despite RB-02 being physically closer, because RB-02 fails the compound filter first.</w:t>
      </w:r>
    </w:p>
    <w:p>
      <w:pPr>
        <w:pStyle w:val="ListParagraph"/>
        <w:numPr>
          <w:ilvl w:val="0"/>
          <w:numId w:val="2"/>
        </w:numPr>
        <w:spacing w:after="60"/>
      </w:pPr>
      <w:r>
        <w:rPr>
          <w:rFonts w:ascii="Calibri" w:cs="Calibri" w:eastAsia="Calibri" w:hAnsi="Calibri"/>
          <w:sz w:val="21"/>
          <w:szCs w:val="21"/>
        </w:rPr>
        <w:t xml:space="preserve">Shelters: required_shelter_capability = medical_equipped. S-02 Lemyethna Monastery is distance 0 but general, not medical_equipped — excluded despite being the closest. S-01 excluded (full). S-04 excluded (general). S-03 Pathein is the only candidate: distance(Lemyethna→Pathein) = Ngathaingchaung(3)+Thabaung(3)+Pathein(3) = 9.</w:t>
      </w:r>
    </w:p>
    <w:p>
      <w:pPr>
        <w:pStyle w:val="ListParagraph"/>
        <w:numPr>
          <w:ilvl w:val="0"/>
          <w:numId w:val="2"/>
        </w:numPr>
        <w:spacing w:after="60"/>
      </w:pPr>
      <w:r>
        <w:rPr>
          <w:rFonts w:ascii="Calibri" w:cs="Calibri" w:eastAsia="Calibri" w:hAnsi="Calibri"/>
          <w:sz w:val="21"/>
          <w:szCs w:val="21"/>
        </w:rPr>
        <w:t xml:space="preserve">Section 11.2: RB-01 and S-03 both flip to reserved atomically with the response.</w:t>
      </w:r>
    </w:p>
    <w:p>
      <w:pPr>
        <w:spacing w:after="140"/>
      </w:pPr>
      <w:r>
        <w:rPr>
          <w:rFonts w:ascii="Calibri" w:cs="Calibri" w:eastAsia="Calibri" w:hAnsi="Calibri"/>
          <w:b w:val="false"/>
          <w:bCs w:val="false"/>
          <w:i/>
          <w:iCs/>
          <w:sz w:val="21"/>
          <w:szCs w:val="21"/>
        </w:rPr>
        <w:t xml:space="preserve">This example is included for exactly this reason: the single closest unit AND the single closest shelter are both wrong choices once their missing medical capability is accounted for — the clearest possible demonstration of why compound filtering exists, using real casualty-scale numbers rather than an invented population figure.</w:t>
      </w:r>
    </w:p>
    <w:p>
      <w:pPr>
        <w:pageBreakBefore/>
        <w:pBdr>
          <w:bottom w:val="double" w:color="0F3345" w:sz="8" w:space="6"/>
        </w:pBdr>
        <w:spacing w:after="200" w:before="0"/>
      </w:pPr>
      <w:r>
        <w:rPr>
          <w:rFonts w:ascii="Calibri" w:cs="Calibri" w:eastAsia="Calibri" w:hAnsi="Calibri"/>
          <w:b/>
          <w:bCs/>
          <w:color w:val="0F3345"/>
          <w:sz w:val="30"/>
          <w:szCs w:val="30"/>
        </w:rPr>
        <w:t xml:space="preserve">15.  Edge Cases &amp; Failure Modes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5300"/>
      </w:tblGrid>
      <w:tr>
        <w:tc>
          <w:tcPr>
            <w:tcW w:type="dxa" w:w="3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Scenario</w:t>
            </w:r>
          </w:p>
        </w:tc>
        <w:tc>
          <w:tcPr>
            <w:tcW w:type="dxa" w:w="5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Expected behavior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 unit satisfies full required-capability set</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9.1 fallback — relax medical_support first, flag it; else null assignment + escalation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 shelter satisfies capability + availability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9.2 fallback — relax capability before availability; else null + escalation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Two candidates exactly equidistant</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10.2 tie-break: co-located candidate first, else lower ID alphabetically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township_id not in the network graph</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422 validation error</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 required fact is missing</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Prolog fails to prove severity; 422 incomplete_assessment, never a silent default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gauge_reading_cm reported but the township's gauge_station_id mapping (Section 6.2) is wrong or unverified</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6.2's own noteBox already flags this table as an assumption needing validation — until verified, treat any gauge-derived severity as provisional in the UI (Section 13.4 surfaces the raw percentage for this reason)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Report submitted for a coastal-tier township (Labutta, Bogale, etc.)</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System still runs Sections 7.1–7.3 and returns an answer, but Section 7.6 explicitly documents that this does not capture the township's real dominant hazard (storm surge) — this is a known, named gap, not a silent one</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embankment_status=breached but gauge_reading_cm is still below danger level</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Expected and realistic per the source data — a breach can flood a township before the gauge itself shows exceedance; severity still correctly comes out severe via the override (Section 7.1 Step 5)</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Two reports for the same township within a short window</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Not automatically merged — flagged gap, Section 16/20</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Two concurrent cases want the same unit</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Whichever reservation (Section 11) completes first wins it</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SWI-Prolog server unreachable</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503, never a guessed severity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 case is resolved twice, or without ever being assessed</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No-op on the resource side; Case.status still transitions to resolved</w:t>
            </w:r>
          </w:p>
        </w:tc>
      </w:tr>
    </w:tbl>
    <w:p>
      <w:pPr>
        <w:pageBreakBefore/>
        <w:pBdr>
          <w:bottom w:val="double" w:color="0F3345" w:sz="8" w:space="6"/>
        </w:pBdr>
        <w:spacing w:after="200" w:before="0"/>
      </w:pPr>
      <w:r>
        <w:rPr>
          <w:rFonts w:ascii="Calibri" w:cs="Calibri" w:eastAsia="Calibri" w:hAnsi="Calibri"/>
          <w:b/>
          <w:bCs/>
          <w:color w:val="0F3345"/>
          <w:sz w:val="30"/>
          <w:szCs w:val="30"/>
        </w:rPr>
        <w:t xml:space="preserve">16.  Assumptions &amp; Known Simplifications</w:t>
      </w:r>
    </w:p>
    <w:p>
      <w:pPr>
        <w:spacing w:after="140"/>
      </w:pPr>
      <w:r>
        <w:rPr>
          <w:rFonts w:ascii="Calibri" w:cs="Calibri" w:eastAsia="Calibri" w:hAnsi="Calibri"/>
          <w:b w:val="false"/>
          <w:bCs w:val="false"/>
          <w:i w:val="false"/>
          <w:iCs w:val="false"/>
          <w:sz w:val="21"/>
          <w:szCs w:val="21"/>
        </w:rPr>
        <w:t xml:space="preserve">Each is a deliberate, stated scope decision, not an accidental gap.</w:t>
      </w:r>
    </w:p>
    <w:p>
      <w:pPr>
        <w:spacing w:after="100" w:before="220"/>
      </w:pPr>
      <w:r>
        <w:rPr>
          <w:rFonts w:ascii="Calibri" w:cs="Calibri" w:eastAsia="Calibri" w:hAnsi="Calibri"/>
          <w:b/>
          <w:bCs/>
          <w:color w:val="3A6B7A"/>
          <w:sz w:val="21"/>
          <w:szCs w:val="21"/>
        </w:rPr>
        <w:t xml:space="preserve">System &amp; scope assumptions</w:t>
      </w:r>
    </w:p>
    <w:p>
      <w:pPr>
        <w:pStyle w:val="ListParagraph"/>
        <w:numPr>
          <w:ilvl w:val="0"/>
          <w:numId w:val="2"/>
        </w:numPr>
        <w:spacing w:after="60"/>
      </w:pPr>
      <w:r>
        <w:rPr>
          <w:rFonts w:ascii="Calibri" w:cs="Calibri" w:eastAsia="Calibri" w:hAnsi="Calibri"/>
          <w:sz w:val="21"/>
          <w:szCs w:val="21"/>
        </w:rPr>
        <w:t xml:space="preserve">Every rescue unit is assumed to carry basic first-aid supplies; only trained-person medical support is modelled.</w:t>
      </w:r>
    </w:p>
    <w:p>
      <w:pPr>
        <w:pStyle w:val="ListParagraph"/>
        <w:numPr>
          <w:ilvl w:val="0"/>
          <w:numId w:val="2"/>
        </w:numPr>
        <w:spacing w:after="60"/>
      </w:pPr>
      <w:r>
        <w:rPr>
          <w:rFonts w:ascii="Calibri" w:cs="Calibri" w:eastAsia="Calibri" w:hAnsi="Calibri"/>
          <w:sz w:val="21"/>
          <w:szCs w:val="21"/>
        </w:rPr>
        <w:t xml:space="preserve">Fleet, shelter, and network status data are simulated/manually maintained, not a live feed.</w:t>
      </w:r>
    </w:p>
    <w:p>
      <w:pPr>
        <w:pStyle w:val="ListParagraph"/>
        <w:numPr>
          <w:ilvl w:val="0"/>
          <w:numId w:val="2"/>
        </w:numPr>
        <w:spacing w:after="60"/>
      </w:pPr>
      <w:r>
        <w:rPr>
          <w:rFonts w:ascii="Calibri" w:cs="Calibri" w:eastAsia="Calibri" w:hAnsi="Calibri"/>
          <w:sz w:val="21"/>
          <w:szCs w:val="21"/>
        </w:rPr>
        <w:t xml:space="preserve">NetworkEdge.passable is operator-maintained, like RescueUnit/Shelter status — nothing in the current report pipeline sets it automatically, so a real obstruction (collapsed bridge, worse-flooded segment) is only reflected once someone updates the data by hand. This is intentionally independent of road_status, which governs boat-engine requirements (Section 7.3), not water-route availability — see Section 7.5 for why conflating the two would be a modeling error, not a fix, in an all-boat fleet.</w:t>
      </w:r>
    </w:p>
    <w:p>
      <w:pPr>
        <w:pStyle w:val="ListParagraph"/>
        <w:numPr>
          <w:ilvl w:val="0"/>
          <w:numId w:val="2"/>
        </w:numPr>
        <w:spacing w:after="60"/>
      </w:pPr>
      <w:r>
        <w:rPr>
          <w:rFonts w:ascii="Calibri" w:cs="Calibri" w:eastAsia="Calibri" w:hAnsi="Calibri"/>
          <w:sz w:val="21"/>
          <w:szCs w:val="21"/>
        </w:rPr>
        <w:t xml:space="preserve">Passenger/boat capacity and shelter numeric capacity are optional fields, not enforced by any rule.</w:t>
      </w:r>
    </w:p>
    <w:p>
      <w:pPr>
        <w:pStyle w:val="ListParagraph"/>
        <w:numPr>
          <w:ilvl w:val="0"/>
          <w:numId w:val="2"/>
        </w:numPr>
        <w:spacing w:after="60"/>
      </w:pPr>
      <w:r>
        <w:rPr>
          <w:rFonts w:ascii="Calibri" w:cs="Calibri" w:eastAsia="Calibri" w:hAnsi="Calibri"/>
          <w:sz w:val="21"/>
          <w:szCs w:val="21"/>
        </w:rPr>
        <w:t xml:space="preserve">Crew water-rescue certification is not modelled as its own capability.</w:t>
      </w:r>
    </w:p>
    <w:p>
      <w:pPr>
        <w:pStyle w:val="ListParagraph"/>
        <w:numPr>
          <w:ilvl w:val="0"/>
          <w:numId w:val="2"/>
        </w:numPr>
        <w:spacing w:after="60"/>
      </w:pPr>
      <w:r>
        <w:rPr>
          <w:rFonts w:ascii="Calibri" w:cs="Calibri" w:eastAsia="Calibri" w:hAnsi="Calibri"/>
          <w:sz w:val="21"/>
          <w:szCs w:val="21"/>
        </w:rPr>
        <w:t xml:space="preserve">No deduplication of near-simultaneous duplicate reports.</w:t>
      </w:r>
    </w:p>
    <w:p>
      <w:pPr>
        <w:pStyle w:val="ListParagraph"/>
        <w:numPr>
          <w:ilvl w:val="0"/>
          <w:numId w:val="2"/>
        </w:numPr>
        <w:spacing w:after="60"/>
      </w:pPr>
      <w:r>
        <w:rPr>
          <w:rFonts w:ascii="Calibri" w:cs="Calibri" w:eastAsia="Calibri" w:hAnsi="Calibri"/>
          <w:sz w:val="21"/>
          <w:szCs w:val="21"/>
        </w:rPr>
        <w:t xml:space="preserve">No authentication or role-based access control.</w:t>
      </w:r>
    </w:p>
    <w:p>
      <w:pPr>
        <w:pStyle w:val="ListParagraph"/>
        <w:numPr>
          <w:ilvl w:val="0"/>
          <w:numId w:val="2"/>
        </w:numPr>
        <w:spacing w:after="60"/>
      </w:pPr>
      <w:r>
        <w:rPr>
          <w:rFonts w:ascii="Calibri" w:cs="Calibri" w:eastAsia="Calibri" w:hAnsi="Calibri"/>
          <w:sz w:val="21"/>
          <w:szCs w:val="21"/>
        </w:rPr>
        <w:t xml:space="preserve">Last-mile (intra-township) distances are illustrative, not computed from a real sub-township network.</w:t>
      </w:r>
    </w:p>
    <w:p>
      <w:pPr>
        <w:spacing w:after="100" w:before="220"/>
      </w:pPr>
      <w:r>
        <w:rPr>
          <w:rFonts w:ascii="Calibri" w:cs="Calibri" w:eastAsia="Calibri" w:hAnsi="Calibri"/>
          <w:b/>
          <w:bCs/>
          <w:color w:val="3A6B7A"/>
          <w:sz w:val="21"/>
          <w:szCs w:val="21"/>
        </w:rPr>
        <w:t xml:space="preserve">Data assumptions (flagged for validation)</w:t>
      </w:r>
    </w:p>
    <w:p>
      <w:pPr>
        <w:pStyle w:val="ListParagraph"/>
        <w:numPr>
          <w:ilvl w:val="0"/>
          <w:numId w:val="2"/>
        </w:numPr>
        <w:spacing w:after="60"/>
      </w:pPr>
      <w:r>
        <w:rPr>
          <w:rFonts w:ascii="Calibri" w:cs="Calibri" w:eastAsia="Calibri" w:hAnsi="Calibri"/>
          <w:sz w:val="21"/>
          <w:szCs w:val="21"/>
        </w:rPr>
        <w:t xml:space="preserve">The gauge_percent bands in Section 7.1 (70% / 100% / 115%) are this document's own extrapolation, not DMH-published thresholds — DMH publishes only a single danger-level datum per station, per the source compilation's own caveats.</w:t>
      </w:r>
    </w:p>
    <w:p>
      <w:pPr>
        <w:pStyle w:val="ListParagraph"/>
        <w:numPr>
          <w:ilvl w:val="0"/>
          <w:numId w:val="2"/>
        </w:numPr>
        <w:spacing w:after="60"/>
      </w:pPr>
      <w:r>
        <w:rPr>
          <w:rFonts w:ascii="Calibri" w:cs="Calibri" w:eastAsia="Calibri" w:hAnsi="Calibri"/>
          <w:sz w:val="21"/>
          <w:szCs w:val="21"/>
        </w:rPr>
        <w:t xml:space="preserve">The township-to-gauge-station mapping in Section 6.2 is this document's own geographic inference, not stated explicitly in any source reviewed so far.</w:t>
      </w:r>
    </w:p>
    <w:p>
      <w:pPr>
        <w:pStyle w:val="ListParagraph"/>
        <w:numPr>
          <w:ilvl w:val="0"/>
          <w:numId w:val="2"/>
        </w:numPr>
        <w:spacing w:after="60"/>
      </w:pPr>
      <w:r>
        <w:rPr>
          <w:rFonts w:ascii="Calibri" w:cs="Calibri" w:eastAsia="Calibri" w:hAnsi="Calibri"/>
          <w:sz w:val="21"/>
          <w:szCs w:val="21"/>
        </w:rPr>
        <w:t xml:space="preserve">Cyclone storm-surge hazard (the dominant real risk for seven of this network's 25 townships) is not modeled in this version at all — Section 7.6 names this explicitly rather than leaving it implicit.</w:t>
      </w:r>
    </w:p>
    <w:p>
      <w:pPr>
        <w:pStyle w:val="ListParagraph"/>
        <w:numPr>
          <w:ilvl w:val="0"/>
          <w:numId w:val="2"/>
        </w:numPr>
        <w:spacing w:after="60"/>
      </w:pPr>
      <w:r>
        <w:rPr>
          <w:rFonts w:ascii="Calibri" w:cs="Calibri" w:eastAsia="Calibri" w:hAnsi="Calibri"/>
          <w:sz w:val="21"/>
          <w:szCs w:val="21"/>
        </w:rPr>
        <w:t xml:space="preserve">DMH's published danger levels come from a single dated forecast table (26 June 2025); DMH does not publish separate delta-station “warning level” datums distinct from the danger level itself.</w:t>
      </w:r>
    </w:p>
    <w:p>
      <w:pPr>
        <w:pStyle w:val="ListParagraph"/>
        <w:numPr>
          <w:ilvl w:val="0"/>
          <w:numId w:val="2"/>
        </w:numPr>
        <w:spacing w:after="60"/>
      </w:pPr>
      <w:r>
        <w:rPr>
          <w:rFonts w:ascii="Calibri" w:cs="Calibri" w:eastAsia="Calibri" w:hAnsi="Calibri"/>
          <w:sz w:val="21"/>
          <w:szCs w:val="21"/>
        </w:rPr>
        <w:t xml:space="preserve">Population and exposure figures in Section 2/6 rely on the 2014 census and 2023 projections; recent displacement and conflict have shifted actual distributions, and some 2026 figures cited come from advocacy/opposition-aligned outlets — directionally consistent with other sources but not independently verified (see Section 17).</w:t>
      </w:r>
    </w:p>
    <w:p>
      <w:pPr>
        <w:pStyle w:val="ListParagraph"/>
        <w:numPr>
          <w:ilvl w:val="0"/>
          <w:numId w:val="2"/>
        </w:numPr>
        <w:spacing w:after="60"/>
      </w:pPr>
      <w:r>
        <w:rPr>
          <w:rFonts w:ascii="Calibri" w:cs="Calibri" w:eastAsia="Calibri" w:hAnsi="Calibri"/>
          <w:sz w:val="21"/>
          <w:szCs w:val="21"/>
        </w:rPr>
        <w:t xml:space="preserve">Since the 2021 coup, official Myanmar disaster data is fragmented and contested between government and opposition sources; pre-2021 historical baselines (e.g., the 2015 flood) are more reliable than some very recent official counts.</w:t>
      </w:r>
    </w:p>
    <w:p>
      <w:pPr>
        <w:pageBreakBefore/>
        <w:pBdr>
          <w:bottom w:val="double" w:color="0F3345" w:sz="8" w:space="6"/>
        </w:pBdr>
        <w:spacing w:after="200" w:before="0"/>
      </w:pPr>
      <w:r>
        <w:rPr>
          <w:rFonts w:ascii="Calibri" w:cs="Calibri" w:eastAsia="Calibri" w:hAnsi="Calibri"/>
          <w:b/>
          <w:bCs/>
          <w:color w:val="0F3345"/>
          <w:sz w:val="30"/>
          <w:szCs w:val="30"/>
        </w:rPr>
        <w:t xml:space="preserve">17.  Data Sources &amp; Provenance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tblGrid>
      <w:tr>
        <w:tc>
          <w:tcPr>
            <w:tcW w:type="dxa" w:w="30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Used for</w:t>
            </w:r>
          </w:p>
        </w:tc>
        <w:tc>
          <w:tcPr>
            <w:tcW w:type="dxa" w:w="57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Source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Real-world precedent for the overall architecture</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IRIS-AI (Unblur) — deployed across 6 UK fire departments, Springer 2025</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What deployed flood systems do NOT yet do (forecast/alert vs. recommend)</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Google Flood Hub; Flash Flood Guidance System (Lower Mekong Basin, WMO/NOAA/HRC)</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Township-level flood-frequency tiering, satellite-verified</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Seeger et al., International Journal of Disaster Risk Reduction 114:104723, 2024 (Sentinel imagery, 2015–2023)</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Sea-level-rise / permanent-inundation vulnerability by district</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Seeger et al., Hydrology and Earth System Sciences (HESS), 2023</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DMH river-gauge danger levels (6 stations)</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Department of Meteorology and Hydrology daily water-level forecast, 26 June 2025</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Region-specific flood-depth severity bands (candidate for further refining Section 7.1)</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Flood hazard mapping and assessment in data-scarce Nyaungdon area, Myanmar — PLOS ONE (Nyaungdon is in this project's own network, Section 6.1)</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Township flood-frequency risk-index bands (secondary threshold source)</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Operational Flood Risk Index Mapping for Disaster Risk Reduction... Myanmar — Frontiers in Environmental Science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Real, precise detail of the July 2026 Ngawun/Lemyethna embankment breach used in Section 14</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Compass artifact compilation (teammate-supplied), citing on-the-ground and township-level reporting</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2015 benchmark flood (9M affected, 1.7M displaced, 125 killed per NNDMC)</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IFRC / Myanmar Red Cross Society report, Jan 2016; Copernicus EMS activation EMSR130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2012 and 2024 recurrent flood events</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 wire reporting (2012); MIMU/UNDP satellite flood-extent maps, World Bank flood-extent note (2024)</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Cyclone Nargis (2008) casualty and surge data — Hazard Regime 2 benchmark</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Post-Nargis Joint Assessment (official); Fritz et al., Nature Geoscience, 2009 (independent estimate)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Cyclone Mocha (2023) — cross-regional cyclone effect example</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Public reporting on the May 2023 Rakhine landfall and its limited Ayeyarwady impact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Existing real early-warning infrastructure (Future Expansion reference, Section 20)</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World Bank Ayeyarwady Integrated River Basin Management (AIRBM) Project, P146482, US$100.0M IDA credit, approved 9 Dec 2014; GloFAS (Copernicus), which treats Zalun as the basin outlet</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Population and exposure figures</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2023 UNFPA regional population estimate; 2014 census baseline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Structural template for tiered public warning thresholds (not Myanmar data itself)</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PAGASA (Philippines) color-coded rainfall warning system</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Target-user grounding</w:t>
            </w:r>
          </w:p>
        </w:tc>
        <w:tc>
          <w:tcPr>
            <w:tcW w:type="dxa" w:w="57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MRCS/IFRC public reporting on Yegyi Township flood response, August 2026</w:t>
            </w:r>
          </w:p>
        </w:tc>
      </w:tr>
    </w:tbl>
    <w:p>
      <w:pPr>
        <w:keepLines/>
        <w:pBdr>
          <w:left w:val="single" w:color="1F4E5F" w:sz="18"/>
        </w:pBdr>
        <w:shd w:fill="FBEFE0" w:color="auto" w:val="clear"/>
        <w:spacing w:after="200"/>
        <w:ind w:left="120"/>
      </w:pPr>
      <w:r>
        <w:rPr>
          <w:rFonts w:ascii="Calibri" w:cs="Calibri" w:eastAsia="Calibri" w:hAnsi="Calibri"/>
          <w:b/>
          <w:bCs/>
          <w:color w:val="1F4E5F"/>
          <w:sz w:val="20"/>
          <w:szCs w:val="20"/>
        </w:rPr>
        <w:t xml:space="preserve">On the compilation's own caveats: </w:t>
      </w:r>
      <w:r>
        <w:rPr>
          <w:rFonts w:ascii="Calibri" w:cs="Calibri" w:eastAsia="Calibri" w:hAnsi="Calibri"/>
          <w:i/>
          <w:iCs/>
          <w:sz w:val="20"/>
          <w:szCs w:val="20"/>
        </w:rPr>
        <w:t xml:space="preserve">The source compilation explicitly cautions that: some 2026 figures come from advocacy/opposition-aligned outlets (DVB, ISP-Myanmar, MoeMaKa) and NUG sources — directionally consistent but not independently verified; Grokipedia was used only for uncontroversial geographic context and should be treated cautiously as AI-generated encyclopedia content; and academic flood-frequency percentages reflect area flooded, not necessarily populated area flooded, since much exposed area is sparsely populated. These caveats are inherited by this document wherever it draws on that compilation.</w:t>
      </w:r>
    </w:p>
    <w:p>
      <w:pPr>
        <w:pageBreakBefore/>
        <w:pBdr>
          <w:bottom w:val="double" w:color="0F3345" w:sz="8" w:space="6"/>
        </w:pBdr>
        <w:spacing w:after="200" w:before="0"/>
      </w:pPr>
      <w:r>
        <w:rPr>
          <w:rFonts w:ascii="Calibri" w:cs="Calibri" w:eastAsia="Calibri" w:hAnsi="Calibri"/>
          <w:b/>
          <w:bCs/>
          <w:color w:val="0F3345"/>
          <w:sz w:val="30"/>
          <w:szCs w:val="30"/>
        </w:rPr>
        <w:t xml:space="preserve">18.  Testing &amp; Validation Plan</w:t>
      </w:r>
    </w:p>
    <w:p>
      <w:pPr>
        <w:spacing w:after="100" w:before="220"/>
      </w:pPr>
      <w:r>
        <w:rPr>
          <w:rFonts w:ascii="Calibri" w:cs="Calibri" w:eastAsia="Calibri" w:hAnsi="Calibri"/>
          <w:b/>
          <w:bCs/>
          <w:color w:val="3A6B7A"/>
          <w:sz w:val="21"/>
          <w:szCs w:val="21"/>
        </w:rPr>
        <w:t xml:space="preserve">18.1  Unit-level tests for the Prolog rule base</w:t>
      </w:r>
    </w:p>
    <w:p>
      <w:pPr>
        <w:spacing w:after="140"/>
      </w:pPr>
      <w:r>
        <w:rPr>
          <w:rFonts w:ascii="Calibri" w:cs="Calibri" w:eastAsia="Calibri" w:hAnsi="Calibri"/>
          <w:b w:val="false"/>
          <w:bCs w:val="false"/>
          <w:i w:val="false"/>
          <w:iCs w:val="false"/>
          <w:sz w:val="21"/>
          <w:szCs w:val="21"/>
        </w:rPr>
        <w:t xml:space="preserve">At minimum: one test per Section 7.1 band boundary (69/70/99/100/114/115 percent), one for the terrain modifier, one for the local-rainfall floor, one confirming the embankment override beats every other input (including a case where gauge_percent alone would only justify “low”), and one test per required_capability rule firing and not firing.</w:t>
      </w:r>
    </w:p>
    <w:p>
      <w:pPr>
        <w:spacing w:after="100" w:before="220"/>
      </w:pPr>
      <w:r>
        <w:rPr>
          <w:rFonts w:ascii="Calibri" w:cs="Calibri" w:eastAsia="Calibri" w:hAnsi="Calibri"/>
          <w:b/>
          <w:bCs/>
          <w:color w:val="3A6B7A"/>
          <w:sz w:val="21"/>
          <w:szCs w:val="21"/>
        </w:rPr>
        <w:t xml:space="preserve">18.2  Integration test: the real worked example</w:t>
      </w:r>
    </w:p>
    <w:p>
      <w:pPr>
        <w:spacing w:after="140"/>
      </w:pPr>
      <w:r>
        <w:rPr>
          <w:rFonts w:ascii="Calibri" w:cs="Calibri" w:eastAsia="Calibri" w:hAnsi="Calibri"/>
          <w:b w:val="false"/>
          <w:bCs w:val="false"/>
          <w:i w:val="false"/>
          <w:iCs w:val="false"/>
          <w:sz w:val="21"/>
          <w:szCs w:val="21"/>
        </w:rPr>
        <w:t xml:space="preserve">Section 14's Lemyethna case, submitted end-to-end, should produce exactly the response in Section 12.2. This is the most valuable regression test in the system.</w:t>
      </w:r>
    </w:p>
    <w:p>
      <w:pPr>
        <w:spacing w:after="100" w:before="220"/>
      </w:pPr>
      <w:r>
        <w:rPr>
          <w:rFonts w:ascii="Calibri" w:cs="Calibri" w:eastAsia="Calibri" w:hAnsi="Calibri"/>
          <w:b/>
          <w:bCs/>
          <w:color w:val="3A6B7A"/>
          <w:sz w:val="21"/>
          <w:szCs w:val="21"/>
        </w:rPr>
        <w:t xml:space="preserve">18.3  Concurrency test</w:t>
      </w:r>
    </w:p>
    <w:p>
      <w:pPr>
        <w:spacing w:after="140"/>
      </w:pPr>
      <w:r>
        <w:rPr>
          <w:rFonts w:ascii="Calibri" w:cs="Calibri" w:eastAsia="Calibri" w:hAnsi="Calibri"/>
          <w:b w:val="false"/>
          <w:bCs w:val="false"/>
          <w:i w:val="false"/>
          <w:iCs w:val="false"/>
          <w:sz w:val="21"/>
          <w:szCs w:val="21"/>
        </w:rPr>
        <w:t xml:space="preserve">Submit two cases that would both resolve to the same nearest unit; assert the second correctly gets a different (or null) recommendation.</w:t>
      </w:r>
    </w:p>
    <w:p>
      <w:pPr>
        <w:spacing w:after="100" w:before="220"/>
      </w:pPr>
      <w:r>
        <w:rPr>
          <w:rFonts w:ascii="Calibri" w:cs="Calibri" w:eastAsia="Calibri" w:hAnsi="Calibri"/>
          <w:b/>
          <w:bCs/>
          <w:color w:val="3A6B7A"/>
          <w:sz w:val="21"/>
          <w:szCs w:val="21"/>
        </w:rPr>
        <w:t xml:space="preserve">18.4  Gauge-mapping validation</w:t>
      </w:r>
    </w:p>
    <w:p>
      <w:pPr>
        <w:spacing w:after="140"/>
      </w:pPr>
      <w:r>
        <w:rPr>
          <w:rFonts w:ascii="Calibri" w:cs="Calibri" w:eastAsia="Calibri" w:hAnsi="Calibri"/>
          <w:b w:val="false"/>
          <w:bCs w:val="false"/>
          <w:i w:val="false"/>
          <w:iCs w:val="false"/>
          <w:sz w:val="21"/>
          <w:szCs w:val="21"/>
        </w:rPr>
        <w:t xml:space="preserve">Before trusting Section 6.2's township-to-gauge-station assignments operationally, cross-check them against DMH's actual station-to-township convention if that becomes available — this table is flagged as an assumption specifically so it gets checked rather than quietly trusted.</w:t>
      </w:r>
    </w:p>
    <w:p>
      <w:pPr>
        <w:spacing w:after="100" w:before="220"/>
      </w:pPr>
      <w:r>
        <w:rPr>
          <w:rFonts w:ascii="Calibri" w:cs="Calibri" w:eastAsia="Calibri" w:hAnsi="Calibri"/>
          <w:b/>
          <w:bCs/>
          <w:color w:val="3A6B7A"/>
          <w:sz w:val="21"/>
          <w:szCs w:val="21"/>
        </w:rPr>
        <w:t xml:space="preserve">18.5  Manual field-style validation</w:t>
      </w:r>
    </w:p>
    <w:p>
      <w:pPr>
        <w:spacing w:after="140"/>
      </w:pPr>
      <w:r>
        <w:rPr>
          <w:rFonts w:ascii="Calibri" w:cs="Calibri" w:eastAsia="Calibri" w:hAnsi="Calibri"/>
          <w:b w:val="false"/>
          <w:bCs w:val="false"/>
          <w:i w:val="false"/>
          <w:iCs w:val="false"/>
          <w:sz w:val="21"/>
          <w:szCs w:val="21"/>
        </w:rPr>
        <w:t xml:space="preserve">Walk a non-technical reviewer through the Report → Results flow and check whether the recommendation and its explanation make sense to them.</w:t>
      </w:r>
    </w:p>
    <w:p>
      <w:pPr>
        <w:spacing w:after="100" w:before="220"/>
      </w:pPr>
      <w:r>
        <w:rPr>
          <w:rFonts w:ascii="Calibri" w:cs="Calibri" w:eastAsia="Calibri" w:hAnsi="Calibri"/>
          <w:b/>
          <w:bCs/>
          <w:color w:val="3A6B7A"/>
          <w:sz w:val="21"/>
          <w:szCs w:val="21"/>
        </w:rPr>
        <w:t xml:space="preserve">18.6  Property-based tests</w:t>
      </w:r>
    </w:p>
    <w:p>
      <w:pPr>
        <w:spacing w:after="140"/>
      </w:pPr>
      <w:r>
        <w:rPr>
          <w:rFonts w:ascii="Calibri" w:cs="Calibri" w:eastAsia="Calibri" w:hAnsi="Calibri"/>
          <w:b w:val="false"/>
          <w:bCs w:val="false"/>
          <w:i w:val="false"/>
          <w:iCs w:val="false"/>
          <w:sz w:val="21"/>
          <w:szCs w:val="21"/>
        </w:rPr>
        <w:t xml:space="preserve">Rather than fixed cases, assert invariants that should hold for any generated input. Scope the severity invariant to exactly the four inputs Section 7.1's rules actually read — gauge_reading_cm, embankment_status, terrain, local_rainfall — not to every Case field: severity must never decrease when one of those four strictly worsens (e.g. raising gauge_reading_cm, or flipping embankment_status to breached) while holding the others fixed. Do not assert this for road_status, injured_survivors, vulnerable_present, upstream_heavy_rain_days, or affected_population — none of them are read by severity/2 (Section 7.1), only by required_capability/2 or the priority score (Section 8), so severity correctly does not move when only one of those changes. Separately: required_capabilities must be a subset of { motorized, medical_support } for every generated Case; priority_score must never exceed 59 (Section 8) or go negative.</w:t>
      </w:r>
    </w:p>
    <w:p>
      <w:pPr>
        <w:spacing w:after="100" w:before="220"/>
      </w:pPr>
      <w:r>
        <w:rPr>
          <w:rFonts w:ascii="Calibri" w:cs="Calibri" w:eastAsia="Calibri" w:hAnsi="Calibri"/>
          <w:b/>
          <w:bCs/>
          <w:color w:val="3A6B7A"/>
          <w:sz w:val="21"/>
          <w:szCs w:val="21"/>
        </w:rPr>
        <w:t xml:space="preserve">18.7  Routing edge-case tests</w:t>
      </w:r>
    </w:p>
    <w:p>
      <w:pPr>
        <w:pStyle w:val="ListParagraph"/>
        <w:numPr>
          <w:ilvl w:val="0"/>
          <w:numId w:val="2"/>
        </w:numPr>
        <w:spacing w:after="60"/>
      </w:pPr>
      <w:r>
        <w:rPr>
          <w:rFonts w:ascii="Calibri" w:cs="Calibri" w:eastAsia="Calibri" w:hAnsi="Calibri"/>
          <w:sz w:val="21"/>
          <w:szCs w:val="21"/>
        </w:rPr>
        <w:t xml:space="preserve">Set passable=false on the one edge that sits on the current shortest path between a candidate unit and the incident township (pick it at random across test runs for coverage, or use the Lemyethna→Yegyi edge specifically) — assert Dijkstra returns the next-shortest remaining route, not the blocked one and not an error. This is the concrete test behind Section 5.3/7.5's NetworkEdge.passable mechanism.</w:t>
      </w:r>
    </w:p>
    <w:p>
      <w:pPr>
        <w:pStyle w:val="ListParagraph"/>
        <w:numPr>
          <w:ilvl w:val="0"/>
          <w:numId w:val="2"/>
        </w:numPr>
        <w:spacing w:after="60"/>
      </w:pPr>
      <w:r>
        <w:rPr>
          <w:rFonts w:ascii="Calibri" w:cs="Calibri" w:eastAsia="Calibri" w:hAnsi="Calibri"/>
          <w:sz w:val="21"/>
          <w:szCs w:val="21"/>
        </w:rPr>
        <w:t xml:space="preserve">A township whose only edges lead to already-reserved or unavailable units/shelters — expect the Section 9.1/9.2 fallback chain, not a crash.</w:t>
      </w:r>
    </w:p>
    <w:p>
      <w:pPr>
        <w:pStyle w:val="ListParagraph"/>
        <w:numPr>
          <w:ilvl w:val="0"/>
          <w:numId w:val="2"/>
        </w:numPr>
        <w:spacing w:after="60"/>
      </w:pPr>
      <w:r>
        <w:rPr>
          <w:rFonts w:ascii="Calibri" w:cs="Calibri" w:eastAsia="Calibri" w:hAnsi="Calibri"/>
          <w:sz w:val="21"/>
          <w:szCs w:val="21"/>
        </w:rPr>
        <w:t xml:space="preserve">Two candidates at equal shortest distance — expect the Section 10.2 tie-break (prefer co-located, else lower ID) to resolve deterministically, not arbitrarily.</w:t>
      </w:r>
    </w:p>
    <w:p>
      <w:pPr>
        <w:pStyle w:val="ListParagraph"/>
        <w:numPr>
          <w:ilvl w:val="0"/>
          <w:numId w:val="2"/>
        </w:numPr>
        <w:spacing w:after="60"/>
      </w:pPr>
      <w:r>
        <w:rPr>
          <w:rFonts w:ascii="Calibri" w:cs="Calibri" w:eastAsia="Calibri" w:hAnsi="Calibri"/>
          <w:sz w:val="21"/>
          <w:szCs w:val="21"/>
        </w:rPr>
        <w:t xml:space="preserve">A newly-added 26th township (Section 6.3 already anticipates this) connected by exactly one edge — confirm Dijkstra still resolves correctly from a single bridge edge.</w:t>
      </w:r>
    </w:p>
    <w:p>
      <w:pPr>
        <w:spacing w:after="100" w:before="220"/>
      </w:pPr>
      <w:r>
        <w:rPr>
          <w:rFonts w:ascii="Calibri" w:cs="Calibri" w:eastAsia="Calibri" w:hAnsi="Calibri"/>
          <w:b/>
          <w:bCs/>
          <w:color w:val="3A6B7A"/>
          <w:sz w:val="21"/>
          <w:szCs w:val="21"/>
        </w:rPr>
        <w:t xml:space="preserve">18.8  Data-corruption / fail-safe tests</w:t>
      </w:r>
    </w:p>
    <w:p>
      <w:pPr>
        <w:pStyle w:val="ListParagraph"/>
        <w:numPr>
          <w:ilvl w:val="0"/>
          <w:numId w:val="2"/>
        </w:numPr>
        <w:spacing w:after="60"/>
      </w:pPr>
      <w:r>
        <w:rPr>
          <w:rFonts w:ascii="Calibri" w:cs="Calibri" w:eastAsia="Calibri" w:hAnsi="Calibri"/>
          <w:sz w:val="21"/>
          <w:szCs w:val="21"/>
        </w:rPr>
        <w:t xml:space="preserve">Negative or physically impossible gauge_reading_cm, or a township_id not present in the network graph — expect a 422 validation error (Section 12.3), never a computed severity.</w:t>
      </w:r>
    </w:p>
    <w:p>
      <w:pPr>
        <w:pStyle w:val="ListParagraph"/>
        <w:numPr>
          <w:ilvl w:val="0"/>
          <w:numId w:val="2"/>
        </w:numPr>
        <w:spacing w:after="60"/>
      </w:pPr>
      <w:r>
        <w:rPr>
          <w:rFonts w:ascii="Calibri" w:cs="Calibri" w:eastAsia="Calibri" w:hAnsi="Calibri"/>
          <w:sz w:val="21"/>
          <w:szCs w:val="21"/>
        </w:rPr>
        <w:t xml:space="preserve">A gauge_station_id referencing a station absent from Section 6.2's table — expect a 422, not a silent skip of the severity rule.</w:t>
      </w:r>
    </w:p>
    <w:p>
      <w:pPr>
        <w:pStyle w:val="ListParagraph"/>
        <w:numPr>
          <w:ilvl w:val="0"/>
          <w:numId w:val="2"/>
        </w:numPr>
        <w:spacing w:after="60"/>
      </w:pPr>
      <w:r>
        <w:rPr>
          <w:rFonts w:ascii="Calibri" w:cs="Calibri" w:eastAsia="Calibri" w:hAnsi="Calibri"/>
          <w:sz w:val="21"/>
          <w:szCs w:val="21"/>
        </w:rPr>
        <w:t xml:space="preserve">SWI-Prolog reachable but returning a malformed or empty response — expect the API route to treat this the same as "unreachable" (503, Section 12.3) rather than passing a partial result to the UI.</w:t>
      </w:r>
    </w:p>
    <w:p>
      <w:pPr>
        <w:spacing w:after="140"/>
      </w:pPr>
      <w:r>
        <w:rPr>
          <w:rFonts w:ascii="Calibri" w:cs="Calibri" w:eastAsia="Calibri" w:hAnsi="Calibri"/>
          <w:b w:val="false"/>
          <w:bCs w:val="false"/>
          <w:i/>
          <w:iCs/>
          <w:sz w:val="21"/>
          <w:szCs w:val="21"/>
        </w:rPr>
        <w:t xml:space="preserve">The common thread across 18.6–18.8, per the external-review point that prompted them: when any input or dependency is unreliable, the system should fail toward “manual assessment required,” never toward a confident but unsupported recommendation.</w:t>
      </w:r>
    </w:p>
    <w:p>
      <w:pPr>
        <w:pageBreakBefore/>
        <w:pBdr>
          <w:bottom w:val="double" w:color="0F3345" w:sz="8" w:space="6"/>
        </w:pBdr>
        <w:spacing w:after="200" w:before="0"/>
      </w:pPr>
      <w:r>
        <w:rPr>
          <w:rFonts w:ascii="Calibri" w:cs="Calibri" w:eastAsia="Calibri" w:hAnsi="Calibri"/>
          <w:b/>
          <w:bCs/>
          <w:color w:val="0F3345"/>
          <w:sz w:val="30"/>
          <w:szCs w:val="30"/>
        </w:rPr>
        <w:t xml:space="preserve">19.  Module Breakdown for Implementation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000"/>
      </w:tblGrid>
      <w:tr>
        <w:tc>
          <w:tcPr>
            <w:tcW w:type="dxa" w:w="18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Module</w:t>
            </w:r>
          </w:p>
        </w:tc>
        <w:tc>
          <w:tcPr>
            <w:tcW w:type="dxa" w:w="39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Owns</w:t>
            </w:r>
          </w:p>
        </w:tc>
        <w:tc>
          <w:tcPr>
            <w:tcW w:type="dxa" w:w="30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Depends on</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Prolog knowledge base</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7 in full — gauge/embankment/terrain severity logic, action mapping, required-capability rules, the HTTP endpoint</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5/6 field names and gauge data; Section 17 sourced thresholds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Persistence / database</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5's schema as PostgreSQL tables (Section 4); reservation state transactions for Section 11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5 field names and types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 / backend logic</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Sections 8–12</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Prolog module's HTTP contract; Persistence module's tables; Section 6 network and gauge data</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Frontend (React + Leaflet)</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13 in full</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API module's response contracts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Data &amp; domain grounding</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Sections 2, 6, 17 — validating the gauge-station mapping (6.2), keeping the 25-township network and provenance table current, sourcing real percentage-band thresholds to replace the flagged assumption in 7.1</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Independent — feeds the Prolog and network modules</w:t>
            </w:r>
          </w:p>
        </w:tc>
      </w:tr>
      <w:tr>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QA, integration &amp; documentation</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Section 15 as executable tests, Section 18's plan, keeping this document in sync with the implementation</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All other modules</w:t>
            </w:r>
          </w:p>
        </w:tc>
      </w:tr>
    </w:tbl>
    <w:p>
      <w:pPr>
        <w:spacing w:after="140"/>
      </w:pPr>
      <w:r>
        <w:rPr>
          <w:rFonts w:ascii="Calibri" w:cs="Calibri" w:eastAsia="Calibri" w:hAnsi="Calibri"/>
          <w:b w:val="false"/>
          <w:bCs w:val="false"/>
          <w:i w:val="false"/>
          <w:iCs w:val="false"/>
          <w:sz w:val="21"/>
          <w:szCs w:val="21"/>
        </w:rPr>
        <w:t xml:space="preserve">Recommended build order: data/domain grounding and Prolog first, then API against a stubbed Prolog response, then frontend, with QA threaded throughout.</w:t>
      </w:r>
    </w:p>
    <w:p>
      <w:pPr>
        <w:pageBreakBefore/>
        <w:pBdr>
          <w:bottom w:val="double" w:color="0F3345" w:sz="8" w:space="6"/>
        </w:pBdr>
        <w:spacing w:after="200" w:before="0"/>
      </w:pPr>
      <w:r>
        <w:rPr>
          <w:rFonts w:ascii="Calibri" w:cs="Calibri" w:eastAsia="Calibri" w:hAnsi="Calibri"/>
          <w:b/>
          <w:bCs/>
          <w:color w:val="0F3345"/>
          <w:sz w:val="30"/>
          <w:szCs w:val="30"/>
        </w:rPr>
        <w:t xml:space="preserve">20.  Future Expansion Plans</w:t>
      </w:r>
    </w:p>
    <w:p>
      <w:pPr>
        <w:spacing w:after="100" w:before="220"/>
      </w:pPr>
      <w:r>
        <w:rPr>
          <w:rFonts w:ascii="Calibri" w:cs="Calibri" w:eastAsia="Calibri" w:hAnsi="Calibri"/>
          <w:b/>
          <w:bCs/>
          <w:color w:val="3A6B7A"/>
          <w:sz w:val="21"/>
          <w:szCs w:val="21"/>
        </w:rPr>
        <w:t xml:space="preserve">20.1  Hazard Regime 2 — Cyclone Storm Surge (the highest-value next build, now fully specified)</w:t>
      </w:r>
    </w:p>
    <w:p>
      <w:pPr>
        <w:spacing w:after="140"/>
      </w:pPr>
      <w:r>
        <w:rPr>
          <w:rFonts w:ascii="Calibri" w:cs="Calibri" w:eastAsia="Calibri" w:hAnsi="Calibri"/>
          <w:b w:val="false"/>
          <w:bCs w:val="false"/>
          <w:i w:val="false"/>
          <w:iCs w:val="false"/>
          <w:sz w:val="21"/>
          <w:szCs w:val="21"/>
        </w:rPr>
        <w:t xml:space="preserve">Section 7.6 named this gap; here is the concrete module. New Case facts: cyclone_active (boolean), cyclone_track_distance_km (number), wind_speed_kmh (number), forecast_surge_height_m (number), month (enum, since risk brackets April–May and October–November). A parallel severity_surge/2 predicate, analogous in structure to Section 7.1 but keyed to surge height and track proximity rather than gauge percentage, would apply only to the seven coastal-tier townships (Section 6.1) — a township's hazard_tier field (Section 5.1) is the natural switch between calling severity/2 (riverine) or severity_surge/2 (coastal) for a given report. Cyclone Nargis (Section 2, Section 7.6) is the calibration benchmark for the top band of this model.</w:t>
      </w:r>
    </w:p>
    <w:p>
      <w:pPr>
        <w:pStyle w:val="ListParagraph"/>
        <w:numPr>
          <w:ilvl w:val="0"/>
          <w:numId w:val="2"/>
        </w:numPr>
        <w:spacing w:after="60"/>
      </w:pPr>
      <w:r>
        <w:rPr>
          <w:rFonts w:ascii="Calibri" w:cs="Calibri" w:eastAsia="Calibri" w:hAnsi="Calibri"/>
          <w:sz w:val="21"/>
          <w:szCs w:val="21"/>
        </w:rPr>
        <w:t xml:space="preserve">Live rainfall/river-gauge and cyclone-track feed integration — Myanmar's own DMH and the World Bank-funded AIRBM decision-support system (HEC-HMS + WRF, 24–72 hour lead time) and GloFAS (Copernicus ensemble discharge forecasting, ~25-day skill at Zalun) are the real, already-existing systems this project would integrate with rather than reinvent — replacing Section 5.4's manually-entered gauge_reading_cm with an automatically-populated one for instrumented stations.</w:t>
      </w:r>
    </w:p>
    <w:p>
      <w:pPr>
        <w:pStyle w:val="ListParagraph"/>
        <w:numPr>
          <w:ilvl w:val="0"/>
          <w:numId w:val="2"/>
        </w:numPr>
        <w:spacing w:after="60"/>
      </w:pPr>
      <w:r>
        <w:rPr>
          <w:rFonts w:ascii="Calibri" w:cs="Calibri" w:eastAsia="Calibri" w:hAnsi="Calibri"/>
          <w:sz w:val="21"/>
          <w:szCs w:val="21"/>
        </w:rPr>
        <w:t xml:space="preserve">Trend-based early-warning layer: use the Case log's timestamps to compare consecutive gauge_percent readings per township, flagging a rapid rise as “trending toward severe” before a new report confirms it — still pure rule-based logic, consistent with the project's no-ML constraint, and now has a concrete real trigger pattern to encode (upstream heavy rain 3+ days raising levels 0.6–1.3 m, per Section 2/17).</w:t>
      </w:r>
    </w:p>
    <w:p>
      <w:pPr>
        <w:pStyle w:val="ListParagraph"/>
        <w:numPr>
          <w:ilvl w:val="0"/>
          <w:numId w:val="2"/>
        </w:numPr>
        <w:spacing w:after="60"/>
      </w:pPr>
      <w:r>
        <w:rPr>
          <w:rFonts w:ascii="Calibri" w:cs="Calibri" w:eastAsia="Calibri" w:hAnsi="Calibri"/>
          <w:sz w:val="21"/>
          <w:szCs w:val="21"/>
        </w:rPr>
        <w:t xml:space="preserve">SMS/USSD reporting channel for low-connectivity areas — feeding the same POST /api/flood-case pipeline, not a parallel system.</w:t>
      </w:r>
    </w:p>
    <w:p>
      <w:pPr>
        <w:pStyle w:val="ListParagraph"/>
        <w:numPr>
          <w:ilvl w:val="0"/>
          <w:numId w:val="2"/>
        </w:numPr>
        <w:spacing w:after="60"/>
      </w:pPr>
      <w:r>
        <w:rPr>
          <w:rFonts w:ascii="Calibri" w:cs="Calibri" w:eastAsia="Calibri" w:hAnsi="Calibri"/>
          <w:sz w:val="21"/>
          <w:szCs w:val="21"/>
        </w:rPr>
        <w:t xml:space="preserve">Satellite/remote-sensing flood-extent cross-check via MIMU/UNDP Sentinel-1 maps and Copernicus EMS activations, as an independent input alongside the human-submitted report.</w:t>
      </w:r>
    </w:p>
    <w:p>
      <w:pPr>
        <w:spacing w:after="100" w:before="220"/>
      </w:pPr>
      <w:r>
        <w:rPr>
          <w:rFonts w:ascii="Calibri" w:cs="Calibri" w:eastAsia="Calibri" w:hAnsi="Calibri"/>
          <w:b/>
          <w:bCs/>
          <w:color w:val="3A6B7A"/>
          <w:sz w:val="21"/>
          <w:szCs w:val="21"/>
        </w:rPr>
        <w:t xml:space="preserve">20.2  AI/reasoning enhancements (still rule-based, not ML)</w:t>
      </w:r>
    </w:p>
    <w:p>
      <w:pPr>
        <w:pStyle w:val="ListParagraph"/>
        <w:numPr>
          <w:ilvl w:val="0"/>
          <w:numId w:val="2"/>
        </w:numPr>
        <w:spacing w:after="60"/>
      </w:pPr>
      <w:r>
        <w:rPr>
          <w:rFonts w:ascii="Calibri" w:cs="Calibri" w:eastAsia="Calibri" w:hAnsi="Calibri"/>
          <w:sz w:val="21"/>
          <w:szCs w:val="21"/>
        </w:rPr>
        <w:t xml:space="preserve">Water-rescue crew certification as a third independent RescueUnit capability, using the same generalized compound-filter pattern already built in Section 9.</w:t>
      </w:r>
    </w:p>
    <w:p>
      <w:pPr>
        <w:pStyle w:val="ListParagraph"/>
        <w:numPr>
          <w:ilvl w:val="0"/>
          <w:numId w:val="2"/>
        </w:numPr>
        <w:spacing w:after="60"/>
      </w:pPr>
      <w:r>
        <w:rPr>
          <w:rFonts w:ascii="Calibri" w:cs="Calibri" w:eastAsia="Calibri" w:hAnsi="Calibri"/>
          <w:sz w:val="21"/>
          <w:szCs w:val="21"/>
        </w:rPr>
        <w:t xml:space="preserve">Automatic edge-obstruction input — feed NetworkEdge.passable (Section 5.3) from a real source (a reported channel obstruction, a field observation, or the satellite/flood-extent cross-check already named above) instead of requiring an operator to update it by hand. The routing side of this already works today — Dijkstra falls back to the next-shortest route the moment passable is false — this item is only about how that field gets set. Deliberately NOT driven by road_status (Section 7.5) — that field governs boat-engine requirements, not water-route availability, and conflating the two would misroute the fleet.</w:t>
      </w:r>
    </w:p>
    <w:p>
      <w:pPr>
        <w:pStyle w:val="ListParagraph"/>
        <w:numPr>
          <w:ilvl w:val="0"/>
          <w:numId w:val="2"/>
        </w:numPr>
        <w:spacing w:after="60"/>
      </w:pPr>
      <w:r>
        <w:rPr>
          <w:rFonts w:ascii="Calibri" w:cs="Calibri" w:eastAsia="Calibri" w:hAnsi="Calibri"/>
          <w:sz w:val="21"/>
          <w:szCs w:val="21"/>
        </w:rPr>
        <w:t xml:space="preserve">Multi-hazard generalization beyond flood — the required_capability pattern and the whole pipeline are not flood-specific in structure, and could support a second emergency type as a parallel rule module reusing the network and routing layers.</w:t>
      </w:r>
    </w:p>
    <w:p>
      <w:pPr>
        <w:spacing w:after="100" w:before="220"/>
      </w:pPr>
      <w:r>
        <w:rPr>
          <w:rFonts w:ascii="Calibri" w:cs="Calibri" w:eastAsia="Calibri" w:hAnsi="Calibri"/>
          <w:b/>
          <w:bCs/>
          <w:color w:val="3A6B7A"/>
          <w:sz w:val="21"/>
          <w:szCs w:val="21"/>
        </w:rPr>
        <w:t xml:space="preserve">20.3  Resource &amp; operations modeling</w:t>
      </w:r>
    </w:p>
    <w:p>
      <w:pPr>
        <w:pStyle w:val="ListParagraph"/>
        <w:numPr>
          <w:ilvl w:val="0"/>
          <w:numId w:val="2"/>
        </w:numPr>
        <w:spacing w:after="60"/>
      </w:pPr>
      <w:r>
        <w:rPr>
          <w:rFonts w:ascii="Calibri" w:cs="Calibri" w:eastAsia="Calibri" w:hAnsi="Calibri"/>
          <w:sz w:val="21"/>
          <w:szCs w:val="21"/>
        </w:rPr>
        <w:t xml:space="preserve">Enforce RescueUnit.capacity and Shelter.capacity against affected_population, including multi-unit/multi-trip dispatch for a case the scale of the real Lemyethna event (39,000 affected) — the current version recommends exactly one unit and one shelter regardless of case size, which is a known simplification worth stating plainly given this revision's real numbers make the gap obvious.</w:t>
      </w:r>
    </w:p>
    <w:p>
      <w:pPr>
        <w:pStyle w:val="ListParagraph"/>
        <w:numPr>
          <w:ilvl w:val="0"/>
          <w:numId w:val="2"/>
        </w:numPr>
        <w:spacing w:after="60"/>
      </w:pPr>
      <w:r>
        <w:rPr>
          <w:rFonts w:ascii="Calibri" w:cs="Calibri" w:eastAsia="Calibri" w:hAnsi="Calibri"/>
          <w:sz w:val="21"/>
          <w:szCs w:val="21"/>
        </w:rPr>
        <w:t xml:space="preserve">Real intra-township micro-network replacing the illustrative last-mile distance (Section 10.1).</w:t>
      </w:r>
    </w:p>
    <w:p>
      <w:pPr>
        <w:pStyle w:val="ListParagraph"/>
        <w:numPr>
          <w:ilvl w:val="0"/>
          <w:numId w:val="2"/>
        </w:numPr>
        <w:spacing w:after="60"/>
      </w:pPr>
      <w:r>
        <w:rPr>
          <w:rFonts w:ascii="Calibri" w:cs="Calibri" w:eastAsia="Calibri" w:hAnsi="Calibri"/>
          <w:sz w:val="21"/>
          <w:szCs w:val="21"/>
        </w:rPr>
        <w:t xml:space="preserve">Real-time GPS tracking of units instead of a static home_township_id.</w:t>
      </w:r>
    </w:p>
    <w:p>
      <w:pPr>
        <w:pStyle w:val="ListParagraph"/>
        <w:numPr>
          <w:ilvl w:val="0"/>
          <w:numId w:val="2"/>
        </w:numPr>
        <w:spacing w:after="60"/>
      </w:pPr>
      <w:r>
        <w:rPr>
          <w:rFonts w:ascii="Calibri" w:cs="Calibri" w:eastAsia="Calibri" w:hAnsi="Calibri"/>
          <w:sz w:val="21"/>
          <w:szCs w:val="21"/>
        </w:rPr>
        <w:t xml:space="preserve">A true priority-queue scheduler re-evaluating reservations across several open cases at once, extending Section 11.</w:t>
      </w:r>
    </w:p>
    <w:p>
      <w:pPr>
        <w:spacing w:after="100" w:before="220"/>
      </w:pPr>
      <w:r>
        <w:rPr>
          <w:rFonts w:ascii="Calibri" w:cs="Calibri" w:eastAsia="Calibri" w:hAnsi="Calibri"/>
          <w:b/>
          <w:bCs/>
          <w:color w:val="3A6B7A"/>
          <w:sz w:val="21"/>
          <w:szCs w:val="21"/>
        </w:rPr>
        <w:t xml:space="preserve">20.4  Access &amp; UX</w:t>
      </w:r>
    </w:p>
    <w:p>
      <w:pPr>
        <w:pStyle w:val="ListParagraph"/>
        <w:numPr>
          <w:ilvl w:val="0"/>
          <w:numId w:val="2"/>
        </w:numPr>
        <w:spacing w:after="60"/>
      </w:pPr>
      <w:r>
        <w:rPr>
          <w:rFonts w:ascii="Calibri" w:cs="Calibri" w:eastAsia="Calibri" w:hAnsi="Calibri"/>
          <w:sz w:val="21"/>
          <w:szCs w:val="21"/>
        </w:rPr>
        <w:t xml:space="preserve">Myanmar-language (Burmese) UI — the primary users are local Myanmar responders.</w:t>
      </w:r>
    </w:p>
    <w:p>
      <w:pPr>
        <w:pStyle w:val="ListParagraph"/>
        <w:numPr>
          <w:ilvl w:val="0"/>
          <w:numId w:val="2"/>
        </w:numPr>
        <w:spacing w:after="60"/>
      </w:pPr>
      <w:r>
        <w:rPr>
          <w:rFonts w:ascii="Calibri" w:cs="Calibri" w:eastAsia="Calibri" w:hAnsi="Calibri"/>
          <w:sz w:val="21"/>
          <w:szCs w:val="21"/>
        </w:rPr>
        <w:t xml:space="preserve">Offline-first / low-connectivity Progressive Web App mode.</w:t>
      </w:r>
    </w:p>
    <w:p>
      <w:pPr>
        <w:pStyle w:val="ListParagraph"/>
        <w:numPr>
          <w:ilvl w:val="0"/>
          <w:numId w:val="2"/>
        </w:numPr>
        <w:spacing w:after="60"/>
      </w:pPr>
      <w:r>
        <w:rPr>
          <w:rFonts w:ascii="Calibri" w:cs="Calibri" w:eastAsia="Calibri" w:hAnsi="Calibri"/>
          <w:sz w:val="21"/>
          <w:szCs w:val="21"/>
        </w:rPr>
        <w:t xml:space="preserve">Short-window deduplication of near-simultaneous duplicate reports for the same township.</w:t>
      </w:r>
    </w:p>
    <w:p>
      <w:pPr>
        <w:pStyle w:val="ListParagraph"/>
        <w:numPr>
          <w:ilvl w:val="0"/>
          <w:numId w:val="2"/>
        </w:numPr>
        <w:spacing w:after="60"/>
      </w:pPr>
      <w:r>
        <w:rPr>
          <w:rFonts w:ascii="Calibri" w:cs="Calibri" w:eastAsia="Calibri" w:hAnsi="Calibri"/>
          <w:sz w:val="21"/>
          <w:szCs w:val="21"/>
        </w:rPr>
        <w:t xml:space="preserve">Role-based authentication (coordinator vs. admin).</w:t>
      </w:r>
    </w:p>
    <w:p>
      <w:pPr>
        <w:spacing w:after="100" w:before="220"/>
      </w:pPr>
      <w:r>
        <w:rPr>
          <w:rFonts w:ascii="Calibri" w:cs="Calibri" w:eastAsia="Calibri" w:hAnsi="Calibri"/>
          <w:b/>
          <w:bCs/>
          <w:color w:val="3A6B7A"/>
          <w:sz w:val="21"/>
          <w:szCs w:val="21"/>
        </w:rPr>
        <w:t xml:space="preserve">20.5  Integration &amp; deployment</w:t>
      </w:r>
    </w:p>
    <w:p>
      <w:pPr>
        <w:pStyle w:val="ListParagraph"/>
        <w:numPr>
          <w:ilvl w:val="0"/>
          <w:numId w:val="2"/>
        </w:numPr>
        <w:spacing w:after="60"/>
      </w:pPr>
      <w:r>
        <w:rPr>
          <w:rFonts w:ascii="Calibri" w:cs="Calibri" w:eastAsia="Calibri" w:hAnsi="Calibri"/>
          <w:sz w:val="21"/>
          <w:szCs w:val="21"/>
        </w:rPr>
        <w:t xml:space="preserve">Direct integration with Myanmar Red Cross Society's existing coordination workflows.</w:t>
      </w:r>
    </w:p>
    <w:p>
      <w:pPr>
        <w:pStyle w:val="ListParagraph"/>
        <w:numPr>
          <w:ilvl w:val="0"/>
          <w:numId w:val="2"/>
        </w:numPr>
        <w:spacing w:after="60"/>
      </w:pPr>
      <w:r>
        <w:rPr>
          <w:rFonts w:ascii="Calibri" w:cs="Calibri" w:eastAsia="Calibri" w:hAnsi="Calibri"/>
          <w:sz w:val="21"/>
          <w:szCs w:val="21"/>
        </w:rPr>
        <w:t xml:space="preserve">Data-sharing with AHA Centre / regional ASEAN disaster coordination systems and, per this revision, with DMH/AIRBM directly, since that system already exists and already covers this exact region.</w:t>
      </w:r>
    </w:p>
    <w:p>
      <w:pPr>
        <w:pStyle w:val="ListParagraph"/>
        <w:numPr>
          <w:ilvl w:val="0"/>
          <w:numId w:val="2"/>
        </w:numPr>
        <w:spacing w:after="60"/>
      </w:pPr>
      <w:r>
        <w:rPr>
          <w:rFonts w:ascii="Calibri" w:cs="Calibri" w:eastAsia="Calibri" w:hAnsi="Calibri"/>
          <w:sz w:val="21"/>
          <w:szCs w:val="21"/>
        </w:rPr>
        <w:t xml:space="preserve">An admin panel for updating fleet/shelter status and gauge readings directly (Section 12's new GET /api/gauges endpoint is a first step toward this).</w:t>
      </w:r>
    </w:p>
    <w:p>
      <w:pPr>
        <w:pStyle w:val="ListParagraph"/>
        <w:numPr>
          <w:ilvl w:val="0"/>
          <w:numId w:val="2"/>
        </w:numPr>
        <w:spacing w:after="60"/>
      </w:pPr>
      <w:r>
        <w:rPr>
          <w:rFonts w:ascii="Calibri" w:cs="Calibri" w:eastAsia="Calibri" w:hAnsi="Calibri"/>
          <w:sz w:val="21"/>
          <w:szCs w:val="21"/>
        </w:rPr>
        <w:t xml:space="preserve">Audit logging and after-action reporting, feeding back into refining Section 7.1's assumption-flagged percentage bands using real outcomes over time.</w:t>
      </w:r>
    </w:p>
    <w:p>
      <w:pPr>
        <w:spacing w:after="100" w:before="220"/>
      </w:pPr>
      <w:r>
        <w:rPr>
          <w:rFonts w:ascii="Calibri" w:cs="Calibri" w:eastAsia="Calibri" w:hAnsi="Calibri"/>
          <w:b/>
          <w:bCs/>
          <w:color w:val="3A6B7A"/>
          <w:sz w:val="21"/>
          <w:szCs w:val="21"/>
        </w:rPr>
        <w:t xml:space="preserve">20.6  Validation &amp; trust</w:t>
      </w:r>
    </w:p>
    <w:p>
      <w:pPr>
        <w:pStyle w:val="ListParagraph"/>
        <w:numPr>
          <w:ilvl w:val="0"/>
          <w:numId w:val="2"/>
        </w:numPr>
        <w:spacing w:after="60"/>
      </w:pPr>
      <w:r>
        <w:rPr>
          <w:rFonts w:ascii="Calibri" w:cs="Calibri" w:eastAsia="Calibri" w:hAnsi="Calibri"/>
          <w:sz w:val="21"/>
          <w:szCs w:val="21"/>
        </w:rPr>
        <w:t xml:space="preserve">Field validation / usability testing with real MRCS township coordinators.</w:t>
      </w:r>
    </w:p>
    <w:p>
      <w:pPr>
        <w:pStyle w:val="ListParagraph"/>
        <w:numPr>
          <w:ilvl w:val="0"/>
          <w:numId w:val="2"/>
        </w:numPr>
        <w:spacing w:after="60"/>
      </w:pPr>
      <w:r>
        <w:rPr>
          <w:rFonts w:ascii="Calibri" w:cs="Calibri" w:eastAsia="Calibri" w:hAnsi="Calibri"/>
          <w:sz w:val="21"/>
          <w:szCs w:val="21"/>
        </w:rPr>
        <w:t xml:space="preserve">Backtesting Section 7's severity logic against historical events this document already cites — the 2015 benchmark flood, the 2024 season, and the real July 2026 Lemyethna breach used as Section 14's worked example — checking whether the rule-based classification would have matched what actually happened on the ground.</w:t>
      </w:r>
    </w:p>
    <w:p>
      <w:pPr>
        <w:pStyle w:val="ListParagraph"/>
        <w:numPr>
          <w:ilvl w:val="0"/>
          <w:numId w:val="2"/>
        </w:numPr>
        <w:spacing w:after="60"/>
      </w:pPr>
      <w:r>
        <w:rPr>
          <w:rFonts w:ascii="Calibri" w:cs="Calibri" w:eastAsia="Calibri" w:hAnsi="Calibri"/>
          <w:sz w:val="21"/>
          <w:szCs w:val="21"/>
        </w:rPr>
        <w:t xml:space="preserve">Resolving the two flagged assumptions in Section 6.2 (gauge-to-township mapping) and Section 7.1 (percentage-band cut-points) against authoritative DMH documentation, if and when it becomes available.</w:t>
      </w:r>
    </w:p>
    <w:p>
      <w:pPr>
        <w:pageBreakBefore/>
        <w:pBdr>
          <w:bottom w:val="double" w:color="0F3345" w:sz="8" w:space="6"/>
        </w:pBdr>
        <w:spacing w:after="200" w:before="0"/>
      </w:pPr>
      <w:r>
        <w:rPr>
          <w:rFonts w:ascii="Calibri" w:cs="Calibri" w:eastAsia="Calibri" w:hAnsi="Calibri"/>
          <w:b/>
          <w:bCs/>
          <w:color w:val="0F3345"/>
          <w:sz w:val="30"/>
          <w:szCs w:val="30"/>
        </w:rPr>
        <w:t xml:space="preserve">21.  Glossary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Term</w:t>
            </w:r>
          </w:p>
        </w:tc>
        <w:tc>
          <w:tcPr>
            <w:tcW w:type="dxa" w:w="6300"/>
            <w:shd w:fill="1F4E5F" w:color="auto" w:val="clear"/>
            <w:tcMar>
              <w:top w:type="dxa" w:w="80"/>
              <w:left w:type="dxa" w:w="100"/>
              <w:bottom w:type="dxa" w:w="80"/>
              <w:right w:type="dxa" w:w="100"/>
            </w:tcMar>
            <w:vAlign w:val="center"/>
          </w:tcPr>
          <w:p>
            <w:r>
              <w:rPr>
                <w:rFonts w:ascii="Calibri" w:cs="Calibri" w:eastAsia="Calibri" w:hAnsi="Calibri"/>
                <w:b/>
                <w:bCs/>
                <w:color w:val="FFFFFF"/>
                <w:sz w:val="17"/>
                <w:szCs w:val="17"/>
              </w:rPr>
              <w:t xml:space="preserve">Meaning</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Severity</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Prolog's assessment of case severity: low / moderate / high / severe (Section 7.1)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 percent</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gauge_reading_cm as a percentage of the referenced station's DMH danger level (Section 7.1)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Embankment override</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The rule that a breached embankment forces severity=severe regardless of every other input (Section 7.1 Step 5)</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Hazard Regime 1 / 2</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Riverine-monsoon (built, Section 7) vs. cyclone storm-surge (specified, not built — Section 7.6, 20.1)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Required capability</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 resource attribute a case's rescue unit MUST have — a set, not a single value (Section 7.3)</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Compound filtering</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Requiring a candidate to satisfy every entry in a required-capability set at once (Section 9)</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Priority score / band</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Separately-computed urgency ranking (0–59, banded), distinct from severity (Section 8)</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Last-mile distance</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Illustrative intra-township distance, as opposed to inter-township network distance (Section 10.1)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Reservation</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The state change marking a recommended unit/shelter unavailable to other cases until resolution (Section 11)</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Medical support (unit)</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 trained person able to give medical care is assigned to that unit — not merely a first-aid kit (Section 5.5)</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Medical-equipped (shelter)</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Stocked with medical supplies AND staffed by a health worker on-site (Section 5.6)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Base township</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Yegyi — the pilot node used throughout the worked examples; not privileged by any rule logic</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Network / graph</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The 25-township, 26-edge model of the Ayeyarwady Delta used for shortest-path routing (Section 6)</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Flagged assumption</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000000"/>
                <w:sz w:val="17"/>
                <w:szCs w:val="17"/>
              </w:rPr>
              <w:t xml:space="preserve">A value this document derived itself rather than found in a cited source — marked explicitly (e.g., Sections 6.2, 7.1) rather than presented as verified fact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2026-08-29T13:00:48.360Z</dcterms:created>
  <dcterms:modified xsi:type="dcterms:W3CDTF">2026-08-29T13:00:48.372Z</dcterms:modified>
</cp:coreProperties>
</file>

<file path=docProps/custom.xml><?xml version="1.0" encoding="utf-8"?>
<Properties xmlns="http://schemas.openxmlformats.org/officeDocument/2006/custom-properties" xmlns:vt="http://schemas.openxmlformats.org/officeDocument/2006/docPropsVTypes"/>
</file>