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mixeni-pitch-pack-rebuild"/>
    <w:p>
      <w:pPr>
        <w:pStyle w:val="Heading1"/>
      </w:pPr>
      <w:r>
        <w:t xml:space="preserve">MIXENI Pitch Pack Rebuild</w:t>
      </w:r>
    </w:p>
    <w:bookmarkStart w:id="29" w:name="executive-summary"/>
    <w:p>
      <w:pPr>
        <w:pStyle w:val="Heading2"/>
      </w:pPr>
      <w:r>
        <w:t xml:space="preserve">Executive summary</w:t>
      </w:r>
    </w:p>
    <w:p>
      <w:pPr>
        <w:pStyle w:val="FirstParagraph"/>
      </w:pPr>
      <w:r>
        <w:t xml:space="preserve">MIXENI is a premium preserved-fruit</w:t>
      </w:r>
      <w:r>
        <w:t xml:space="preserve"> </w:t>
      </w:r>
      <w:r>
        <w:rPr>
          <w:b/>
          <w:bCs/>
        </w:rPr>
        <w:t xml:space="preserve">cocktail finishing</w:t>
      </w:r>
      <w:r>
        <w:t xml:space="preserve"> </w:t>
      </w:r>
      <w:r>
        <w:t xml:space="preserve">brand built for the South African on-trade first: bars, restaurants, lounges, hotels, and event bartenders. The hero problem is operational and commercial:</w:t>
      </w:r>
      <w:r>
        <w:t xml:space="preserve"> </w:t>
      </w:r>
      <w:r>
        <w:rPr>
          <w:b/>
          <w:bCs/>
        </w:rPr>
        <w:t xml:space="preserve">fresh garnish fruit spoils quickly, wastes money, breaks consistency, and adds prep friction</w:t>
      </w:r>
      <w:r>
        <w:t xml:space="preserve">—exactly where premium venues compete (presentation, repeatability, margin). In the South African</w:t>
      </w:r>
      <w:r>
        <w:t xml:space="preserve"> </w:t>
      </w:r>
      <w:r>
        <w:rPr>
          <w:b/>
          <w:bCs/>
        </w:rPr>
        <w:t xml:space="preserve">food and beverage services industry</w:t>
      </w:r>
      <w:r>
        <w:t xml:space="preserve">, Stats SA reports</w:t>
      </w:r>
      <w:r>
        <w:t xml:space="preserve"> </w:t>
      </w:r>
      <w:r>
        <w:rPr>
          <w:b/>
          <w:bCs/>
        </w:rPr>
        <w:t xml:space="preserve">bar sales of ~R841.6m in June 2025</w:t>
      </w:r>
      <w:r>
        <w:t xml:space="preserve"> </w:t>
      </w:r>
      <w:r>
        <w:t xml:space="preserve">(current prices), with Jan–Jun 2025 averaging ~R941m/month (annualized illustrative run-rate ~R11.3bn).</w:t>
      </w:r>
      <w:r>
        <w:t xml:space="preserve"> </w:t>
      </w:r>
      <w:hyperlink r:id="rId21">
        <w:r>
          <w:rPr>
            <w:rStyle w:val="Hyperlink"/>
          </w:rPr>
          <w:t xml:space="preserve">[1]</w:t>
        </w:r>
      </w:hyperlink>
      <w:r>
        <w:t xml:space="preserve"> </w:t>
      </w:r>
      <w:r>
        <w:t xml:space="preserve">This indicates a large, active on-trade base where “premium finishing” and waste-reduction can be monetized without changing what customers already order.</w:t>
      </w:r>
    </w:p>
    <w:p>
      <w:pPr>
        <w:pStyle w:val="BodyText"/>
      </w:pPr>
      <w:r>
        <w:t xml:space="preserve">The supporting (secondary) problem expands the narrative without diluting luxury positioning: South Africa’s food losses and waste are estimated at</w:t>
      </w:r>
      <w:r>
        <w:t xml:space="preserve"> </w:t>
      </w:r>
      <w:r>
        <w:rPr>
          <w:b/>
          <w:bCs/>
        </w:rPr>
        <w:t xml:space="preserve">~10.3 million tonnes per year</w:t>
      </w:r>
      <w:r>
        <w:t xml:space="preserve">, equating to</w:t>
      </w:r>
      <w:r>
        <w:t xml:space="preserve"> </w:t>
      </w:r>
      <w:r>
        <w:rPr>
          <w:b/>
          <w:bCs/>
        </w:rPr>
        <w:t xml:space="preserve">~45.4% of available food supply</w:t>
      </w:r>
      <w:r>
        <w:t xml:space="preserve"> </w:t>
      </w:r>
      <w:r>
        <w:t xml:space="preserve">being lost or wasted; the broader cost to society is referenced at</w:t>
      </w:r>
      <w:r>
        <w:t xml:space="preserve"> </w:t>
      </w:r>
      <w:r>
        <w:rPr>
          <w:b/>
          <w:bCs/>
        </w:rPr>
        <w:t xml:space="preserve">~R61.5bn per year</w:t>
      </w:r>
      <w:r>
        <w:t xml:space="preserve"> </w:t>
      </w:r>
      <w:r>
        <w:t xml:space="preserve">in national studies.</w:t>
      </w:r>
      <w:r>
        <w:t xml:space="preserve"> </w:t>
      </w:r>
      <w:hyperlink r:id="rId22">
        <w:r>
          <w:rPr>
            <w:rStyle w:val="Hyperlink"/>
          </w:rPr>
          <w:t xml:space="preserve">[2]</w:t>
        </w:r>
      </w:hyperlink>
      <w:r>
        <w:t xml:space="preserve"> </w:t>
      </w:r>
      <w:r>
        <w:t xml:space="preserve">Households also waste food regularly; a CSIR guideline notes households can generate</w:t>
      </w:r>
      <w:r>
        <w:t xml:space="preserve"> </w:t>
      </w:r>
      <w:r>
        <w:rPr>
          <w:b/>
          <w:bCs/>
        </w:rPr>
        <w:t xml:space="preserve">~6kg of waste per household per week</w:t>
      </w:r>
      <w:r>
        <w:t xml:space="preserve"> </w:t>
      </w:r>
      <w:r>
        <w:t xml:space="preserve">on average (contextual benchmark), reinforcing that preservation is both a lifestyle upgrade and a waste intervention.</w:t>
      </w:r>
      <w:r>
        <w:t xml:space="preserve"> </w:t>
      </w:r>
      <w:hyperlink r:id="rId23">
        <w:r>
          <w:rPr>
            <w:rStyle w:val="Hyperlink"/>
          </w:rPr>
          <w:t xml:space="preserve">[3]</w:t>
        </w:r>
      </w:hyperlink>
    </w:p>
    <w:p>
      <w:pPr>
        <w:pStyle w:val="BodyText"/>
      </w:pPr>
      <w:r>
        <w:t xml:space="preserve">MIXENI’s solution is intentionally simple to execute but premium in form:</w:t>
      </w:r>
      <w:r>
        <w:t xml:space="preserve"> </w:t>
      </w:r>
      <w:r>
        <w:rPr>
          <w:b/>
          <w:bCs/>
        </w:rPr>
        <w:t xml:space="preserve">dehydrated citrus wheels and preserved finishing elements</w:t>
      </w:r>
      <w:r>
        <w:t xml:space="preserve">, packaged as a design-forward “finishing system” for cocktails—consistent, shelf-stable, and visually iconic. Properly packaged dried fruits commonly retain quality for</w:t>
      </w:r>
      <w:r>
        <w:t xml:space="preserve"> </w:t>
      </w:r>
      <w:r>
        <w:rPr>
          <w:b/>
          <w:bCs/>
        </w:rPr>
        <w:t xml:space="preserve">months</w:t>
      </w:r>
      <w:r>
        <w:t xml:space="preserve">; guidance from the National Center for Home Food Preservation notes most dried fruits can store</w:t>
      </w:r>
      <w:r>
        <w:t xml:space="preserve"> </w:t>
      </w:r>
      <w:r>
        <w:rPr>
          <w:b/>
          <w:bCs/>
        </w:rPr>
        <w:t xml:space="preserve">~6 months at warmer conditions and up to 1 year in cooler storage</w:t>
      </w:r>
      <w:r>
        <w:t xml:space="preserve"> </w:t>
      </w:r>
      <w:r>
        <w:t xml:space="preserve">(quality guidance), supporting MIXENI’s practical shelf-life claims.</w:t>
      </w:r>
      <w:r>
        <w:t xml:space="preserve"> </w:t>
      </w:r>
      <w:hyperlink r:id="rId24">
        <w:r>
          <w:rPr>
            <w:rStyle w:val="Hyperlink"/>
          </w:rPr>
          <w:t xml:space="preserve">[4]</w:t>
        </w:r>
      </w:hyperlink>
    </w:p>
    <w:p>
      <w:pPr>
        <w:pStyle w:val="BodyText"/>
      </w:pPr>
      <w:r>
        <w:t xml:space="preserve">Commercially, MIXENI’s go-to-market is bar-first (trade accounts and repeat reorders), then DTC, select retail, and corporate gifting/subscription. Category proof exists in South Africa: local suppliers already offer dehydrated cocktail garnishes and “premium bar products” (e.g., dehydrated fruit wheels, botanicals, syrups), confirming demand and retail adjacency.</w:t>
      </w:r>
      <w:r>
        <w:t xml:space="preserve"> </w:t>
      </w:r>
      <w:hyperlink r:id="rId25">
        <w:r>
          <w:rPr>
            <w:rStyle w:val="Hyperlink"/>
          </w:rPr>
          <w:t xml:space="preserve">[5]</w:t>
        </w:r>
      </w:hyperlink>
      <w:r>
        <w:t xml:space="preserve"> </w:t>
      </w:r>
      <w:r>
        <w:t xml:space="preserve">Price anchors show customers already pay premium-adjacent pricing in-market (e.g., 1kg dehydrated lemon wheels at ~R449.99; smaller packs ~R69–R85+ depending on brand/retailer).</w:t>
      </w:r>
      <w:r>
        <w:t xml:space="preserve"> </w:t>
      </w:r>
      <w:hyperlink r:id="rId26">
        <w:r>
          <w:rPr>
            <w:rStyle w:val="Hyperlink"/>
          </w:rPr>
          <w:t xml:space="preserve">[6]</w:t>
        </w:r>
      </w:hyperlink>
    </w:p>
    <w:p>
      <w:pPr>
        <w:pStyle w:val="BodyText"/>
      </w:pPr>
      <w:r>
        <w:t xml:space="preserve">A note on inputs: South Africa has deep citrus supply, with the Citrus Growers’ Association reporting</w:t>
      </w:r>
      <w:r>
        <w:t xml:space="preserve"> </w:t>
      </w:r>
      <w:r>
        <w:rPr>
          <w:b/>
          <w:bCs/>
        </w:rPr>
        <w:t xml:space="preserve">203.4 million 15kg cartons packed for export in the 2025 export season</w:t>
      </w:r>
      <w:r>
        <w:t xml:space="preserve">—evidence of abundant industry scale for sourcing partnerships and seconds/surplus procurement.</w:t>
      </w:r>
      <w:r>
        <w:t xml:space="preserve"> </w:t>
      </w:r>
      <w:hyperlink r:id="rId27">
        <w:r>
          <w:rPr>
            <w:rStyle w:val="Hyperlink"/>
          </w:rPr>
          <w:t xml:space="preserve">[7]</w:t>
        </w:r>
      </w:hyperlink>
    </w:p>
    <w:p>
      <w:pPr>
        <w:pStyle w:val="BodyText"/>
      </w:pPr>
      <w:r>
        <w:t xml:space="preserve">Compliance and operational credibility matter for premium food brands. MIXENI should design packaging and labeling for South African requirements under national food labeling regulation frameworks (e.g., regulations published under the Foodstuffs, Cosmetics and Disinfectants Act; requirements include batch identification, date marking, storage instructions, and standard label disclosures).</w:t>
      </w:r>
      <w:r>
        <w:t xml:space="preserve"> </w:t>
      </w:r>
      <w:hyperlink r:id="rId28">
        <w:r>
          <w:rPr>
            <w:rStyle w:val="Hyperlink"/>
          </w:rPr>
          <w:t xml:space="preserve">[8]</w:t>
        </w:r>
      </w:hyperlink>
    </w:p>
    <w:p>
      <w:pPr>
        <w:pStyle w:val="BodyText"/>
      </w:pPr>
      <w:r>
        <w:t xml:space="preserve">Practical note (deck build): a previously referenced “MIXENI.pptx” is not accessible in this session environment; the deliverables below are rebuilt from the conversation brief plus cited South Africa–relevant sources.</w:t>
      </w:r>
    </w:p>
    <w:bookmarkEnd w:id="29"/>
    <w:bookmarkStart w:id="32" w:name="Xe961eed665c01c1ce39fd40731f26beae6f36ea"/>
    <w:p>
      <w:pPr>
        <w:pStyle w:val="Heading2"/>
      </w:pPr>
      <w:r>
        <w:t xml:space="preserve">South Africa context and market rationale</w:t>
      </w:r>
    </w:p>
    <w:p>
      <w:pPr>
        <w:pStyle w:val="FirstParagraph"/>
      </w:pPr>
      <w:r>
        <w:t xml:space="preserve">MIXENI’s “why now” is a collision of</w:t>
      </w:r>
      <w:r>
        <w:t xml:space="preserve"> </w:t>
      </w:r>
      <w:r>
        <w:rPr>
          <w:b/>
          <w:bCs/>
        </w:rPr>
        <w:t xml:space="preserve">premiumisation</w:t>
      </w:r>
      <w:r>
        <w:t xml:space="preserve">,</w:t>
      </w:r>
      <w:r>
        <w:t xml:space="preserve"> </w:t>
      </w:r>
      <w:r>
        <w:rPr>
          <w:b/>
          <w:bCs/>
        </w:rPr>
        <w:t xml:space="preserve">local identity</w:t>
      </w:r>
      <w:r>
        <w:t xml:space="preserve">, and</w:t>
      </w:r>
      <w:r>
        <w:t xml:space="preserve"> </w:t>
      </w:r>
      <w:r>
        <w:rPr>
          <w:b/>
          <w:bCs/>
        </w:rPr>
        <w:t xml:space="preserve">operational pressure</w:t>
      </w:r>
      <w:r>
        <w:t xml:space="preserve">. Data providers tracking beverage alcohol trends continue to point to premiumisation and experience-led drinking as a durable global driver; in Africa, IWSR notes premium-plus spirits are a small share of volume but a disproportionate share of value, and that South Africa dominates premium-plus spirits within the region—supporting MIXENI’s premium on-trade focus.</w:t>
      </w:r>
      <w:r>
        <w:t xml:space="preserve"> </w:t>
      </w:r>
      <w:hyperlink r:id="rId30">
        <w:r>
          <w:rPr>
            <w:rStyle w:val="Hyperlink"/>
          </w:rPr>
          <w:t xml:space="preserve">[9]</w:t>
        </w:r>
      </w:hyperlink>
      <w:r>
        <w:t xml:space="preserve"> </w:t>
      </w:r>
      <w:r>
        <w:t xml:space="preserve">Diageo Bar Academy’s trend framing for bars highlights hyper-localisation and sustainability as major drivers of modern cocktail experiences—exactly where preserved local garnishes can create “story per serve.”</w:t>
      </w:r>
      <w:r>
        <w:t xml:space="preserve"> </w:t>
      </w:r>
      <w:hyperlink r:id="rId31">
        <w:r>
          <w:rPr>
            <w:rStyle w:val="Hyperlink"/>
          </w:rPr>
          <w:t xml:space="preserve">[10]</w:t>
        </w:r>
      </w:hyperlink>
    </w:p>
    <w:p>
      <w:pPr>
        <w:pStyle w:val="BodyText"/>
      </w:pPr>
      <w:r>
        <w:t xml:space="preserve">On-trade scale is visible in Stats SA’s “Food and beverages” series. In June 2025, total industry</w:t>
      </w:r>
      <w:r>
        <w:t xml:space="preserve"> </w:t>
      </w:r>
      <w:r>
        <w:rPr>
          <w:b/>
          <w:bCs/>
        </w:rPr>
        <w:t xml:space="preserve">bar sales were ~R841.6m</w:t>
      </w:r>
      <w:r>
        <w:t xml:space="preserve"> </w:t>
      </w:r>
      <w:r>
        <w:t xml:space="preserve">(current prices), and across Jan–Jun 2025 the series implies meaningful, recurring bar throughput in formal food and beverage services.</w:t>
      </w:r>
      <w:r>
        <w:t xml:space="preserve"> </w:t>
      </w:r>
      <w:hyperlink r:id="rId21">
        <w:r>
          <w:rPr>
            <w:rStyle w:val="Hyperlink"/>
          </w:rPr>
          <w:t xml:space="preserve">[1]</w:t>
        </w:r>
      </w:hyperlink>
      <w:r>
        <w:t xml:space="preserve"> </w:t>
      </w:r>
      <w:r>
        <w:t xml:space="preserve">Even without perfect, bar-specific garnish-waste datasets, the economics are straightforward: perishable inputs plus variable footfall produce overbuying, spoilage, and inconsistency—problems preserved garnishes directly solve with minimal workflow change.</w:t>
      </w:r>
    </w:p>
    <w:p>
      <w:pPr>
        <w:pStyle w:val="BodyText"/>
      </w:pPr>
      <w:r>
        <w:t xml:space="preserve">The second narrative layer—household waste—should not replace the bar hero problem, but it strengthens mission and category breadth. South Africa’s food waste challenge is well documented: CSIR-led national work estimates</w:t>
      </w:r>
      <w:r>
        <w:t xml:space="preserve"> </w:t>
      </w:r>
      <w:r>
        <w:rPr>
          <w:b/>
          <w:bCs/>
        </w:rPr>
        <w:t xml:space="preserve">~10.3m tonnes/year</w:t>
      </w:r>
      <w:r>
        <w:t xml:space="preserve"> </w:t>
      </w:r>
      <w:r>
        <w:t xml:space="preserve">of food losses and waste, with consumption-stage waste rising in significance, and cost-to-society estimates around</w:t>
      </w:r>
      <w:r>
        <w:t xml:space="preserve"> </w:t>
      </w:r>
      <w:r>
        <w:rPr>
          <w:b/>
          <w:bCs/>
        </w:rPr>
        <w:t xml:space="preserve">R61.5bn/year</w:t>
      </w:r>
      <w:r>
        <w:t xml:space="preserve"> </w:t>
      </w:r>
      <w:r>
        <w:t xml:space="preserve">cited in national literature.</w:t>
      </w:r>
      <w:r>
        <w:t xml:space="preserve"> </w:t>
      </w:r>
      <w:hyperlink r:id="rId22">
        <w:r>
          <w:rPr>
            <w:rStyle w:val="Hyperlink"/>
          </w:rPr>
          <w:t xml:space="preserve">[2]</w:t>
        </w:r>
      </w:hyperlink>
      <w:r>
        <w:t xml:space="preserve"> </w:t>
      </w:r>
      <w:r>
        <w:t xml:space="preserve">A CSIR guideline also provides consumer-level benchmarks (e.g., household waste generation) that reinforce “preservation” as a practical, non-preachy sustainability lever.</w:t>
      </w:r>
      <w:r>
        <w:t xml:space="preserve"> </w:t>
      </w:r>
      <w:hyperlink r:id="rId23">
        <w:r>
          <w:rPr>
            <w:rStyle w:val="Hyperlink"/>
          </w:rPr>
          <w:t xml:space="preserve">[3]</w:t>
        </w:r>
      </w:hyperlink>
    </w:p>
    <w:bookmarkEnd w:id="32"/>
    <w:bookmarkStart w:id="37" w:name="pitch-deck-copy-for-powerpoint"/>
    <w:p>
      <w:pPr>
        <w:pStyle w:val="Heading2"/>
      </w:pPr>
      <w:r>
        <w:t xml:space="preserve">Pitch deck copy for PowerPoint</w:t>
      </w:r>
    </w:p>
    <w:bookmarkStart w:id="35" w:name="X955effebaa02b91bf057b1259535c0dbf40ab61"/>
    <w:p>
      <w:pPr>
        <w:pStyle w:val="Heading3"/>
      </w:pPr>
      <w:r>
        <w:t xml:space="preserve">Slide list table (structure + what each slide must prove)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Slide</w:t>
            </w:r>
          </w:p>
        </w:tc>
        <w:tc>
          <w:tcPr/>
          <w:p>
            <w:pPr>
              <w:pStyle w:val="Compact"/>
            </w:pPr>
            <w:r>
              <w:t xml:space="preserve">Title</w:t>
            </w:r>
          </w:p>
        </w:tc>
        <w:tc>
          <w:tcPr/>
          <w:p>
            <w:pPr>
              <w:pStyle w:val="Compact"/>
            </w:pPr>
            <w:r>
              <w:t xml:space="preserve">What it must prove</w:t>
            </w:r>
          </w:p>
        </w:tc>
        <w:tc>
          <w:tcPr/>
          <w:p>
            <w:pPr>
              <w:pStyle w:val="Compact"/>
            </w:pPr>
            <w:r>
              <w:t xml:space="preserve">Key proof cue (optional on-slide)</w:t>
            </w:r>
          </w:p>
        </w:tc>
        <w:tc>
          <w:tcPr/>
          <w:p>
            <w:pPr>
              <w:pStyle w:val="Compact"/>
            </w:pPr>
            <w:r>
              <w:t xml:space="preserve">Suggested visual direction</w:t>
            </w:r>
          </w:p>
        </w:tc>
      </w:tr>
      <w:tr>
        <w:tc>
          <w:tcPr/>
          <w:p>
            <w:pPr>
              <w:pStyle w:val="Compact"/>
              <w:jc w:val="right"/>
            </w:pPr>
            <w:r>
              <w:t xml:space="preserve">1</w:t>
            </w:r>
          </w:p>
        </w:tc>
        <w:tc>
          <w:tcPr/>
          <w:p>
            <w:pPr>
              <w:pStyle w:val="Compact"/>
            </w:pPr>
            <w:r>
              <w:t xml:space="preserve">MIXENI</w:t>
            </w:r>
          </w:p>
        </w:tc>
        <w:tc>
          <w:tcPr/>
          <w:p>
            <w:pPr>
              <w:pStyle w:val="Compact"/>
            </w:pPr>
            <w:r>
              <w:t xml:space="preserve">Premium positioning + one-line clarity</w:t>
            </w:r>
          </w:p>
        </w:tc>
        <w:tc>
          <w:tcPr/>
          <w:p>
            <w:pPr>
              <w:pStyle w:val="Compact"/>
            </w:pPr>
            <w:r>
              <w:t xml:space="preserve">“Cocktail finishing system”</w:t>
            </w:r>
          </w:p>
        </w:tc>
        <w:tc>
          <w:tcPr/>
          <w:p>
            <w:pPr>
              <w:pStyle w:val="Compact"/>
            </w:pPr>
            <w:r>
              <w:t xml:space="preserve">Macro product shot; dark emerald backdrop; gold type</w:t>
            </w:r>
          </w:p>
        </w:tc>
      </w:tr>
      <w:tr>
        <w:tc>
          <w:tcPr/>
          <w:p>
            <w:pPr>
              <w:pStyle w:val="Compact"/>
              <w:jc w:val="right"/>
            </w:pPr>
            <w:r>
              <w:t xml:space="preserve">2</w:t>
            </w:r>
          </w:p>
        </w:tc>
        <w:tc>
          <w:tcPr/>
          <w:p>
            <w:pPr>
              <w:pStyle w:val="Compact"/>
            </w:pPr>
            <w:r>
              <w:t xml:space="preserve">The Bar Problem</w:t>
            </w:r>
          </w:p>
        </w:tc>
        <w:tc>
          <w:tcPr/>
          <w:p>
            <w:pPr>
              <w:pStyle w:val="Compact"/>
            </w:pPr>
            <w:r>
              <w:t xml:space="preserve">Fresh garnish is wasteful + inconsistent</w:t>
            </w:r>
          </w:p>
        </w:tc>
        <w:tc>
          <w:tcPr/>
          <w:p>
            <w:pPr>
              <w:pStyle w:val="Compact"/>
            </w:pPr>
            <w:r>
              <w:t xml:space="preserve">SA bar sales scale (Stats SA)</w:t>
            </w:r>
            <w:r>
              <w:t xml:space="preserve"> </w:t>
            </w:r>
            <w:hyperlink r:id="rId21">
              <w:r>
                <w:rPr>
                  <w:rStyle w:val="Hyperlink"/>
                </w:rPr>
                <w:t xml:space="preserve">[1]</w:t>
              </w:r>
            </w:hyperlink>
          </w:p>
        </w:tc>
        <w:tc>
          <w:tcPr/>
          <w:p>
            <w:pPr>
              <w:pStyle w:val="Compact"/>
            </w:pPr>
            <w:r>
              <w:t xml:space="preserve">Split image: wilted citrus vs crisp dried wheels</w:t>
            </w:r>
          </w:p>
        </w:tc>
      </w:tr>
      <w:tr>
        <w:tc>
          <w:tcPr/>
          <w:p>
            <w:pPr>
              <w:pStyle w:val="Compact"/>
              <w:jc w:val="right"/>
            </w:pPr>
            <w:r>
              <w:t xml:space="preserve">3</w:t>
            </w:r>
          </w:p>
        </w:tc>
        <w:tc>
          <w:tcPr/>
          <w:p>
            <w:pPr>
              <w:pStyle w:val="Compact"/>
            </w:pPr>
            <w:r>
              <w:t xml:space="preserve">The Hidden Cost</w:t>
            </w:r>
          </w:p>
        </w:tc>
        <w:tc>
          <w:tcPr/>
          <w:p>
            <w:pPr>
              <w:pStyle w:val="Compact"/>
            </w:pPr>
            <w:r>
              <w:t xml:space="preserve">Waste is money + downtime + brand damage</w:t>
            </w:r>
          </w:p>
        </w:tc>
        <w:tc>
          <w:tcPr/>
          <w:p>
            <w:pPr>
              <w:pStyle w:val="Compact"/>
            </w:pPr>
            <w:r>
              <w:t xml:space="preserve">Food waste scale (CSIR)</w:t>
            </w:r>
            <w:r>
              <w:t xml:space="preserve"> </w:t>
            </w:r>
            <w:hyperlink r:id="rId22">
              <w:r>
                <w:rPr>
                  <w:rStyle w:val="Hyperlink"/>
                </w:rPr>
                <w:t xml:space="preserve">[11]</w:t>
              </w:r>
            </w:hyperlink>
          </w:p>
        </w:tc>
        <w:tc>
          <w:tcPr/>
          <w:p>
            <w:pPr>
              <w:pStyle w:val="Compact"/>
            </w:pPr>
            <w:r>
              <w:t xml:space="preserve">Minimal infographic: Waste → Margin → Consistency</w:t>
            </w:r>
          </w:p>
        </w:tc>
      </w:tr>
      <w:tr>
        <w:tc>
          <w:tcPr/>
          <w:p>
            <w:pPr>
              <w:pStyle w:val="Compact"/>
              <w:jc w:val="right"/>
            </w:pPr>
            <w:r>
              <w:t xml:space="preserve">4</w:t>
            </w:r>
          </w:p>
        </w:tc>
        <w:tc>
          <w:tcPr/>
          <w:p>
            <w:pPr>
              <w:pStyle w:val="Compact"/>
            </w:pPr>
            <w:r>
              <w:t xml:space="preserve">The Insight</w:t>
            </w:r>
          </w:p>
        </w:tc>
        <w:tc>
          <w:tcPr/>
          <w:p>
            <w:pPr>
              <w:pStyle w:val="Compact"/>
            </w:pPr>
            <w:r>
              <w:t xml:space="preserve">Preservation is the better format</w:t>
            </w:r>
          </w:p>
        </w:tc>
        <w:tc>
          <w:tcPr/>
          <w:p>
            <w:pPr>
              <w:pStyle w:val="Compact"/>
            </w:pPr>
            <w:r>
              <w:t xml:space="preserve">Dried fruit storage guidance</w:t>
            </w:r>
            <w:r>
              <w:t xml:space="preserve"> </w:t>
            </w:r>
            <w:hyperlink r:id="rId24">
              <w:r>
                <w:rPr>
                  <w:rStyle w:val="Hyperlink"/>
                </w:rPr>
                <w:t xml:space="preserve">[4]</w:t>
              </w:r>
            </w:hyperlink>
          </w:p>
        </w:tc>
        <w:tc>
          <w:tcPr/>
          <w:p>
            <w:pPr>
              <w:pStyle w:val="Compact"/>
            </w:pPr>
            <w:r>
              <w:t xml:space="preserve">Elegant diagram: “Fresh → Spoils / Preserved → Ready”</w:t>
            </w:r>
          </w:p>
        </w:tc>
      </w:tr>
      <w:tr>
        <w:tc>
          <w:tcPr/>
          <w:p>
            <w:pPr>
              <w:pStyle w:val="Compact"/>
              <w:jc w:val="right"/>
            </w:pPr>
            <w:r>
              <w:t xml:space="preserve">5</w:t>
            </w:r>
          </w:p>
        </w:tc>
        <w:tc>
          <w:tcPr/>
          <w:p>
            <w:pPr>
              <w:pStyle w:val="Compact"/>
            </w:pPr>
            <w:r>
              <w:t xml:space="preserve">The Solution</w:t>
            </w:r>
          </w:p>
        </w:tc>
        <w:tc>
          <w:tcPr/>
          <w:p>
            <w:pPr>
              <w:pStyle w:val="Compact"/>
            </w:pPr>
            <w:r>
              <w:t xml:space="preserve">MIXENI makes premium finishing effortless</w:t>
            </w:r>
          </w:p>
        </w:tc>
        <w:tc>
          <w:tcPr/>
          <w:p>
            <w:pPr>
              <w:pStyle w:val="Compact"/>
            </w:pPr>
            <w:r>
              <w:t xml:space="preserve">“Your Bar, Your Way”</w:t>
            </w:r>
          </w:p>
        </w:tc>
        <w:tc>
          <w:tcPr/>
          <w:p>
            <w:pPr>
              <w:pStyle w:val="Compact"/>
            </w:pPr>
            <w:r>
              <w:t xml:space="preserve">Hero lineup of SKUs; recipe card texture</w:t>
            </w:r>
          </w:p>
        </w:tc>
      </w:tr>
      <w:tr>
        <w:tc>
          <w:tcPr/>
          <w:p>
            <w:pPr>
              <w:pStyle w:val="Compact"/>
              <w:jc w:val="right"/>
            </w:pPr>
            <w:r>
              <w:t xml:space="preserve">6</w:t>
            </w:r>
          </w:p>
        </w:tc>
        <w:tc>
          <w:tcPr/>
          <w:p>
            <w:pPr>
              <w:pStyle w:val="Compact"/>
            </w:pPr>
            <w:r>
              <w:t xml:space="preserve">Product Line</w:t>
            </w:r>
          </w:p>
        </w:tc>
        <w:tc>
          <w:tcPr/>
          <w:p>
            <w:pPr>
              <w:pStyle w:val="Compact"/>
            </w:pPr>
            <w:r>
              <w:t xml:space="preserve">Clear SKUs + bar vs home formats</w:t>
            </w:r>
          </w:p>
        </w:tc>
        <w:tc>
          <w:tcPr/>
          <w:p>
            <w:pPr>
              <w:pStyle w:val="Compact"/>
            </w:pPr>
            <w:r>
              <w:t xml:space="preserve">Local category proof (competitors)</w:t>
            </w:r>
            <w:r>
              <w:t xml:space="preserve"> </w:t>
            </w:r>
            <w:hyperlink r:id="rId25">
              <w:r>
                <w:rPr>
                  <w:rStyle w:val="Hyperlink"/>
                </w:rPr>
                <w:t xml:space="preserve">[12]</w:t>
              </w:r>
            </w:hyperlink>
          </w:p>
        </w:tc>
        <w:tc>
          <w:tcPr/>
          <w:p>
            <w:pPr>
              <w:pStyle w:val="Compact"/>
            </w:pPr>
            <w:r>
              <w:t xml:space="preserve">Packaging mock grid: jars + bar pouches + gift boxes</w:t>
            </w:r>
          </w:p>
        </w:tc>
      </w:tr>
      <w:tr>
        <w:tc>
          <w:tcPr/>
          <w:p>
            <w:pPr>
              <w:pStyle w:val="Compact"/>
              <w:jc w:val="right"/>
            </w:pPr>
            <w:r>
              <w:t xml:space="preserve">7</w:t>
            </w:r>
          </w:p>
        </w:tc>
        <w:tc>
          <w:tcPr/>
          <w:p>
            <w:pPr>
              <w:pStyle w:val="Compact"/>
            </w:pPr>
            <w:r>
              <w:t xml:space="preserve">Market + Segments</w:t>
            </w:r>
          </w:p>
        </w:tc>
        <w:tc>
          <w:tcPr/>
          <w:p>
            <w:pPr>
              <w:pStyle w:val="Compact"/>
            </w:pPr>
            <w:r>
              <w:t xml:space="preserve">Bar-first focus + expandability</w:t>
            </w:r>
          </w:p>
        </w:tc>
        <w:tc>
          <w:tcPr/>
          <w:p>
            <w:pPr>
              <w:pStyle w:val="Compact"/>
            </w:pPr>
            <w:r>
              <w:t xml:space="preserve">Households count (Stats SA)</w:t>
            </w:r>
            <w:r>
              <w:t xml:space="preserve"> </w:t>
            </w:r>
            <w:hyperlink r:id="rId33">
              <w:r>
                <w:rPr>
                  <w:rStyle w:val="Hyperlink"/>
                </w:rPr>
                <w:t xml:space="preserve">[13]</w:t>
              </w:r>
            </w:hyperlink>
          </w:p>
        </w:tc>
        <w:tc>
          <w:tcPr/>
          <w:p>
            <w:pPr>
              <w:pStyle w:val="Compact"/>
            </w:pPr>
            <w:r>
              <w:t xml:space="preserve">Segment tiles: On-trade / Home / Gifting</w:t>
            </w:r>
          </w:p>
        </w:tc>
      </w:tr>
      <w:tr>
        <w:tc>
          <w:tcPr/>
          <w:p>
            <w:pPr>
              <w:pStyle w:val="Compact"/>
              <w:jc w:val="right"/>
            </w:pPr>
            <w:r>
              <w:t xml:space="preserve">8</w:t>
            </w:r>
          </w:p>
        </w:tc>
        <w:tc>
          <w:tcPr/>
          <w:p>
            <w:pPr>
              <w:pStyle w:val="Compact"/>
            </w:pPr>
            <w:r>
              <w:t xml:space="preserve">Go-To-Market</w:t>
            </w:r>
          </w:p>
        </w:tc>
        <w:tc>
          <w:tcPr/>
          <w:p>
            <w:pPr>
              <w:pStyle w:val="Compact"/>
            </w:pPr>
            <w:r>
              <w:t xml:space="preserve">How you win accounts + repeat orders</w:t>
            </w:r>
          </w:p>
        </w:tc>
        <w:tc>
          <w:tcPr/>
          <w:p>
            <w:pPr>
              <w:pStyle w:val="Compact"/>
            </w:pPr>
            <w:r>
              <w:t xml:space="preserve">Trend support: hyper-local &amp; premiumisation</w:t>
            </w:r>
            <w:r>
              <w:t xml:space="preserve"> </w:t>
            </w:r>
            <w:hyperlink r:id="rId31">
              <w:r>
                <w:rPr>
                  <w:rStyle w:val="Hyperlink"/>
                </w:rPr>
                <w:t xml:space="preserve">[14]</w:t>
              </w:r>
            </w:hyperlink>
          </w:p>
        </w:tc>
        <w:tc>
          <w:tcPr/>
          <w:p>
            <w:pPr>
              <w:pStyle w:val="Compact"/>
            </w:pPr>
            <w:r>
              <w:t xml:space="preserve">City map pins + funnel: “Pilot → Accounts → Retail”</w:t>
            </w:r>
          </w:p>
        </w:tc>
      </w:tr>
      <w:tr>
        <w:tc>
          <w:tcPr/>
          <w:p>
            <w:pPr>
              <w:pStyle w:val="Compact"/>
              <w:jc w:val="right"/>
            </w:pPr>
            <w:r>
              <w:t xml:space="preserve">9</w:t>
            </w:r>
          </w:p>
        </w:tc>
        <w:tc>
          <w:tcPr/>
          <w:p>
            <w:pPr>
              <w:pStyle w:val="Compact"/>
            </w:pPr>
            <w:r>
              <w:t xml:space="preserve">Business Model</w:t>
            </w:r>
          </w:p>
        </w:tc>
        <w:tc>
          <w:tcPr/>
          <w:p>
            <w:pPr>
              <w:pStyle w:val="Compact"/>
            </w:pPr>
            <w:r>
              <w:t xml:space="preserve">Simple revenue engine + margin logic</w:t>
            </w:r>
          </w:p>
        </w:tc>
        <w:tc>
          <w:tcPr/>
          <w:p>
            <w:pPr>
              <w:pStyle w:val="Compact"/>
            </w:pPr>
            <w:r>
              <w:t xml:space="preserve">Price anchors in market</w:t>
            </w:r>
            <w:r>
              <w:t xml:space="preserve"> </w:t>
            </w:r>
            <w:hyperlink r:id="rId34">
              <w:r>
                <w:rPr>
                  <w:rStyle w:val="Hyperlink"/>
                </w:rPr>
                <w:t xml:space="preserve">[15]</w:t>
              </w:r>
            </w:hyperlink>
          </w:p>
        </w:tc>
        <w:tc>
          <w:tcPr/>
          <w:p>
            <w:pPr>
              <w:pStyle w:val="Compact"/>
            </w:pPr>
            <w:r>
              <w:t xml:space="preserve">3-channel revenue bars; reorder flywheel</w:t>
            </w:r>
          </w:p>
        </w:tc>
      </w:tr>
      <w:tr>
        <w:tc>
          <w:tcPr/>
          <w:p>
            <w:pPr>
              <w:pStyle w:val="Compact"/>
              <w:jc w:val="right"/>
            </w:pPr>
            <w:r>
              <w:t xml:space="preserve">10</w:t>
            </w:r>
          </w:p>
        </w:tc>
        <w:tc>
          <w:tcPr/>
          <w:p>
            <w:pPr>
              <w:pStyle w:val="Compact"/>
            </w:pPr>
            <w:r>
              <w:t xml:space="preserve">Why MIXENI Wins</w:t>
            </w:r>
          </w:p>
        </w:tc>
        <w:tc>
          <w:tcPr/>
          <w:p>
            <w:pPr>
              <w:pStyle w:val="Compact"/>
            </w:pPr>
            <w:r>
              <w:t xml:space="preserve">Differentiation vs fresh + commodity</w:t>
            </w:r>
          </w:p>
        </w:tc>
        <w:tc>
          <w:tcPr/>
          <w:p>
            <w:pPr>
              <w:pStyle w:val="Compact"/>
            </w:pPr>
            <w:r>
              <w:t xml:space="preserve">Brand-as-moat</w:t>
            </w:r>
          </w:p>
        </w:tc>
        <w:tc>
          <w:tcPr/>
          <w:p>
            <w:pPr>
              <w:pStyle w:val="Compact"/>
            </w:pPr>
            <w:r>
              <w:t xml:space="preserve">Brand pyramid: Quality / Design / Consistency</w:t>
            </w:r>
          </w:p>
        </w:tc>
      </w:tr>
      <w:tr>
        <w:tc>
          <w:tcPr/>
          <w:p>
            <w:pPr>
              <w:pStyle w:val="Compact"/>
              <w:jc w:val="right"/>
            </w:pPr>
            <w:r>
              <w:t xml:space="preserve">11</w:t>
            </w:r>
          </w:p>
        </w:tc>
        <w:tc>
          <w:tcPr/>
          <w:p>
            <w:pPr>
              <w:pStyle w:val="Compact"/>
            </w:pPr>
            <w:r>
              <w:t xml:space="preserve">Financial Snapshot</w:t>
            </w:r>
          </w:p>
        </w:tc>
        <w:tc>
          <w:tcPr/>
          <w:p>
            <w:pPr>
              <w:pStyle w:val="Compact"/>
            </w:pPr>
            <w:r>
              <w:t xml:space="preserve">24-month revenue outline + GM target</w:t>
            </w:r>
          </w:p>
        </w:tc>
        <w:tc>
          <w:tcPr/>
          <w:p>
            <w:pPr>
              <w:pStyle w:val="Compact"/>
            </w:pPr>
            <w:r>
              <w:t xml:space="preserve">(Internal model)</w:t>
            </w:r>
          </w:p>
        </w:tc>
        <w:tc>
          <w:tcPr/>
          <w:p>
            <w:pPr>
              <w:pStyle w:val="Compact"/>
            </w:pPr>
            <w:r>
              <w:t xml:space="preserve">Clean chart + 3 KPI tiles (GM, AOV, accounts)</w:t>
            </w:r>
          </w:p>
        </w:tc>
      </w:tr>
      <w:tr>
        <w:tc>
          <w:tcPr/>
          <w:p>
            <w:pPr>
              <w:pStyle w:val="Compact"/>
              <w:jc w:val="right"/>
            </w:pPr>
            <w:r>
              <w:t xml:space="preserve">12</w:t>
            </w:r>
          </w:p>
        </w:tc>
        <w:tc>
          <w:tcPr/>
          <w:p>
            <w:pPr>
              <w:pStyle w:val="Compact"/>
            </w:pPr>
            <w:r>
              <w:t xml:space="preserve">Ask + Milestones</w:t>
            </w:r>
          </w:p>
        </w:tc>
        <w:tc>
          <w:tcPr/>
          <w:p>
            <w:pPr>
              <w:pStyle w:val="Compact"/>
            </w:pPr>
            <w:r>
              <w:t xml:space="preserve">Funding ask + what it unlocks</w:t>
            </w:r>
          </w:p>
        </w:tc>
        <w:tc>
          <w:tcPr/>
          <w:p>
            <w:pPr>
              <w:pStyle w:val="Compact"/>
            </w:pPr>
            <w:r>
              <w:t xml:space="preserve">12-month plan</w:t>
            </w:r>
          </w:p>
        </w:tc>
        <w:tc>
          <w:tcPr/>
          <w:p>
            <w:pPr>
              <w:pStyle w:val="Compact"/>
            </w:pPr>
            <w:r>
              <w:t xml:space="preserve">Minimal use-of-funds donut + milestone timeline</w:t>
            </w:r>
          </w:p>
        </w:tc>
      </w:tr>
    </w:tbl>
    <w:bookmarkEnd w:id="35"/>
    <w:bookmarkStart w:id="36" w:name="X3797db7040a15bdb2f220dcf365b2609da6a86f"/>
    <w:p>
      <w:pPr>
        <w:pStyle w:val="Heading3"/>
      </w:pPr>
      <w:r>
        <w:t xml:space="preserve">Slide-by-slide deck copy (PowerPoint-ready)</w:t>
      </w:r>
    </w:p>
    <w:p>
      <w:pPr>
        <w:pStyle w:val="FirstParagraph"/>
      </w:pPr>
      <w:r>
        <w:rPr>
          <w:b/>
          <w:bCs/>
        </w:rPr>
        <w:t xml:space="preserve">Slide 1 — MIXENI</w:t>
      </w:r>
      <w:r>
        <w:br/>
      </w:r>
      <w:r>
        <w:t xml:space="preserve">Your Bar, Your Way.</w:t>
      </w:r>
      <w:r>
        <w:br/>
      </w:r>
      <w:r>
        <w:rPr>
          <w:i/>
          <w:iCs/>
        </w:rPr>
        <w:t xml:space="preserve">MIXENI is a premium preserved-fruit cocktail finishing brand—designed for consistent, iconic serves in South Africa’s best venues.</w:t>
      </w:r>
      <w:r>
        <w:br/>
      </w:r>
      <w:r>
        <w:t xml:space="preserve">We turn garnish into a system: shelf-stable, bar-fast, luxury-forward.</w:t>
      </w:r>
      <w:r>
        <w:br/>
      </w:r>
      <w:r>
        <w:rPr>
          <w:i/>
          <w:iCs/>
        </w:rPr>
        <w:t xml:space="preserve">(Visual: cinematic macro of citrus wheels; emerald field; gold typography; small “Cocktail Finishing System” descriptor.)</w:t>
      </w:r>
    </w:p>
    <w:p>
      <w:pPr>
        <w:pStyle w:val="BodyText"/>
      </w:pPr>
      <w:r>
        <w:rPr>
          <w:b/>
          <w:bCs/>
        </w:rPr>
        <w:t xml:space="preserve">Slide 2 — The Bar Problem: Fresh Garnish Fails at Scale</w:t>
      </w:r>
      <w:r>
        <w:br/>
      </w:r>
      <w:r>
        <w:t xml:space="preserve">Premium cocktails are judged in seconds—yet the finishing layer depends on the least reliable input: fresh fruit.</w:t>
      </w:r>
      <w:r>
        <w:br/>
      </w:r>
      <w:r>
        <w:t xml:space="preserve">Bars overbuy to avoid running out; fruit spoils; prep becomes a daily tax; the serve becomes inconsistent.</w:t>
      </w:r>
      <w:r>
        <w:br/>
      </w:r>
      <w:r>
        <w:t xml:space="preserve">In South Africa’s food &amp; beverage services industry, “bar sales” alone are measured in the hundreds of millions monthly—this is an operational problem inside a large spend base.</w:t>
      </w:r>
      <w:r>
        <w:t xml:space="preserve"> </w:t>
      </w:r>
      <w:hyperlink r:id="rId21">
        <w:r>
          <w:rPr>
            <w:rStyle w:val="Hyperlink"/>
          </w:rPr>
          <w:t xml:space="preserve">[1]</w:t>
        </w:r>
      </w:hyperlink>
      <w:r>
        <w:br/>
      </w:r>
      <w:r>
        <w:rPr>
          <w:i/>
          <w:iCs/>
        </w:rPr>
        <w:t xml:space="preserve">(Visual: left = oxidized citrus + messy prep board; right = crisp dried wheels + clean mise-en-place.)</w:t>
      </w:r>
    </w:p>
    <w:p>
      <w:pPr>
        <w:pStyle w:val="BodyText"/>
      </w:pPr>
      <w:r>
        <w:rPr>
          <w:b/>
          <w:bCs/>
        </w:rPr>
        <w:t xml:space="preserve">Slide 3 — The Hidden Cost: Waste + Workflow = Lost Margin</w:t>
      </w:r>
      <w:r>
        <w:br/>
      </w:r>
      <w:r>
        <w:t xml:space="preserve">Spoilage isn’t only waste—it’s margin leakage, staff time, and brand inconsistency.</w:t>
      </w:r>
      <w:r>
        <w:br/>
      </w:r>
      <w:r>
        <w:t xml:space="preserve">Food losses and waste in South Africa are estimated at ~10.3m tonnes annually; preservation is a proven lever to reduce avoidable disposal.</w:t>
      </w:r>
      <w:r>
        <w:t xml:space="preserve"> </w:t>
      </w:r>
      <w:hyperlink r:id="rId22">
        <w:r>
          <w:rPr>
            <w:rStyle w:val="Hyperlink"/>
          </w:rPr>
          <w:t xml:space="preserve">[2]</w:t>
        </w:r>
      </w:hyperlink>
      <w:r>
        <w:br/>
      </w:r>
      <w:r>
        <w:t xml:space="preserve">MIXENI targets a specific, high-visibility waste stream: cocktail finishing fruit that must look perfect every time.</w:t>
      </w:r>
      <w:r>
        <w:br/>
      </w:r>
      <w:r>
        <w:rPr>
          <w:i/>
          <w:iCs/>
        </w:rPr>
        <w:t xml:space="preserve">(Visual: minimalist chain: “Spoilage → Rebuy → Prep → Inconsistency → Lost repeat business”.)</w:t>
      </w:r>
    </w:p>
    <w:p>
      <w:pPr>
        <w:pStyle w:val="BodyText"/>
      </w:pPr>
      <w:r>
        <w:rPr>
          <w:b/>
          <w:bCs/>
        </w:rPr>
        <w:t xml:space="preserve">Slide 4 — The Insight: Preservation Is the Premium Format</w:t>
      </w:r>
      <w:r>
        <w:br/>
      </w:r>
      <w:r>
        <w:t xml:space="preserve">Fresh fruit is optimized for kitchens—not for cocktail repetition.</w:t>
      </w:r>
      <w:r>
        <w:br/>
      </w:r>
      <w:r>
        <w:t xml:space="preserve">Properly dried fruits can retain quality for months when stored correctly—meaning “always ready” becomes the default.</w:t>
      </w:r>
      <w:r>
        <w:t xml:space="preserve"> </w:t>
      </w:r>
      <w:hyperlink r:id="rId24">
        <w:r>
          <w:rPr>
            <w:rStyle w:val="Hyperlink"/>
          </w:rPr>
          <w:t xml:space="preserve">[4]</w:t>
        </w:r>
      </w:hyperlink>
      <w:r>
        <w:br/>
      </w:r>
      <w:r>
        <w:t xml:space="preserve">Preserved finishing gives bars consistency without changing the drink—only upgrading the last 10%.</w:t>
      </w:r>
      <w:r>
        <w:br/>
      </w:r>
      <w:r>
        <w:rPr>
          <w:i/>
          <w:iCs/>
        </w:rPr>
        <w:t xml:space="preserve">(Visual: two columns: Fresh = days / Preserved = months; include “Always available / consistent aroma / signature look.”)</w:t>
      </w:r>
    </w:p>
    <w:p>
      <w:pPr>
        <w:pStyle w:val="BodyText"/>
      </w:pPr>
      <w:r>
        <w:rPr>
          <w:b/>
          <w:bCs/>
        </w:rPr>
        <w:t xml:space="preserve">Slide 5 — The Solution: MIXENI Cocktail Finishing System</w:t>
      </w:r>
      <w:r>
        <w:br/>
      </w:r>
      <w:r>
        <w:t xml:space="preserve">MIXENI delivers a premium finishing layer: dehydrated citrus wheels and preserved elements built for speed, beauty, and consistency.</w:t>
      </w:r>
      <w:r>
        <w:br/>
      </w:r>
      <w:r>
        <w:t xml:space="preserve">A bar-grade format that reduces spoilage and locks presentation into a repeatable standard.</w:t>
      </w:r>
      <w:r>
        <w:br/>
      </w:r>
      <w:r>
        <w:t xml:space="preserve">Luxury without friction—open, place, serve.</w:t>
      </w:r>
      <w:r>
        <w:br/>
      </w:r>
      <w:r>
        <w:rPr>
          <w:i/>
          <w:iCs/>
        </w:rPr>
        <w:t xml:space="preserve">(Visual: hero product lineup + a finished cocktail in luxury glassware.)</w:t>
      </w:r>
    </w:p>
    <w:p>
      <w:pPr>
        <w:pStyle w:val="BodyText"/>
      </w:pPr>
      <w:r>
        <w:rPr>
          <w:b/>
          <w:bCs/>
        </w:rPr>
        <w:t xml:space="preserve">Slide 6 — Product Line: Built for On-Trade, Loved at Home</w:t>
      </w:r>
      <w:r>
        <w:br/>
      </w:r>
      <w:r>
        <w:t xml:space="preserve">Bar Essentials: bulk packs for high-throughput garnish consistency (lemon, lime, orange, grapefruit).</w:t>
      </w:r>
      <w:r>
        <w:br/>
      </w:r>
      <w:r>
        <w:t xml:space="preserve">Home Editions: curated jars + recipe cards for modern hosts.</w:t>
      </w:r>
      <w:r>
        <w:br/>
      </w:r>
      <w:r>
        <w:t xml:space="preserve">Signature Gift Sets: “The Set” that looks like a premium object—ideal for corporate + celebrations.</w:t>
      </w:r>
      <w:r>
        <w:br/>
      </w:r>
      <w:r>
        <w:rPr>
          <w:i/>
          <w:iCs/>
        </w:rPr>
        <w:t xml:space="preserve">(Visual: three rows of packaging formats; show one “Signature Set” as a premium box.)</w:t>
      </w:r>
    </w:p>
    <w:p>
      <w:pPr>
        <w:pStyle w:val="BodyText"/>
      </w:pPr>
      <w:r>
        <w:rPr>
          <w:b/>
          <w:bCs/>
        </w:rPr>
        <w:t xml:space="preserve">Slide 7 — Market + Target Segments (SA-First, Expandable)</w:t>
      </w:r>
      <w:r>
        <w:br/>
      </w:r>
      <w:r>
        <w:t xml:space="preserve">Primary: premium bars, hotel bars, restaurants, lounges, event bartenders—repeat purchasers with clear unit economics.</w:t>
      </w:r>
      <w:r>
        <w:br/>
      </w:r>
      <w:r>
        <w:t xml:space="preserve">Secondary: design-conscious households—South Africa has ~19.6m households, many hosting at-home where fruit spoilage drives waste.</w:t>
      </w:r>
      <w:r>
        <w:t xml:space="preserve"> </w:t>
      </w:r>
      <w:hyperlink r:id="rId33">
        <w:r>
          <w:rPr>
            <w:rStyle w:val="Hyperlink"/>
          </w:rPr>
          <w:t xml:space="preserve">[16]</w:t>
        </w:r>
      </w:hyperlink>
      <w:r>
        <w:br/>
      </w:r>
      <w:r>
        <w:t xml:space="preserve">Tertiary: corporate gifting + events—high-margin, seasonal, brand-building distribution.</w:t>
      </w:r>
      <w:r>
        <w:br/>
      </w:r>
      <w:r>
        <w:rPr>
          <w:i/>
          <w:iCs/>
        </w:rPr>
        <w:t xml:space="preserve">(Visual: three tiles with a single icon each; one “core wedge” highlighted on-trade.)</w:t>
      </w:r>
    </w:p>
    <w:p>
      <w:pPr>
        <w:pStyle w:val="BodyText"/>
      </w:pPr>
      <w:r>
        <w:rPr>
          <w:b/>
          <w:bCs/>
        </w:rPr>
        <w:t xml:space="preserve">Slide 8 — Go-To-Market: Bar-First, Then Lifestyle Distribution</w:t>
      </w:r>
      <w:r>
        <w:br/>
      </w:r>
      <w:r>
        <w:t xml:space="preserve">Phase 1: flagship bars (10–20) with trial kits + signature serves; lock reorder behavior.</w:t>
      </w:r>
      <w:r>
        <w:br/>
      </w:r>
      <w:r>
        <w:t xml:space="preserve">Phase 2: DTC launch (content + recipes + hosting culture) and limited drops.</w:t>
      </w:r>
      <w:r>
        <w:br/>
      </w:r>
      <w:r>
        <w:t xml:space="preserve">Phase 3: select retail &amp; gifting partners once repeat production + QC are stable.</w:t>
      </w:r>
      <w:r>
        <w:br/>
      </w:r>
      <w:r>
        <w:t xml:space="preserve">Supported by macro trends: premiumisation + hyper-local identity + sustainability narratives in modern cocktail culture.</w:t>
      </w:r>
      <w:r>
        <w:t xml:space="preserve"> </w:t>
      </w:r>
      <w:hyperlink r:id="rId30">
        <w:r>
          <w:rPr>
            <w:rStyle w:val="Hyperlink"/>
          </w:rPr>
          <w:t xml:space="preserve">[17]</w:t>
        </w:r>
      </w:hyperlink>
      <w:r>
        <w:br/>
      </w:r>
      <w:r>
        <w:rPr>
          <w:i/>
          <w:iCs/>
        </w:rPr>
        <w:t xml:space="preserve">(Visual: funnel roadmap with 3 phases; “Pilot → Reorder → Scale”.)</w:t>
      </w:r>
    </w:p>
    <w:p>
      <w:pPr>
        <w:pStyle w:val="BodyText"/>
      </w:pPr>
      <w:r>
        <w:rPr>
          <w:b/>
          <w:bCs/>
        </w:rPr>
        <w:t xml:space="preserve">Slide 9 — Business Model: Simple Engine, Premium Outcomes</w:t>
      </w:r>
      <w:r>
        <w:br/>
      </w:r>
      <w:r>
        <w:t xml:space="preserve">Revenue streams: trade reorders (B2B), direct-to-consumer (DTC), gifting/events + subscription refills.</w:t>
      </w:r>
      <w:r>
        <w:br/>
      </w:r>
      <w:r>
        <w:t xml:space="preserve">Price anchors exist in-market now (e.g., ~R69 for 30g garnish packs; ~R449.99 for 1kg dehydrated wheels), validating willingness to pay for convenience + presentation.</w:t>
      </w:r>
      <w:r>
        <w:t xml:space="preserve"> </w:t>
      </w:r>
      <w:hyperlink r:id="rId34">
        <w:r>
          <w:rPr>
            <w:rStyle w:val="Hyperlink"/>
          </w:rPr>
          <w:t xml:space="preserve">[18]</w:t>
        </w:r>
      </w:hyperlink>
      <w:r>
        <w:br/>
      </w:r>
      <w:r>
        <w:t xml:space="preserve">Margin expansion comes from repeat purchasing and efficient batch dehydration + packaging.</w:t>
      </w:r>
      <w:r>
        <w:br/>
      </w:r>
      <w:r>
        <w:rPr>
          <w:i/>
          <w:iCs/>
        </w:rPr>
        <w:t xml:space="preserve">(Visual: three-column revenue model; small “reorder flywheel”: accounts → consumption → reorder.)</w:t>
      </w:r>
    </w:p>
    <w:p>
      <w:pPr>
        <w:pStyle w:val="BodyText"/>
      </w:pPr>
      <w:r>
        <w:rPr>
          <w:b/>
          <w:bCs/>
        </w:rPr>
        <w:t xml:space="preserve">Slide 10 — Why MIXENI Wins: Designed Luxury + Operational Consistency</w:t>
      </w:r>
      <w:r>
        <w:br/>
      </w:r>
      <w:r>
        <w:t xml:space="preserve">Fresh fruit competes on availability; MIXENI competes on consistency, design, and readiness.</w:t>
      </w:r>
      <w:r>
        <w:br/>
      </w:r>
      <w:r>
        <w:t xml:space="preserve">Commodity garnishes are functional; MIXENI is a finishing house—signature aesthetic, bar-grade QC, and brandable presentation.</w:t>
      </w:r>
      <w:r>
        <w:br/>
      </w:r>
      <w:r>
        <w:t xml:space="preserve">Moat: premium packaging + consistent product spec + trade relationships + repeatable production systems.</w:t>
      </w:r>
      <w:r>
        <w:br/>
      </w:r>
      <w:r>
        <w:rPr>
          <w:i/>
          <w:iCs/>
        </w:rPr>
        <w:t xml:space="preserve">(Visual: competitor matrix: Fresh / Commodity dried / MIXENI with “Design + Consistency” in top-right.)</w:t>
      </w:r>
    </w:p>
    <w:p>
      <w:pPr>
        <w:pStyle w:val="BodyText"/>
      </w:pPr>
      <w:r>
        <w:rPr>
          <w:b/>
          <w:bCs/>
        </w:rPr>
        <w:t xml:space="preserve">Slide 11 — Financial Snapshot: 24-Month Outline (Base Case)</w:t>
      </w:r>
      <w:r>
        <w:br/>
      </w:r>
      <w:r>
        <w:t xml:space="preserve">A bar-first launch builds predictable reorders; DTC and gifting add margin and brand velocity.</w:t>
      </w:r>
      <w:r>
        <w:br/>
      </w:r>
      <w:r>
        <w:t xml:space="preserve">Target gross margin: ~60–70% blended (premium packaging balanced by low-cost raw inputs at scale; see assumptions in plan).</w:t>
      </w:r>
      <w:r>
        <w:br/>
      </w:r>
      <w:r>
        <w:t xml:space="preserve">Base-case outline: ~R8.5m revenue over 24 months (8-quarter view) with expanding channel mix.</w:t>
      </w:r>
      <w:r>
        <w:br/>
      </w:r>
      <w:r>
        <w:rPr>
          <w:i/>
          <w:iCs/>
        </w:rPr>
        <w:t xml:space="preserve">(Visual: clean stacked bars by quarter; three KPI tiles: Trade accounts, DTC orders, GM%.)</w:t>
      </w:r>
    </w:p>
    <w:p>
      <w:pPr>
        <w:pStyle w:val="BodyText"/>
      </w:pPr>
      <w:r>
        <w:rPr>
          <w:b/>
          <w:bCs/>
        </w:rPr>
        <w:t xml:space="preserve">Slide 12 — Funding Ask + 12-Month Milestones</w:t>
      </w:r>
      <w:r>
        <w:br/>
      </w:r>
      <w:r>
        <w:t xml:space="preserve">Raise: Seed capital to scale production, packaging, QC tooling, and bar acquisition.</w:t>
      </w:r>
      <w:r>
        <w:br/>
      </w:r>
      <w:r>
        <w:t xml:space="preserve">Use-of-funds prioritizes capacity + compliance + repeatable quality (premium brands are built on “same every time”).</w:t>
      </w:r>
      <w:r>
        <w:br/>
      </w:r>
      <w:r>
        <w:t xml:space="preserve">12 months to: stable production SOPs, 50–100 trade accounts, DTC + gifting system, and retail-ready ops.</w:t>
      </w:r>
      <w:r>
        <w:br/>
      </w:r>
      <w:r>
        <w:rPr>
          <w:i/>
          <w:iCs/>
        </w:rPr>
        <w:t xml:space="preserve">(Visual: use-of-funds table + 12-month gantt.)</w:t>
      </w:r>
    </w:p>
    <w:bookmarkEnd w:id="36"/>
    <w:bookmarkEnd w:id="37"/>
    <w:bookmarkStart w:id="41" w:name="business-plan-concise-510-pages-in-text"/>
    <w:p>
      <w:pPr>
        <w:pStyle w:val="Heading2"/>
      </w:pPr>
      <w:r>
        <w:t xml:space="preserve">Business plan (concise 5–10 pages in text)</w:t>
      </w:r>
    </w:p>
    <w:p>
      <w:pPr>
        <w:pStyle w:val="FirstParagraph"/>
      </w:pPr>
      <w:r>
        <w:rPr>
          <w:b/>
          <w:bCs/>
        </w:rPr>
        <w:t xml:space="preserve">Brand concept (one paragraph)</w:t>
      </w:r>
      <w:r>
        <w:br/>
      </w:r>
      <w:r>
        <w:t xml:space="preserve">MIXENI is a South African premium cocktail finishing brand producing dehydrated citrus wheels and preserved finishing elements that elevate cocktails with consistent presentation, aroma, and convenience. The business is intentionally simple (source fruit → slice → dehydrate → pack → sell) but positioned as luxury through design, repeatability, and bar-grade quality standards.</w:t>
      </w:r>
    </w:p>
    <w:p>
      <w:pPr>
        <w:pStyle w:val="BodyText"/>
      </w:pPr>
      <w:r>
        <w:rPr>
          <w:b/>
          <w:bCs/>
        </w:rPr>
        <w:t xml:space="preserve">Problem (hero: bars; supporting: households)</w:t>
      </w:r>
      <w:r>
        <w:br/>
      </w:r>
      <w:r>
        <w:t xml:space="preserve">In the on-trade, cocktail quality is judged by consistency and presentation, yet garnish fruit is perishable, variable, and labor-intensive. Bars and restaurants must buy fresh citrus frequently, prep daily, and accept spoilage risk when footfall is volatile. This creates three commercial failures: waste (repurchase), friction (labor/time), and inconsistency (brand experience). The scale of the opportunity is visible within the broader industry: Stats SA reports total “bar sales” across the food and beverage services industry at</w:t>
      </w:r>
      <w:r>
        <w:t xml:space="preserve"> </w:t>
      </w:r>
      <w:r>
        <w:rPr>
          <w:b/>
          <w:bCs/>
        </w:rPr>
        <w:t xml:space="preserve">~R841.6m in June 2025</w:t>
      </w:r>
      <w:r>
        <w:t xml:space="preserve">, with Jan–Jun 2025 averaging roughly</w:t>
      </w:r>
      <w:r>
        <w:t xml:space="preserve"> </w:t>
      </w:r>
      <w:r>
        <w:rPr>
          <w:b/>
          <w:bCs/>
        </w:rPr>
        <w:t xml:space="preserve">~R941m/month</w:t>
      </w:r>
      <w:r>
        <w:t xml:space="preserve">.</w:t>
      </w:r>
      <w:r>
        <w:t xml:space="preserve"> </w:t>
      </w:r>
      <w:hyperlink r:id="rId21">
        <w:r>
          <w:rPr>
            <w:rStyle w:val="Hyperlink"/>
          </w:rPr>
          <w:t xml:space="preserve">[1]</w:t>
        </w:r>
      </w:hyperlink>
    </w:p>
    <w:p>
      <w:pPr>
        <w:pStyle w:val="BodyText"/>
      </w:pPr>
      <w:r>
        <w:t xml:space="preserve">The supporting problem is household waste. National research estimates South Africa generates</w:t>
      </w:r>
      <w:r>
        <w:t xml:space="preserve"> </w:t>
      </w:r>
      <w:r>
        <w:rPr>
          <w:b/>
          <w:bCs/>
        </w:rPr>
        <w:t xml:space="preserve">~10.3m tonnes/year</w:t>
      </w:r>
      <w:r>
        <w:t xml:space="preserve"> </w:t>
      </w:r>
      <w:r>
        <w:t xml:space="preserve">of food losses and waste, with consumption-stage waste becoming more significant.</w:t>
      </w:r>
      <w:r>
        <w:t xml:space="preserve"> </w:t>
      </w:r>
      <w:hyperlink r:id="rId22">
        <w:r>
          <w:rPr>
            <w:rStyle w:val="Hyperlink"/>
          </w:rPr>
          <w:t xml:space="preserve">[2]</w:t>
        </w:r>
      </w:hyperlink>
      <w:r>
        <w:t xml:space="preserve"> </w:t>
      </w:r>
      <w:r>
        <w:t xml:space="preserve">A CSIR guideline also notes average household waste generation benchmarks (e.g.,</w:t>
      </w:r>
      <w:r>
        <w:t xml:space="preserve"> </w:t>
      </w:r>
      <w:r>
        <w:rPr>
          <w:b/>
          <w:bCs/>
        </w:rPr>
        <w:t xml:space="preserve">~6kg per household per week</w:t>
      </w:r>
      <w:r>
        <w:t xml:space="preserve">), reinforcing why shelf-stable formats matter.</w:t>
      </w:r>
      <w:r>
        <w:t xml:space="preserve"> </w:t>
      </w:r>
      <w:hyperlink r:id="rId23">
        <w:r>
          <w:rPr>
            <w:rStyle w:val="Hyperlink"/>
          </w:rPr>
          <w:t xml:space="preserve">[3]</w:t>
        </w:r>
      </w:hyperlink>
      <w:r>
        <w:t xml:space="preserve"> </w:t>
      </w:r>
      <w:r>
        <w:t xml:space="preserve">MIXENI uses this layer to widen relevance while keeping bars as the primary commercial wedge.</w:t>
      </w:r>
    </w:p>
    <w:p>
      <w:pPr>
        <w:pStyle w:val="BodyText"/>
      </w:pPr>
      <w:r>
        <w:rPr>
          <w:b/>
          <w:bCs/>
        </w:rPr>
        <w:t xml:space="preserve">Solution</w:t>
      </w:r>
      <w:r>
        <w:br/>
      </w:r>
      <w:r>
        <w:t xml:space="preserve">MIXENI replaces fragile fresh garnish with a premium preserved format: dehydrated citrus wheels and curated finishing elements optimized for cocktail workflow. Properly dried fruits, stored in suitable conditions, commonly maintain quality for months; the National Center for Home Food Preservation notes most dried fruits can store up to</w:t>
      </w:r>
      <w:r>
        <w:t xml:space="preserve"> </w:t>
      </w:r>
      <w:r>
        <w:rPr>
          <w:b/>
          <w:bCs/>
        </w:rPr>
        <w:t xml:space="preserve">~6 months in warmer storage and ~1 year in cooler conditions</w:t>
      </w:r>
      <w:r>
        <w:t xml:space="preserve"> </w:t>
      </w:r>
      <w:r>
        <w:t xml:space="preserve">(quality guidance), supporting a shelf-stable proposition.</w:t>
      </w:r>
      <w:r>
        <w:t xml:space="preserve"> </w:t>
      </w:r>
      <w:hyperlink r:id="rId24">
        <w:r>
          <w:rPr>
            <w:rStyle w:val="Hyperlink"/>
          </w:rPr>
          <w:t xml:space="preserve">[4]</w:t>
        </w:r>
      </w:hyperlink>
      <w:r>
        <w:t xml:space="preserve"> </w:t>
      </w:r>
      <w:r>
        <w:t xml:space="preserve">The result is a practical upgrade: consistent citrus finishing without daily prep pressure.</w:t>
      </w:r>
    </w:p>
    <w:p>
      <w:pPr>
        <w:pStyle w:val="BodyText"/>
      </w:pPr>
      <w:r>
        <w:rPr>
          <w:b/>
          <w:bCs/>
        </w:rPr>
        <w:t xml:space="preserve">Product line (initial SKUs + packaging logic)</w:t>
      </w:r>
      <w:r>
        <w:br/>
      </w:r>
      <w:r>
        <w:t xml:space="preserve">MIXENI should launch with a tight, iconic citrus core and add “signature sets” that feel like objects. Category proof in South Africa shows adjacent “premium bar products” already exist (dehydrated wheels, botanicals, syrups), validating local demand while leaving white space for a more luxury-coded system brand.</w:t>
      </w:r>
      <w:r>
        <w:t xml:space="preserve"> </w:t>
      </w:r>
      <w:hyperlink r:id="rId25">
        <w:r>
          <w:rPr>
            <w:rStyle w:val="Hyperlink"/>
          </w:rPr>
          <w:t xml:space="preserve">[5]</w:t>
        </w:r>
      </w:hyperlink>
    </w:p>
    <w:p>
      <w:pPr>
        <w:pStyle w:val="BodyText"/>
      </w:pPr>
      <w:r>
        <w:t xml:space="preserve">Initial product families:</w:t>
      </w:r>
      <w:r>
        <w:br/>
      </w:r>
      <w:r>
        <w:t xml:space="preserve">1)</w:t>
      </w:r>
      <w:r>
        <w:t xml:space="preserve"> </w:t>
      </w:r>
      <w:r>
        <w:rPr>
          <w:b/>
          <w:bCs/>
        </w:rPr>
        <w:t xml:space="preserve">Bar Essentials (B2B)</w:t>
      </w:r>
      <w:r>
        <w:t xml:space="preserve">: Lemon, lime, orange, grapefruit wheels. Formats: 1kg resealable packs, plus 250g/500g operational sizes.</w:t>
      </w:r>
      <w:r>
        <w:br/>
      </w:r>
      <w:r>
        <w:t xml:space="preserve">2)</w:t>
      </w:r>
      <w:r>
        <w:t xml:space="preserve"> </w:t>
      </w:r>
      <w:r>
        <w:rPr>
          <w:b/>
          <w:bCs/>
        </w:rPr>
        <w:t xml:space="preserve">Home Editions (DTC)</w:t>
      </w:r>
      <w:r>
        <w:t xml:space="preserve">: Glass jars or premium pouches; recipe cards; “host-ready” bundles.</w:t>
      </w:r>
      <w:r>
        <w:br/>
      </w:r>
      <w:r>
        <w:t xml:space="preserve">3)</w:t>
      </w:r>
      <w:r>
        <w:t xml:space="preserve"> </w:t>
      </w:r>
      <w:r>
        <w:rPr>
          <w:b/>
          <w:bCs/>
        </w:rPr>
        <w:t xml:space="preserve">Signature Sets (Gifting)</w:t>
      </w:r>
      <w:r>
        <w:t xml:space="preserve">: curated multi-citrus sets with a tactile box, minimal typography, and serve suggestions (e.g., “Citrus + Spice” set).</w:t>
      </w:r>
    </w:p>
    <w:p>
      <w:pPr>
        <w:pStyle w:val="BodyText"/>
      </w:pPr>
      <w:r>
        <w:t xml:space="preserve">Suggested pricing architecture should align with existing South African anchors: a 1kg dehydrated lemon wheels pack is sold locally at</w:t>
      </w:r>
      <w:r>
        <w:t xml:space="preserve"> </w:t>
      </w:r>
      <w:r>
        <w:rPr>
          <w:b/>
          <w:bCs/>
        </w:rPr>
        <w:t xml:space="preserve">~R449.99</w:t>
      </w:r>
      <w:r>
        <w:t xml:space="preserve">; smaller garnish packs in retail sit around</w:t>
      </w:r>
      <w:r>
        <w:t xml:space="preserve"> </w:t>
      </w:r>
      <w:r>
        <w:rPr>
          <w:b/>
          <w:bCs/>
        </w:rPr>
        <w:t xml:space="preserve">~R69</w:t>
      </w:r>
      <w:r>
        <w:t xml:space="preserve"> </w:t>
      </w:r>
      <w:r>
        <w:t xml:space="preserve">for ~30g and</w:t>
      </w:r>
      <w:r>
        <w:t xml:space="preserve"> </w:t>
      </w:r>
      <w:r>
        <w:rPr>
          <w:b/>
          <w:bCs/>
        </w:rPr>
        <w:t xml:space="preserve">~R85</w:t>
      </w:r>
      <w:r>
        <w:t xml:space="preserve"> </w:t>
      </w:r>
      <w:r>
        <w:t xml:space="preserve">for ~100g depending on brand.</w:t>
      </w:r>
      <w:r>
        <w:t xml:space="preserve"> </w:t>
      </w:r>
      <w:hyperlink r:id="rId26">
        <w:r>
          <w:rPr>
            <w:rStyle w:val="Hyperlink"/>
          </w:rPr>
          <w:t xml:space="preserve">[19]</w:t>
        </w:r>
      </w:hyperlink>
      <w:r>
        <w:t xml:space="preserve"> </w:t>
      </w:r>
      <w:r>
        <w:t xml:space="preserve">MIXENI can price at a premium to commodity products via packaging and spec consistency, while still remaining within credible local ranges.</w:t>
      </w:r>
    </w:p>
    <w:p>
      <w:pPr>
        <w:pStyle w:val="BodyText"/>
      </w:pPr>
      <w:r>
        <w:rPr>
          <w:b/>
          <w:bCs/>
        </w:rPr>
        <w:t xml:space="preserve">Target segments (who pays first and why)</w:t>
      </w:r>
      <w:r>
        <w:br/>
      </w:r>
      <w:r>
        <w:t xml:space="preserve">Primary customers are on-trade venues where consistency converts directly to margin and repeat patronage. Secondary customers are households seeking “effortless hosting” and reduced fruit spoilage at home. South Africa has</w:t>
      </w:r>
      <w:r>
        <w:t xml:space="preserve"> </w:t>
      </w:r>
      <w:r>
        <w:rPr>
          <w:b/>
          <w:bCs/>
        </w:rPr>
        <w:t xml:space="preserve">~19.6m households</w:t>
      </w:r>
      <w:r>
        <w:t xml:space="preserve"> </w:t>
      </w:r>
      <w:r>
        <w:t xml:space="preserve">(Stats SA estimate benchmarked in GHS), supporting a scalable DTC narrative even if early traction is bar-led.</w:t>
      </w:r>
      <w:r>
        <w:t xml:space="preserve"> </w:t>
      </w:r>
      <w:hyperlink r:id="rId33">
        <w:r>
          <w:rPr>
            <w:rStyle w:val="Hyperlink"/>
          </w:rPr>
          <w:t xml:space="preserve">[13]</w:t>
        </w:r>
      </w:hyperlink>
      <w:r>
        <w:t xml:space="preserve"> </w:t>
      </w:r>
      <w:r>
        <w:t xml:space="preserve">Tertiary customers are corporate gifting and events (high margin, brand visibility).</w:t>
      </w:r>
    </w:p>
    <w:p>
      <w:pPr>
        <w:pStyle w:val="BodyText"/>
      </w:pPr>
      <w:r>
        <w:rPr>
          <w:b/>
          <w:bCs/>
        </w:rPr>
        <w:t xml:space="preserve">Personas (use in deck + GTM messaging)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Persona</w:t>
            </w:r>
          </w:p>
        </w:tc>
        <w:tc>
          <w:tcPr/>
          <w:p>
            <w:pPr>
              <w:pStyle w:val="Compact"/>
            </w:pPr>
            <w:r>
              <w:t xml:space="preserve">Context</w:t>
            </w:r>
          </w:p>
        </w:tc>
        <w:tc>
          <w:tcPr/>
          <w:p>
            <w:pPr>
              <w:pStyle w:val="Compact"/>
            </w:pPr>
            <w:r>
              <w:t xml:space="preserve">Core pain</w:t>
            </w:r>
          </w:p>
        </w:tc>
        <w:tc>
          <w:tcPr/>
          <w:p>
            <w:pPr>
              <w:pStyle w:val="Compact"/>
            </w:pPr>
            <w:r>
              <w:t xml:space="preserve">What they buy</w:t>
            </w:r>
          </w:p>
        </w:tc>
        <w:tc>
          <w:tcPr/>
          <w:p>
            <w:pPr>
              <w:pStyle w:val="Compact"/>
            </w:pPr>
            <w:r>
              <w:t xml:space="preserve">Purchase trigger</w:t>
            </w:r>
          </w:p>
        </w:tc>
        <w:tc>
          <w:tcPr/>
          <w:p>
            <w:pPr>
              <w:pStyle w:val="Compact"/>
            </w:pPr>
            <w:r>
              <w:t xml:space="preserve">Channel</w:t>
            </w:r>
          </w:p>
        </w:tc>
      </w:tr>
      <w:tr>
        <w:tc>
          <w:tcPr/>
          <w:p>
            <w:pPr>
              <w:pStyle w:val="Compact"/>
            </w:pPr>
            <w:r>
              <w:t xml:space="preserve">The Bar Manager (“Consistency Buyer”)</w:t>
            </w:r>
          </w:p>
        </w:tc>
        <w:tc>
          <w:tcPr/>
          <w:p>
            <w:pPr>
              <w:pStyle w:val="Compact"/>
            </w:pPr>
            <w:r>
              <w:t xml:space="preserve">Premium bar / restaurant</w:t>
            </w:r>
          </w:p>
        </w:tc>
        <w:tc>
          <w:tcPr/>
          <w:p>
            <w:pPr>
              <w:pStyle w:val="Compact"/>
            </w:pPr>
            <w:r>
              <w:t xml:space="preserve">Spoilage + prep time + inconsistent presentation</w:t>
            </w:r>
          </w:p>
        </w:tc>
        <w:tc>
          <w:tcPr/>
          <w:p>
            <w:pPr>
              <w:pStyle w:val="Compact"/>
            </w:pPr>
            <w:r>
              <w:t xml:space="preserve">Bulk Bar Essentials + monthly refills</w:t>
            </w:r>
          </w:p>
        </w:tc>
        <w:tc>
          <w:tcPr/>
          <w:p>
            <w:pPr>
              <w:pStyle w:val="Compact"/>
            </w:pPr>
            <w:r>
              <w:t xml:space="preserve">“We need the serve to look identical every night.”</w:t>
            </w:r>
          </w:p>
        </w:tc>
        <w:tc>
          <w:tcPr/>
          <w:p>
            <w:pPr>
              <w:pStyle w:val="Compact"/>
            </w:pPr>
            <w:r>
              <w:t xml:space="preserve">Direct sales, distributor, trade trials</w:t>
            </w:r>
          </w:p>
        </w:tc>
      </w:tr>
      <w:tr>
        <w:tc>
          <w:tcPr/>
          <w:p>
            <w:pPr>
              <w:pStyle w:val="Compact"/>
            </w:pPr>
            <w:r>
              <w:t xml:space="preserve">The Design-Forward Host (“Effortless Luxury”)</w:t>
            </w:r>
          </w:p>
        </w:tc>
        <w:tc>
          <w:tcPr/>
          <w:p>
            <w:pPr>
              <w:pStyle w:val="Compact"/>
            </w:pPr>
            <w:r>
              <w:t xml:space="preserve">Young professional hosting at home</w:t>
            </w:r>
          </w:p>
        </w:tc>
        <w:tc>
          <w:tcPr/>
          <w:p>
            <w:pPr>
              <w:pStyle w:val="Compact"/>
            </w:pPr>
            <w:r>
              <w:t xml:space="preserve">Wants impressive drinks without skills; hates wasted fruit</w:t>
            </w:r>
          </w:p>
        </w:tc>
        <w:tc>
          <w:tcPr/>
          <w:p>
            <w:pPr>
              <w:pStyle w:val="Compact"/>
            </w:pPr>
            <w:r>
              <w:t xml:space="preserve">Home Editions + refill subscription</w:t>
            </w:r>
          </w:p>
        </w:tc>
        <w:tc>
          <w:tcPr/>
          <w:p>
            <w:pPr>
              <w:pStyle w:val="Compact"/>
            </w:pPr>
            <w:r>
              <w:t xml:space="preserve">“I want it to feel like a hotel bar at home.”</w:t>
            </w:r>
          </w:p>
        </w:tc>
        <w:tc>
          <w:tcPr/>
          <w:p>
            <w:pPr>
              <w:pStyle w:val="Compact"/>
            </w:pPr>
            <w:r>
              <w:t xml:space="preserve">DTC, social commerce, select retail</w:t>
            </w:r>
          </w:p>
        </w:tc>
      </w:tr>
      <w:tr>
        <w:tc>
          <w:tcPr/>
          <w:p>
            <w:pPr>
              <w:pStyle w:val="Compact"/>
            </w:pPr>
            <w:r>
              <w:t xml:space="preserve">The Corporate Gift Curator (“Premium Object”)</w:t>
            </w:r>
          </w:p>
        </w:tc>
        <w:tc>
          <w:tcPr/>
          <w:p>
            <w:pPr>
              <w:pStyle w:val="Compact"/>
            </w:pPr>
            <w:r>
              <w:t xml:space="preserve">HR / client gifting</w:t>
            </w:r>
          </w:p>
        </w:tc>
        <w:tc>
          <w:tcPr/>
          <w:p>
            <w:pPr>
              <w:pStyle w:val="Compact"/>
            </w:pPr>
            <w:r>
              <w:t xml:space="preserve">Needs unique, premium, local, reliable supply</w:t>
            </w:r>
          </w:p>
        </w:tc>
        <w:tc>
          <w:tcPr/>
          <w:p>
            <w:pPr>
              <w:pStyle w:val="Compact"/>
            </w:pPr>
            <w:r>
              <w:t xml:space="preserve">Signature gift sets (branded sleeves optional)</w:t>
            </w:r>
          </w:p>
        </w:tc>
        <w:tc>
          <w:tcPr/>
          <w:p>
            <w:pPr>
              <w:pStyle w:val="Compact"/>
            </w:pPr>
            <w:r>
              <w:t xml:space="preserve">“We need gifts that feel intentional.”</w:t>
            </w:r>
          </w:p>
        </w:tc>
        <w:tc>
          <w:tcPr/>
          <w:p>
            <w:pPr>
              <w:pStyle w:val="Compact"/>
            </w:pPr>
            <w:r>
              <w:t xml:space="preserve">Direct B2B gifting, partnerships</w:t>
            </w:r>
          </w:p>
        </w:tc>
      </w:tr>
    </w:tbl>
    <w:p>
      <w:pPr>
        <w:pStyle w:val="BodyText"/>
      </w:pPr>
      <w:r>
        <w:rPr>
          <w:b/>
          <w:bCs/>
        </w:rPr>
        <w:t xml:space="preserve">Competitive analysis (what exists; where MIXENI differentiates)</w:t>
      </w:r>
      <w:r>
        <w:br/>
      </w:r>
      <w:r>
        <w:t xml:space="preserve">MIXENI competes against three categories:</w:t>
      </w:r>
      <w:r>
        <w:br/>
      </w:r>
      <w:r>
        <w:t xml:space="preserve">Fresh fruit garnish (default but wasteful and inconsistent), commodity dehydrated garnish (functional, less brand value), and existing premium bar suppliers. South African providers already offer premium-adjacent dehydrated garnishes and broader bar inputs, confirming the category is real.</w:t>
      </w:r>
      <w:r>
        <w:t xml:space="preserve"> </w:t>
      </w:r>
      <w:hyperlink r:id="rId25">
        <w:r>
          <w:rPr>
            <w:rStyle w:val="Hyperlink"/>
          </w:rPr>
          <w:t xml:space="preserve">[5]</w:t>
        </w:r>
      </w:hyperlink>
      <w:r>
        <w:t xml:space="preserve"> </w:t>
      </w:r>
      <w:r>
        <w:t xml:space="preserve">Retail presence of garnish packs (including major grocers handling dehydrated cocktail garnish products) shows mainstream adjacency and price acceptability.</w:t>
      </w:r>
      <w:r>
        <w:t xml:space="preserve"> </w:t>
      </w:r>
      <w:hyperlink r:id="rId34">
        <w:r>
          <w:rPr>
            <w:rStyle w:val="Hyperlink"/>
          </w:rPr>
          <w:t xml:space="preserve">[20]</w:t>
        </w:r>
      </w:hyperlink>
    </w:p>
    <w:p>
      <w:pPr>
        <w:pStyle w:val="BodyText"/>
      </w:pPr>
      <w:r>
        <w:t xml:space="preserve">MIXENI differentiation should be explicit and luxury-coded:</w:t>
      </w:r>
      <w:r>
        <w:br/>
      </w:r>
      <w:r>
        <w:t xml:space="preserve">Design-first packaging, consistent cut/thickness and color standards, bar-grade reliability, and curated finishing sets that make MIXENI a “system brand,” not a single-SKU garnish supplier.</w:t>
      </w:r>
    </w:p>
    <w:p>
      <w:pPr>
        <w:pStyle w:val="BodyText"/>
      </w:pPr>
      <w:r>
        <w:rPr>
          <w:b/>
          <w:bCs/>
        </w:rPr>
        <w:t xml:space="preserve">Go-to-market strategy (bar-first plan)</w:t>
      </w:r>
      <w:r>
        <w:br/>
      </w:r>
      <w:r>
        <w:t xml:space="preserve">Phase 1 (0–4 months): pilot with 10–20 flagship venues in Johannesburg and Cape Town; provide trial kits and co-create 1–2 “signature serves” each (venue-specific). Reorder behavior is the KPI.</w:t>
      </w:r>
      <w:r>
        <w:br/>
      </w:r>
      <w:r>
        <w:t xml:space="preserve">Phase 2 (3–8 months): DTC launch with recipes, host culture content, and bundles. Subscription should be “refill-only” (low friction).</w:t>
      </w:r>
      <w:r>
        <w:br/>
      </w:r>
      <w:r>
        <w:t xml:space="preserve">Phase 3 (6–12 months): selective retail and gifting. Only pursue retail once production SOPs, batch coding, and shelf-life labeling are standardized to premium expectations.</w:t>
      </w:r>
    </w:p>
    <w:p>
      <w:pPr>
        <w:pStyle w:val="BodyText"/>
      </w:pPr>
      <w:r>
        <w:t xml:space="preserve">Trend alignment strengthens adoption: premiumisation and hyper-local storytelling are emphasized in bar strategy content (industry-facing), giving MIXENI a credible “local craft” narrative rather than generic garnish.</w:t>
      </w:r>
      <w:r>
        <w:t xml:space="preserve"> </w:t>
      </w:r>
      <w:hyperlink r:id="rId31">
        <w:r>
          <w:rPr>
            <w:rStyle w:val="Hyperlink"/>
          </w:rPr>
          <w:t xml:space="preserve">[14]</w:t>
        </w:r>
      </w:hyperlink>
    </w:p>
    <w:p>
      <w:pPr>
        <w:pStyle w:val="BodyText"/>
      </w:pPr>
      <w:r>
        <w:rPr>
          <w:b/>
          <w:bCs/>
        </w:rPr>
        <w:t xml:space="preserve">Operations plan (sourcing → dehydration → packaging → QC)</w:t>
      </w:r>
      <w:r>
        <w:br/>
      </w:r>
      <w:r>
        <w:t xml:space="preserve">Sourcing: build relationships with local wholesalers and citrus suppliers; explore “seconds/surplus” procurement where cosmetically imperfect fruit can be trimmed but flavor remains strong. South Africa’s citrus sector is globally scaled; CGA reports</w:t>
      </w:r>
      <w:r>
        <w:t xml:space="preserve"> </w:t>
      </w:r>
      <w:r>
        <w:rPr>
          <w:b/>
          <w:bCs/>
        </w:rPr>
        <w:t xml:space="preserve">203.4m 15kg cartons packed for export in 2025</w:t>
      </w:r>
      <w:r>
        <w:t xml:space="preserve">, supporting the feasibility of large, consistent supply partnerships.</w:t>
      </w:r>
      <w:r>
        <w:t xml:space="preserve"> </w:t>
      </w:r>
      <w:hyperlink r:id="rId27">
        <w:r>
          <w:rPr>
            <w:rStyle w:val="Hyperlink"/>
          </w:rPr>
          <w:t xml:space="preserve">[7]</w:t>
        </w:r>
      </w:hyperlink>
    </w:p>
    <w:p>
      <w:pPr>
        <w:pStyle w:val="BodyText"/>
      </w:pPr>
      <w:r>
        <w:t xml:space="preserve">Dehydration workflow:</w:t>
      </w:r>
      <w:r>
        <w:br/>
      </w:r>
      <w:r>
        <w:t xml:space="preserve">Slicing (consistent thickness) → optional pre-treatment for color stability → dehydration with controlled temperature/time → cooling → moisture control checks → packing with batch codes.</w:t>
      </w:r>
    </w:p>
    <w:p>
      <w:pPr>
        <w:pStyle w:val="BodyText"/>
      </w:pPr>
      <w:r>
        <w:t xml:space="preserve">Packaging:</w:t>
      </w:r>
      <w:r>
        <w:br/>
      </w:r>
      <w:r>
        <w:t xml:space="preserve">B2B: resealable pouches sized for bar storage and speed.</w:t>
      </w:r>
      <w:r>
        <w:br/>
      </w:r>
      <w:r>
        <w:t xml:space="preserve">DTC/gifting: glass jars or premium pouches inside rigid boxes; minimal label design; recipe/serve cards.</w:t>
      </w:r>
    </w:p>
    <w:p>
      <w:pPr>
        <w:pStyle w:val="BodyText"/>
      </w:pPr>
      <w:r>
        <w:t xml:space="preserve">Quality control:</w:t>
      </w:r>
      <w:r>
        <w:br/>
      </w:r>
      <w:r>
        <w:t xml:space="preserve">Batch traceability, dryness/texture checks, periodic shelf-life validation, packaging integrity tests. Shelf-life claims should be conservative and aligned to recognized storage guidance for dried foods.</w:t>
      </w:r>
      <w:r>
        <w:t xml:space="preserve"> </w:t>
      </w:r>
      <w:hyperlink r:id="rId24">
        <w:r>
          <w:rPr>
            <w:rStyle w:val="Hyperlink"/>
          </w:rPr>
          <w:t xml:space="preserve">[21]</w:t>
        </w:r>
      </w:hyperlink>
    </w:p>
    <w:p>
      <w:pPr>
        <w:pStyle w:val="BodyText"/>
      </w:pPr>
      <w:r>
        <w:t xml:space="preserve">Regulatory/labeling:</w:t>
      </w:r>
      <w:r>
        <w:br/>
      </w:r>
      <w:r>
        <w:t xml:space="preserve">Design labels to meet South African food labeling and advertising requirements under national regulations (including date marking, batch identification, storage instructions, ingredient lists, and standard identity disclosures).</w:t>
      </w:r>
      <w:r>
        <w:t xml:space="preserve"> </w:t>
      </w:r>
      <w:hyperlink r:id="rId28">
        <w:r>
          <w:rPr>
            <w:rStyle w:val="Hyperlink"/>
          </w:rPr>
          <w:t xml:space="preserve">[8]</w:t>
        </w:r>
      </w:hyperlink>
    </w:p>
    <w:p>
      <w:pPr>
        <w:pStyle w:val="BodyText"/>
      </w:pPr>
      <w:r>
        <w:rPr>
          <w:b/>
          <w:bCs/>
        </w:rPr>
        <w:t xml:space="preserve">R&amp;D note: airfryer tests vs dedicated dehydrator (time + energy tradeoff)</w:t>
      </w:r>
      <w:r>
        <w:br/>
      </w:r>
      <w:r>
        <w:t xml:space="preserve">Early prototyping can be done at home, but production should move to a dehydrator quickly for consistency and efficiency. A high-end airfryer can draw ~</w:t>
      </w:r>
      <w:r>
        <w:rPr>
          <w:b/>
          <w:bCs/>
        </w:rPr>
        <w:t xml:space="preserve">1700W</w:t>
      </w:r>
      <w:r>
        <w:t xml:space="preserve"> </w:t>
      </w:r>
      <w:r>
        <w:t xml:space="preserve">(example Philips 2000 Series spec), while a typical quality dehydrator may draw ~</w:t>
      </w:r>
      <w:r>
        <w:rPr>
          <w:b/>
          <w:bCs/>
        </w:rPr>
        <w:t xml:space="preserve">600W</w:t>
      </w:r>
      <w:r>
        <w:t xml:space="preserve"> </w:t>
      </w:r>
      <w:r>
        <w:t xml:space="preserve">(example Cosori unit rated at 600W).</w:t>
      </w:r>
      <w:r>
        <w:t xml:space="preserve"> </w:t>
      </w:r>
      <w:hyperlink r:id="rId38">
        <w:r>
          <w:rPr>
            <w:rStyle w:val="Hyperlink"/>
          </w:rPr>
          <w:t xml:space="preserve">[22]</w:t>
        </w:r>
      </w:hyperlink>
    </w:p>
    <w:p>
      <w:pPr>
        <w:pStyle w:val="BodyText"/>
      </w:pPr>
      <w:r>
        <w:t xml:space="preserve">Operational implication: even if airfryer runs shorter cycles, it is typically higher power, smaller capacity, and ties up a core appliance; dehydrators run longer but handle larger batches with more consistent airflow and lower power draw per hour. This matters for unit economics (electricity + labor) and premium consistency (uniform color/texture).</w:t>
      </w:r>
    </w:p>
    <w:p>
      <w:pPr>
        <w:pStyle w:val="BodyText"/>
      </w:pPr>
      <w:r>
        <w:rPr>
          <w:b/>
          <w:bCs/>
        </w:rPr>
        <w:t xml:space="preserve">Basic financial model assumptions (investor-friendly, adjustable)</w:t>
      </w:r>
      <w:r>
        <w:br/>
      </w:r>
      <w:r>
        <w:t xml:space="preserve">Pricing (illustrative, aligned to SA anchors):</w:t>
      </w:r>
      <w:r>
        <w:br/>
      </w:r>
      <w:r>
        <w:t xml:space="preserve">B2B 1kg bulk pack: R450–R550 (anchor: 1kg pack at ~R449.99 in market).</w:t>
      </w:r>
      <w:r>
        <w:t xml:space="preserve"> </w:t>
      </w:r>
      <w:hyperlink r:id="rId26">
        <w:r>
          <w:rPr>
            <w:rStyle w:val="Hyperlink"/>
          </w:rPr>
          <w:t xml:space="preserve">[23]</w:t>
        </w:r>
      </w:hyperlink>
      <w:r>
        <w:br/>
      </w:r>
      <w:r>
        <w:t xml:space="preserve">DTC 30g pouch: R69–R89 (anchor: ~R69 retail).</w:t>
      </w:r>
      <w:r>
        <w:t xml:space="preserve"> </w:t>
      </w:r>
      <w:hyperlink r:id="rId34">
        <w:r>
          <w:rPr>
            <w:rStyle w:val="Hyperlink"/>
          </w:rPr>
          <w:t xml:space="preserve">[20]</w:t>
        </w:r>
      </w:hyperlink>
      <w:r>
        <w:br/>
      </w:r>
      <w:r>
        <w:t xml:space="preserve">DTC premium jar (60–100g): R129–R199 (premium packaging uplift).</w:t>
      </w:r>
      <w:r>
        <w:br/>
      </w:r>
      <w:r>
        <w:t xml:space="preserve">Gift sets: R399–R899 depending on size/box.</w:t>
      </w:r>
    </w:p>
    <w:p>
      <w:pPr>
        <w:pStyle w:val="BodyText"/>
      </w:pPr>
      <w:r>
        <w:t xml:space="preserve">COGS (high-level): raw fruit + utilities + labor + packaging. Premium packaging increases COGS but supports margin via price and giftability.</w:t>
      </w:r>
      <w:r>
        <w:br/>
      </w:r>
      <w:r>
        <w:t xml:space="preserve">Target gross margin: 60–70% blended once batch sizes stabilize. (This is a planning target; actuals must be validated in pilot.)</w:t>
      </w:r>
    </w:p>
    <w:p>
      <w:pPr>
        <w:pStyle w:val="BodyText"/>
      </w:pPr>
      <w:r>
        <w:t xml:space="preserve">Demand (base-case logic): bar accounts reorder monthly; DTC grows via bundles and content; gifting spikes seasonally (Q4).</w:t>
      </w:r>
    </w:p>
    <w:bookmarkStart w:id="39" w:name="Xbb033c0f4d0427ecd98d451e204f1cedf2c3619"/>
    <w:p>
      <w:pPr>
        <w:pStyle w:val="Heading3"/>
      </w:pPr>
      <w:r>
        <w:t xml:space="preserve">24-month revenue scenario table (base case; quarterly)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Quarter</w:t>
            </w:r>
          </w:p>
        </w:tc>
        <w:tc>
          <w:tcPr/>
          <w:p>
            <w:pPr>
              <w:pStyle w:val="Compact"/>
              <w:jc w:val="right"/>
            </w:pPr>
            <w:r>
              <w:t xml:space="preserve">Trade (bars/hospitality)</w:t>
            </w:r>
          </w:p>
        </w:tc>
        <w:tc>
          <w:tcPr/>
          <w:p>
            <w:pPr>
              <w:pStyle w:val="Compact"/>
              <w:jc w:val="right"/>
            </w:pPr>
            <w:r>
              <w:t xml:space="preserve">DTC (home)</w:t>
            </w:r>
          </w:p>
        </w:tc>
        <w:tc>
          <w:tcPr/>
          <w:p>
            <w:pPr>
              <w:pStyle w:val="Compact"/>
              <w:jc w:val="right"/>
            </w:pPr>
            <w:r>
              <w:t xml:space="preserve">Gifting/events</w:t>
            </w:r>
          </w:p>
        </w:tc>
        <w:tc>
          <w:tcPr/>
          <w:p>
            <w:pPr>
              <w:pStyle w:val="Compact"/>
              <w:jc w:val="right"/>
            </w:pPr>
            <w:r>
              <w:t xml:space="preserve">Total revenue</w:t>
            </w:r>
          </w:p>
        </w:tc>
      </w:tr>
      <w:tr>
        <w:tc>
          <w:tcPr/>
          <w:p>
            <w:pPr>
              <w:pStyle w:val="Compact"/>
            </w:pPr>
            <w:r>
              <w:t xml:space="preserve">Q2 2026</w:t>
            </w:r>
          </w:p>
        </w:tc>
        <w:tc>
          <w:tcPr/>
          <w:p>
            <w:pPr>
              <w:pStyle w:val="Compact"/>
              <w:jc w:val="right"/>
            </w:pPr>
            <w:r>
              <w:t xml:space="preserve">R60,000</w:t>
            </w:r>
          </w:p>
        </w:tc>
        <w:tc>
          <w:tcPr/>
          <w:p>
            <w:pPr>
              <w:pStyle w:val="Compact"/>
              <w:jc w:val="right"/>
            </w:pPr>
            <w:r>
              <w:t xml:space="preserve">R210,000</w:t>
            </w:r>
          </w:p>
        </w:tc>
        <w:tc>
          <w:tcPr/>
          <w:p>
            <w:pPr>
              <w:pStyle w:val="Compact"/>
              <w:jc w:val="right"/>
            </w:pPr>
            <w:r>
              <w:t xml:space="preserve">R40,000</w:t>
            </w:r>
          </w:p>
        </w:tc>
        <w:tc>
          <w:tcPr/>
          <w:p>
            <w:pPr>
              <w:pStyle w:val="Compact"/>
              <w:jc w:val="right"/>
            </w:pPr>
            <w:r>
              <w:t xml:space="preserve">R310,000</w:t>
            </w:r>
          </w:p>
        </w:tc>
      </w:tr>
      <w:tr>
        <w:tc>
          <w:tcPr/>
          <w:p>
            <w:pPr>
              <w:pStyle w:val="Compact"/>
            </w:pPr>
            <w:r>
              <w:t xml:space="preserve">Q3 2026</w:t>
            </w:r>
          </w:p>
        </w:tc>
        <w:tc>
          <w:tcPr/>
          <w:p>
            <w:pPr>
              <w:pStyle w:val="Compact"/>
              <w:jc w:val="right"/>
            </w:pPr>
            <w:r>
              <w:t xml:space="preserve">R120,000</w:t>
            </w:r>
          </w:p>
        </w:tc>
        <w:tc>
          <w:tcPr/>
          <w:p>
            <w:pPr>
              <w:pStyle w:val="Compact"/>
              <w:jc w:val="right"/>
            </w:pPr>
            <w:r>
              <w:t xml:space="preserve">R315,000</w:t>
            </w:r>
          </w:p>
        </w:tc>
        <w:tc>
          <w:tcPr/>
          <w:p>
            <w:pPr>
              <w:pStyle w:val="Compact"/>
              <w:jc w:val="right"/>
            </w:pPr>
            <w:r>
              <w:t xml:space="preserve">R50,000</w:t>
            </w:r>
          </w:p>
        </w:tc>
        <w:tc>
          <w:tcPr/>
          <w:p>
            <w:pPr>
              <w:pStyle w:val="Compact"/>
              <w:jc w:val="right"/>
            </w:pPr>
            <w:r>
              <w:t xml:space="preserve">R485,000</w:t>
            </w:r>
          </w:p>
        </w:tc>
      </w:tr>
      <w:tr>
        <w:tc>
          <w:tcPr/>
          <w:p>
            <w:pPr>
              <w:pStyle w:val="Compact"/>
            </w:pPr>
            <w:r>
              <w:t xml:space="preserve">Q4 2026</w:t>
            </w:r>
          </w:p>
        </w:tc>
        <w:tc>
          <w:tcPr/>
          <w:p>
            <w:pPr>
              <w:pStyle w:val="Compact"/>
              <w:jc w:val="right"/>
            </w:pPr>
            <w:r>
              <w:t xml:space="preserve">R180,000</w:t>
            </w:r>
          </w:p>
        </w:tc>
        <w:tc>
          <w:tcPr/>
          <w:p>
            <w:pPr>
              <w:pStyle w:val="Compact"/>
              <w:jc w:val="right"/>
            </w:pPr>
            <w:r>
              <w:t xml:space="preserve">R450,000</w:t>
            </w:r>
          </w:p>
        </w:tc>
        <w:tc>
          <w:tcPr/>
          <w:p>
            <w:pPr>
              <w:pStyle w:val="Compact"/>
              <w:jc w:val="right"/>
            </w:pPr>
            <w:r>
              <w:t xml:space="preserve">R220,000</w:t>
            </w:r>
          </w:p>
        </w:tc>
        <w:tc>
          <w:tcPr/>
          <w:p>
            <w:pPr>
              <w:pStyle w:val="Compact"/>
              <w:jc w:val="right"/>
            </w:pPr>
            <w:r>
              <w:t xml:space="preserve">R850,000</w:t>
            </w:r>
          </w:p>
        </w:tc>
      </w:tr>
      <w:tr>
        <w:tc>
          <w:tcPr/>
          <w:p>
            <w:pPr>
              <w:pStyle w:val="Compact"/>
            </w:pPr>
            <w:r>
              <w:t xml:space="preserve">Q1 2027</w:t>
            </w:r>
          </w:p>
        </w:tc>
        <w:tc>
          <w:tcPr/>
          <w:p>
            <w:pPr>
              <w:pStyle w:val="Compact"/>
              <w:jc w:val="right"/>
            </w:pPr>
            <w:r>
              <w:t xml:space="preserve">R240,000</w:t>
            </w:r>
          </w:p>
        </w:tc>
        <w:tc>
          <w:tcPr/>
          <w:p>
            <w:pPr>
              <w:pStyle w:val="Compact"/>
              <w:jc w:val="right"/>
            </w:pPr>
            <w:r>
              <w:t xml:space="preserve">R510,000</w:t>
            </w:r>
          </w:p>
        </w:tc>
        <w:tc>
          <w:tcPr/>
          <w:p>
            <w:pPr>
              <w:pStyle w:val="Compact"/>
              <w:jc w:val="right"/>
            </w:pPr>
            <w:r>
              <w:t xml:space="preserve">R80,000</w:t>
            </w:r>
          </w:p>
        </w:tc>
        <w:tc>
          <w:tcPr/>
          <w:p>
            <w:pPr>
              <w:pStyle w:val="Compact"/>
              <w:jc w:val="right"/>
            </w:pPr>
            <w:r>
              <w:t xml:space="preserve">R830,000</w:t>
            </w:r>
          </w:p>
        </w:tc>
      </w:tr>
      <w:tr>
        <w:tc>
          <w:tcPr/>
          <w:p>
            <w:pPr>
              <w:pStyle w:val="Compact"/>
            </w:pPr>
            <w:r>
              <w:t xml:space="preserve">Q2 2027</w:t>
            </w:r>
          </w:p>
        </w:tc>
        <w:tc>
          <w:tcPr/>
          <w:p>
            <w:pPr>
              <w:pStyle w:val="Compact"/>
              <w:jc w:val="right"/>
            </w:pPr>
            <w:r>
              <w:t xml:space="preserve">R330,000</w:t>
            </w:r>
          </w:p>
        </w:tc>
        <w:tc>
          <w:tcPr/>
          <w:p>
            <w:pPr>
              <w:pStyle w:val="Compact"/>
              <w:jc w:val="right"/>
            </w:pPr>
            <w:r>
              <w:t xml:space="preserve">R600,000</w:t>
            </w:r>
          </w:p>
        </w:tc>
        <w:tc>
          <w:tcPr/>
          <w:p>
            <w:pPr>
              <w:pStyle w:val="Compact"/>
              <w:jc w:val="right"/>
            </w:pPr>
            <w:r>
              <w:t xml:space="preserve">R100,000</w:t>
            </w:r>
          </w:p>
        </w:tc>
        <w:tc>
          <w:tcPr/>
          <w:p>
            <w:pPr>
              <w:pStyle w:val="Compact"/>
              <w:jc w:val="right"/>
            </w:pPr>
            <w:r>
              <w:t xml:space="preserve">R1,030,000</w:t>
            </w:r>
          </w:p>
        </w:tc>
      </w:tr>
      <w:tr>
        <w:tc>
          <w:tcPr/>
          <w:p>
            <w:pPr>
              <w:pStyle w:val="Compact"/>
            </w:pPr>
            <w:r>
              <w:t xml:space="preserve">Q3 2027</w:t>
            </w:r>
          </w:p>
        </w:tc>
        <w:tc>
          <w:tcPr/>
          <w:p>
            <w:pPr>
              <w:pStyle w:val="Compact"/>
              <w:jc w:val="right"/>
            </w:pPr>
            <w:r>
              <w:t xml:space="preserve">R450,000</w:t>
            </w:r>
          </w:p>
        </w:tc>
        <w:tc>
          <w:tcPr/>
          <w:p>
            <w:pPr>
              <w:pStyle w:val="Compact"/>
              <w:jc w:val="right"/>
            </w:pPr>
            <w:r>
              <w:t xml:space="preserve">R720,000</w:t>
            </w:r>
          </w:p>
        </w:tc>
        <w:tc>
          <w:tcPr/>
          <w:p>
            <w:pPr>
              <w:pStyle w:val="Compact"/>
              <w:jc w:val="right"/>
            </w:pPr>
            <w:r>
              <w:t xml:space="preserve">R120,000</w:t>
            </w:r>
          </w:p>
        </w:tc>
        <w:tc>
          <w:tcPr/>
          <w:p>
            <w:pPr>
              <w:pStyle w:val="Compact"/>
              <w:jc w:val="right"/>
            </w:pPr>
            <w:r>
              <w:t xml:space="preserve">R1,290,000</w:t>
            </w:r>
          </w:p>
        </w:tc>
      </w:tr>
      <w:tr>
        <w:tc>
          <w:tcPr/>
          <w:p>
            <w:pPr>
              <w:pStyle w:val="Compact"/>
            </w:pPr>
            <w:r>
              <w:t xml:space="preserve">Q4 2027</w:t>
            </w:r>
          </w:p>
        </w:tc>
        <w:tc>
          <w:tcPr/>
          <w:p>
            <w:pPr>
              <w:pStyle w:val="Compact"/>
              <w:jc w:val="right"/>
            </w:pPr>
            <w:r>
              <w:t xml:space="preserve">R600,000</w:t>
            </w:r>
          </w:p>
        </w:tc>
        <w:tc>
          <w:tcPr/>
          <w:p>
            <w:pPr>
              <w:pStyle w:val="Compact"/>
              <w:jc w:val="right"/>
            </w:pPr>
            <w:r>
              <w:t xml:space="preserve">R900,000</w:t>
            </w:r>
          </w:p>
        </w:tc>
        <w:tc>
          <w:tcPr/>
          <w:p>
            <w:pPr>
              <w:pStyle w:val="Compact"/>
              <w:jc w:val="right"/>
            </w:pPr>
            <w:r>
              <w:t xml:space="preserve">R350,000</w:t>
            </w:r>
          </w:p>
        </w:tc>
        <w:tc>
          <w:tcPr/>
          <w:p>
            <w:pPr>
              <w:pStyle w:val="Compact"/>
              <w:jc w:val="right"/>
            </w:pPr>
            <w:r>
              <w:t xml:space="preserve">R1,850,000</w:t>
            </w:r>
          </w:p>
        </w:tc>
      </w:tr>
      <w:tr>
        <w:tc>
          <w:tcPr/>
          <w:p>
            <w:pPr>
              <w:pStyle w:val="Compact"/>
            </w:pPr>
            <w:r>
              <w:t xml:space="preserve">Q1 2028</w:t>
            </w:r>
          </w:p>
        </w:tc>
        <w:tc>
          <w:tcPr/>
          <w:p>
            <w:pPr>
              <w:pStyle w:val="Compact"/>
              <w:jc w:val="right"/>
            </w:pPr>
            <w:r>
              <w:t xml:space="preserve">R750,000</w:t>
            </w:r>
          </w:p>
        </w:tc>
        <w:tc>
          <w:tcPr/>
          <w:p>
            <w:pPr>
              <w:pStyle w:val="Compact"/>
              <w:jc w:val="right"/>
            </w:pPr>
            <w:r>
              <w:t xml:space="preserve">R1,000,000</w:t>
            </w:r>
          </w:p>
        </w:tc>
        <w:tc>
          <w:tcPr/>
          <w:p>
            <w:pPr>
              <w:pStyle w:val="Compact"/>
              <w:jc w:val="right"/>
            </w:pPr>
            <w:r>
              <w:t xml:space="preserve">R150,000</w:t>
            </w:r>
          </w:p>
        </w:tc>
        <w:tc>
          <w:tcPr/>
          <w:p>
            <w:pPr>
              <w:pStyle w:val="Compact"/>
              <w:jc w:val="right"/>
            </w:pPr>
            <w:r>
              <w:t xml:space="preserve">R1,900,000</w:t>
            </w:r>
          </w:p>
        </w:tc>
      </w:tr>
      <w:tr>
        <w:tc>
          <w:tcPr/>
          <w:p>
            <w:pPr>
              <w:pStyle w:val="Compact"/>
            </w:pPr>
            <w:r>
              <w:rPr>
                <w:b/>
                <w:bCs/>
              </w:rPr>
              <w:t xml:space="preserve">Total (24 months)</w:t>
            </w:r>
          </w:p>
        </w:tc>
        <w:tc>
          <w:tcPr/>
          <w:p>
            <w:pPr>
              <w:pStyle w:val="Compact"/>
              <w:jc w:val="right"/>
            </w:pPr>
            <w:r>
              <w:rPr>
                <w:b/>
                <w:bCs/>
              </w:rPr>
              <w:t xml:space="preserve">R2,730,000</w:t>
            </w:r>
          </w:p>
        </w:tc>
        <w:tc>
          <w:tcPr/>
          <w:p>
            <w:pPr>
              <w:pStyle w:val="Compact"/>
              <w:jc w:val="right"/>
            </w:pPr>
            <w:r>
              <w:rPr>
                <w:b/>
                <w:bCs/>
              </w:rPr>
              <w:t xml:space="preserve">R4,705,000</w:t>
            </w:r>
          </w:p>
        </w:tc>
        <w:tc>
          <w:tcPr/>
          <w:p>
            <w:pPr>
              <w:pStyle w:val="Compact"/>
              <w:jc w:val="right"/>
            </w:pPr>
            <w:r>
              <w:rPr>
                <w:b/>
                <w:bCs/>
              </w:rPr>
              <w:t xml:space="preserve">R1,110,000</w:t>
            </w:r>
          </w:p>
        </w:tc>
        <w:tc>
          <w:tcPr/>
          <w:p>
            <w:pPr>
              <w:pStyle w:val="Compact"/>
              <w:jc w:val="right"/>
            </w:pPr>
            <w:r>
              <w:rPr>
                <w:b/>
                <w:bCs/>
              </w:rPr>
              <w:t xml:space="preserve">R8,545,000</w:t>
            </w:r>
          </w:p>
        </w:tc>
      </w:tr>
    </w:tbl>
    <w:p>
      <w:pPr>
        <w:pStyle w:val="BodyText"/>
      </w:pPr>
      <w:r>
        <w:rPr>
          <w:b/>
          <w:bCs/>
        </w:rPr>
        <w:t xml:space="preserve">Funding ask and use of funds (seed)</w:t>
      </w:r>
      <w:r>
        <w:br/>
      </w:r>
      <w:r>
        <w:t xml:space="preserve">A seed raise should be framed as “capacity + consistency.” Premium brands don’t scale by doing more things; they scale by doing the same thing flawlessly.</w:t>
      </w:r>
    </w:p>
    <w:bookmarkEnd w:id="39"/>
    <w:bookmarkStart w:id="40" w:name="X0df2ce98e5a0e020749fa5d7b89526b0fbc8b0e"/>
    <w:p>
      <w:pPr>
        <w:pStyle w:val="Heading3"/>
      </w:pPr>
      <w:r>
        <w:t xml:space="preserve">Use-of-funds breakdown table (illustrative; adjust to your raise size)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jc w:val="right"/>
            </w:pPr>
            <w:r>
              <w:t xml:space="preserve">%</w:t>
            </w:r>
          </w:p>
        </w:tc>
        <w:tc>
          <w:tcPr/>
          <w:p>
            <w:pPr>
              <w:pStyle w:val="Compact"/>
            </w:pPr>
            <w:r>
              <w:t xml:space="preserve">Purpose (what it unlocks)</w:t>
            </w:r>
          </w:p>
        </w:tc>
      </w:tr>
      <w:tr>
        <w:tc>
          <w:tcPr/>
          <w:p>
            <w:pPr>
              <w:pStyle w:val="Compact"/>
            </w:pPr>
            <w:r>
              <w:t xml:space="preserve">Production capacity (dehydrators, slicers, sealing, workspace setup)</w:t>
            </w:r>
          </w:p>
        </w:tc>
        <w:tc>
          <w:tcPr/>
          <w:p>
            <w:pPr>
              <w:pStyle w:val="Compact"/>
              <w:jc w:val="right"/>
            </w:pPr>
            <w:r>
              <w:t xml:space="preserve">35%</w:t>
            </w:r>
          </w:p>
        </w:tc>
        <w:tc>
          <w:tcPr/>
          <w:p>
            <w:pPr>
              <w:pStyle w:val="Compact"/>
            </w:pPr>
            <w:r>
              <w:t xml:space="preserve">Larger batches, consistent spec, lower unit cost</w:t>
            </w:r>
          </w:p>
        </w:tc>
      </w:tr>
      <w:tr>
        <w:tc>
          <w:tcPr/>
          <w:p>
            <w:pPr>
              <w:pStyle w:val="Compact"/>
            </w:pPr>
            <w:r>
              <w:t xml:space="preserve">Packaging + initial inventory</w:t>
            </w:r>
          </w:p>
        </w:tc>
        <w:tc>
          <w:tcPr/>
          <w:p>
            <w:pPr>
              <w:pStyle w:val="Compact"/>
              <w:jc w:val="right"/>
            </w:pPr>
            <w:r>
              <w:t xml:space="preserve">25%</w:t>
            </w:r>
          </w:p>
        </w:tc>
        <w:tc>
          <w:tcPr/>
          <w:p>
            <w:pPr>
              <w:pStyle w:val="Compact"/>
            </w:pPr>
            <w:r>
              <w:t xml:space="preserve">Premium jars/boxes, MOQ management, launch stock</w:t>
            </w:r>
          </w:p>
        </w:tc>
      </w:tr>
      <w:tr>
        <w:tc>
          <w:tcPr/>
          <w:p>
            <w:pPr>
              <w:pStyle w:val="Compact"/>
            </w:pPr>
            <w:r>
              <w:t xml:space="preserve">Go-to-market (trade sampling, DTC launch content, partnerships)</w:t>
            </w:r>
          </w:p>
        </w:tc>
        <w:tc>
          <w:tcPr/>
          <w:p>
            <w:pPr>
              <w:pStyle w:val="Compact"/>
              <w:jc w:val="right"/>
            </w:pPr>
            <w:r>
              <w:t xml:space="preserve">20%</w:t>
            </w:r>
          </w:p>
        </w:tc>
        <w:tc>
          <w:tcPr/>
          <w:p>
            <w:pPr>
              <w:pStyle w:val="Compact"/>
            </w:pPr>
            <w:r>
              <w:t xml:space="preserve">Acquire first 50–100 accounts + DTC velocity</w:t>
            </w:r>
          </w:p>
        </w:tc>
      </w:tr>
      <w:tr>
        <w:tc>
          <w:tcPr/>
          <w:p>
            <w:pPr>
              <w:pStyle w:val="Compact"/>
            </w:pPr>
            <w:r>
              <w:t xml:space="preserve">QA + compliance (labeling, batch systems, shelf-life validation)</w:t>
            </w:r>
          </w:p>
        </w:tc>
        <w:tc>
          <w:tcPr/>
          <w:p>
            <w:pPr>
              <w:pStyle w:val="Compact"/>
              <w:jc w:val="right"/>
            </w:pPr>
            <w:r>
              <w:t xml:space="preserve">10%</w:t>
            </w:r>
          </w:p>
        </w:tc>
        <w:tc>
          <w:tcPr/>
          <w:p>
            <w:pPr>
              <w:pStyle w:val="Compact"/>
            </w:pPr>
            <w:r>
              <w:t xml:space="preserve">Premium trust: traceability + label readiness</w:t>
            </w:r>
            <w:r>
              <w:t xml:space="preserve"> </w:t>
            </w:r>
            <w:hyperlink r:id="rId28">
              <w:r>
                <w:rPr>
                  <w:rStyle w:val="Hyperlink"/>
                </w:rPr>
                <w:t xml:space="preserve">[8]</w:t>
              </w:r>
            </w:hyperlink>
          </w:p>
        </w:tc>
      </w:tr>
      <w:tr>
        <w:tc>
          <w:tcPr/>
          <w:p>
            <w:pPr>
              <w:pStyle w:val="Compact"/>
            </w:pPr>
            <w:r>
              <w:t xml:space="preserve">Working capital buffer</w:t>
            </w:r>
          </w:p>
        </w:tc>
        <w:tc>
          <w:tcPr/>
          <w:p>
            <w:pPr>
              <w:pStyle w:val="Compact"/>
              <w:jc w:val="right"/>
            </w:pPr>
            <w:r>
              <w:t xml:space="preserve">10%</w:t>
            </w:r>
          </w:p>
        </w:tc>
        <w:tc>
          <w:tcPr/>
          <w:p>
            <w:pPr>
              <w:pStyle w:val="Compact"/>
            </w:pPr>
            <w:r>
              <w:t xml:space="preserve">Cashflow stability for reorders and seasonality</w:t>
            </w:r>
          </w:p>
        </w:tc>
      </w:tr>
    </w:tbl>
    <w:bookmarkEnd w:id="40"/>
    <w:bookmarkEnd w:id="41"/>
    <w:bookmarkStart w:id="42" w:name="Xe674595c822e390c05d5927b24a6bb1d115b51a"/>
    <w:p>
      <w:pPr>
        <w:pStyle w:val="Heading2"/>
      </w:pPr>
      <w:r>
        <w:t xml:space="preserve">Financial model and funding narrative (how MIXENI becomes investable)</w:t>
      </w:r>
    </w:p>
    <w:p>
      <w:pPr>
        <w:pStyle w:val="FirstParagraph"/>
      </w:pPr>
      <w:r>
        <w:t xml:space="preserve">MIXENI should be positioned as a repeat-purchase consumable with premium branding—closer to “bar supply with lifestyle margins” than to a one-time gift product. The on-trade channel is the commercial wedge because reorder frequency is built into cocktail operations; DTC and gifting expand margin and brand visibility. Market price anchors show customers already buy dehydrated garnishes in South Africa across sizes and channels (including bulk packs and grocery-ready pouches).</w:t>
      </w:r>
      <w:r>
        <w:t xml:space="preserve"> </w:t>
      </w:r>
      <w:hyperlink r:id="rId26">
        <w:r>
          <w:rPr>
            <w:rStyle w:val="Hyperlink"/>
          </w:rPr>
          <w:t xml:space="preserve">[19]</w:t>
        </w:r>
      </w:hyperlink>
    </w:p>
    <w:p>
      <w:pPr>
        <w:pStyle w:val="BodyText"/>
      </w:pPr>
      <w:r>
        <w:t xml:space="preserve">Key metrics to track in the first 6–12 months:</w:t>
      </w:r>
      <w:r>
        <w:br/>
      </w:r>
      <w:r>
        <w:t xml:space="preserve">Trade: number of active accounts, reorder rate, average monthly order value per account, churn reasons.</w:t>
      </w:r>
      <w:r>
        <w:br/>
      </w:r>
      <w:r>
        <w:t xml:space="preserve">DTC: AOV, repeat rate, subscription attach rate, CAC payback.</w:t>
      </w:r>
      <w:r>
        <w:br/>
      </w:r>
      <w:r>
        <w:t xml:space="preserve">Operations: yield per kg input, batch consistency (color/texture), returns/complaints, packaging failure rate.</w:t>
      </w:r>
    </w:p>
    <w:p>
      <w:pPr>
        <w:pStyle w:val="BodyText"/>
      </w:pPr>
      <w:r>
        <w:t xml:space="preserve">The sustainability angle should be presented as “waste reduction through better format,” not as moral messaging. Nationally, food waste is material (millions of tonnes; large cost-to-society estimates), and dried formats provide a direct mechanism to reduce perishable spoilage.</w:t>
      </w:r>
      <w:r>
        <w:t xml:space="preserve"> </w:t>
      </w:r>
      <w:hyperlink r:id="rId22">
        <w:r>
          <w:rPr>
            <w:rStyle w:val="Hyperlink"/>
          </w:rPr>
          <w:t xml:space="preserve">[2]</w:t>
        </w:r>
      </w:hyperlink>
    </w:p>
    <w:bookmarkEnd w:id="42"/>
    <w:bookmarkStart w:id="44" w:name="X0b7836dcd2540e03658c18200b0df6909d383f9"/>
    <w:p>
      <w:pPr>
        <w:pStyle w:val="Heading2"/>
      </w:pPr>
      <w:r>
        <w:t xml:space="preserve">Risks, mitigations, and milestones timeline</w:t>
      </w:r>
    </w:p>
    <w:p>
      <w:pPr>
        <w:pStyle w:val="FirstParagraph"/>
      </w:pPr>
      <w:r>
        <w:rPr>
          <w:b/>
          <w:bCs/>
        </w:rPr>
        <w:t xml:space="preserve">Key risks and mitigations</w:t>
      </w:r>
      <w:r>
        <w:br/>
      </w:r>
      <w:r>
        <w:t xml:space="preserve">Supply and seasonality: citrus is seasonal; mitigate with supplier diversity, forward-buying for dehydration, and conservative inventory planning. South Africa’s citrus sector scale supports sourcing depth.</w:t>
      </w:r>
      <w:r>
        <w:t xml:space="preserve"> </w:t>
      </w:r>
      <w:hyperlink r:id="rId27">
        <w:r>
          <w:rPr>
            <w:rStyle w:val="Hyperlink"/>
          </w:rPr>
          <w:t xml:space="preserve">[7]</w:t>
        </w:r>
      </w:hyperlink>
      <w:r>
        <w:br/>
      </w:r>
      <w:r>
        <w:t xml:space="preserve">Quality consistency: color and brittleness vary by fruit and dehydration settings; mitigate with SOPs (slice thickness, temperature control), batch testing, and premium packaging that protects against moisture ingress.</w:t>
      </w:r>
      <w:r>
        <w:br/>
      </w:r>
      <w:r>
        <w:t xml:space="preserve">Regulatory/label risk: premium retail requires strict labeling and date/batch discipline; mitigate by designing compliance into packaging from day one (batch ID, date marking, storage instructions).</w:t>
      </w:r>
      <w:r>
        <w:t xml:space="preserve"> </w:t>
      </w:r>
      <w:hyperlink r:id="rId28">
        <w:r>
          <w:rPr>
            <w:rStyle w:val="Hyperlink"/>
          </w:rPr>
          <w:t xml:space="preserve">[8]</w:t>
        </w:r>
      </w:hyperlink>
      <w:r>
        <w:br/>
      </w:r>
      <w:r>
        <w:t xml:space="preserve">Energy/time costs: dehydration is energy-dependent; mitigate with right-sized dehydrators and production scheduling; airfryer prototyping is temporary only (higher power draw and smaller capacity).</w:t>
      </w:r>
      <w:r>
        <w:t xml:space="preserve"> </w:t>
      </w:r>
      <w:hyperlink r:id="rId38">
        <w:r>
          <w:rPr>
            <w:rStyle w:val="Hyperlink"/>
          </w:rPr>
          <w:t xml:space="preserve">[22]</w:t>
        </w:r>
      </w:hyperlink>
      <w:r>
        <w:br/>
      </w:r>
      <w:r>
        <w:t xml:space="preserve">Competition: existing garnish brands prove category but reduce novelty; mitigate with luxury packaging, “system” positioning, trade relationships, and signature sets that are hard to copy quickly.</w:t>
      </w:r>
      <w:r>
        <w:t xml:space="preserve"> </w:t>
      </w:r>
      <w:hyperlink r:id="rId25">
        <w:r>
          <w:rPr>
            <w:rStyle w:val="Hyperlink"/>
          </w:rPr>
          <w:t xml:space="preserve">[24]</w:t>
        </w:r>
      </w:hyperlink>
    </w:p>
    <w:bookmarkStart w:id="43" w:name="month-milestones-mermaid-timeline"/>
    <w:p>
      <w:pPr>
        <w:pStyle w:val="Heading3"/>
      </w:pPr>
      <w:r>
        <w:t xml:space="preserve">12-month milestones (mermaid timeline)</w:t>
      </w:r>
    </w:p>
    <w:p>
      <w:pPr>
        <w:pStyle w:val="SourceCode"/>
      </w:pPr>
      <w:r>
        <w:rPr>
          <w:rStyle w:val="VerbatimChar"/>
        </w:rPr>
        <w:t xml:space="preserve">gantt</w:t>
      </w:r>
      <w:r>
        <w:br/>
      </w:r>
      <w:r>
        <w:rPr>
          <w:rStyle w:val="VerbatimChar"/>
        </w:rPr>
        <w:t xml:space="preserve">dateFormat  YYYY-MM</w:t>
      </w:r>
      <w:r>
        <w:br/>
      </w:r>
      <w:r>
        <w:rPr>
          <w:rStyle w:val="VerbatimChar"/>
        </w:rPr>
        <w:t xml:space="preserve">title MIXENI 12-Month Milestones (2026-03 to 2027-02)</w:t>
      </w:r>
      <w:r>
        <w:br/>
      </w:r>
      <w:r>
        <w:br/>
      </w:r>
      <w:r>
        <w:rPr>
          <w:rStyle w:val="VerbatimChar"/>
        </w:rPr>
        <w:t xml:space="preserve">section Product</w:t>
      </w:r>
      <w:r>
        <w:br/>
      </w:r>
      <w:r>
        <w:rPr>
          <w:rStyle w:val="VerbatimChar"/>
        </w:rPr>
        <w:t xml:space="preserve">Core citrus SKUs (spec + packaging prototypes)      :a1, 2026-03, 2m</w:t>
      </w:r>
      <w:r>
        <w:br/>
      </w:r>
      <w:r>
        <w:rPr>
          <w:rStyle w:val="VerbatimChar"/>
        </w:rPr>
        <w:t xml:space="preserve">Signature sets (gift-ready concepts + recipes)     :a2, 2026-04, 3m</w:t>
      </w:r>
      <w:r>
        <w:br/>
      </w:r>
      <w:r>
        <w:rPr>
          <w:rStyle w:val="VerbatimChar"/>
        </w:rPr>
        <w:t xml:space="preserve">Shelf-life validation + storage guidance copy       :a3, 2026-04, 5m</w:t>
      </w:r>
      <w:r>
        <w:br/>
      </w:r>
      <w:r>
        <w:br/>
      </w:r>
      <w:r>
        <w:rPr>
          <w:rStyle w:val="VerbatimChar"/>
        </w:rPr>
        <w:t xml:space="preserve">section Operations &amp; Compliance</w:t>
      </w:r>
      <w:r>
        <w:br/>
      </w:r>
      <w:r>
        <w:rPr>
          <w:rStyle w:val="VerbatimChar"/>
        </w:rPr>
        <w:t xml:space="preserve">Supplier onboarding + sourcing contracts            :b1, 2026-03, 3m</w:t>
      </w:r>
      <w:r>
        <w:br/>
      </w:r>
      <w:r>
        <w:rPr>
          <w:rStyle w:val="VerbatimChar"/>
        </w:rPr>
        <w:t xml:space="preserve">Production SOPs (slice/thickness/temp/batch logs)  :b2, 2026-03, 4m</w:t>
      </w:r>
      <w:r>
        <w:br/>
      </w:r>
      <w:r>
        <w:rPr>
          <w:rStyle w:val="VerbatimChar"/>
        </w:rPr>
        <w:t xml:space="preserve">Label compliance + batch/date systems               :b3, 2026-04, 4m</w:t>
      </w:r>
      <w:r>
        <w:br/>
      </w:r>
      <w:r>
        <w:br/>
      </w:r>
      <w:r>
        <w:rPr>
          <w:rStyle w:val="VerbatimChar"/>
        </w:rPr>
        <w:t xml:space="preserve">section Go-To-Market</w:t>
      </w:r>
      <w:r>
        <w:br/>
      </w:r>
      <w:r>
        <w:rPr>
          <w:rStyle w:val="VerbatimChar"/>
        </w:rPr>
        <w:t xml:space="preserve">Flagship bar pilot (10–20 venues)                   :c1, 2026-05, 3m</w:t>
      </w:r>
      <w:r>
        <w:br/>
      </w:r>
      <w:r>
        <w:rPr>
          <w:rStyle w:val="VerbatimChar"/>
        </w:rPr>
        <w:t xml:space="preserve">DTC launch (site + content + bundles)               :c2, 2026-06, 8m</w:t>
      </w:r>
      <w:r>
        <w:br/>
      </w:r>
      <w:r>
        <w:rPr>
          <w:rStyle w:val="VerbatimChar"/>
        </w:rPr>
        <w:t xml:space="preserve">Corporate gifting pilot (Q4 readiness)              :c3, 2026-09, 4m</w:t>
      </w:r>
      <w:r>
        <w:br/>
      </w:r>
      <w:r>
        <w:br/>
      </w:r>
      <w:r>
        <w:rPr>
          <w:rStyle w:val="VerbatimChar"/>
        </w:rPr>
        <w:t xml:space="preserve">section Scale</w:t>
      </w:r>
      <w:r>
        <w:br/>
      </w:r>
      <w:r>
        <w:rPr>
          <w:rStyle w:val="VerbatimChar"/>
        </w:rPr>
        <w:t xml:space="preserve">Expand to 50+ trade accounts                         :d1, 2026-09, 5m</w:t>
      </w:r>
      <w:r>
        <w:br/>
      </w:r>
      <w:r>
        <w:rPr>
          <w:rStyle w:val="VerbatimChar"/>
        </w:rPr>
        <w:t xml:space="preserve">Expand to 100+ trade accounts                        :d2, 2026-11, 4m</w:t>
      </w:r>
      <w:r>
        <w:br/>
      </w:r>
      <w:r>
        <w:rPr>
          <w:rStyle w:val="VerbatimChar"/>
        </w:rPr>
        <w:t xml:space="preserve">Retail conversations (select, premium fit only)      :d3, 2026-11, 3m</w:t>
      </w:r>
    </w:p>
    <w:p>
      <w:pPr>
        <w:pStyle w:val="FirstParagraph"/>
      </w:pPr>
      <w:r>
        <w:rPr>
          <w:b/>
          <w:bCs/>
        </w:rPr>
        <w:t xml:space="preserve">Milestone framing for investors (what “done” looks like in 12 months)</w:t>
      </w:r>
      <w:r>
        <w:br/>
      </w:r>
      <w:r>
        <w:t xml:space="preserve">A credible 12-month “arrival point” is: stable production with traceability, 50–100 recurring trade accounts, a DTC storefront with repeat buyers, and a gifting line that performs in Q4. From there, retail becomes optional—not required—because the brand already has operating proof and reorder economics.</w:t>
      </w:r>
    </w:p>
    <w:bookmarkEnd w:id="43"/>
    <w:bookmarkEnd w:id="44"/>
    <w:bookmarkEnd w:id="45"/>
    <w:bookmarkEnd w:id="46"/>
    <w:p>
      <w:r>
        <w:pict>
          <v:rect style="width:0;height:1.5pt" o:hralign="center" o:hrstd="t" o:hr="t"/>
        </w:pict>
      </w:r>
    </w:p>
    <w:bookmarkStart w:id="47" w:name="citations"/>
    <w:p>
      <w:pPr>
        <w:pStyle w:val="FirstParagraph"/>
      </w:pPr>
      <w:hyperlink r:id="rId21">
        <w:r>
          <w:rPr>
            <w:rStyle w:val="Hyperlink"/>
          </w:rPr>
          <w:t xml:space="preserve">[1]</w:t>
        </w:r>
      </w:hyperlink>
      <w:r>
        <w:t xml:space="preserve"> </w:t>
      </w:r>
      <w:r>
        <w:t xml:space="preserve">https://www.statssa.gov.za/publications/P6420/P6420June2025.pdf</w:t>
      </w:r>
    </w:p>
    <w:p>
      <w:pPr>
        <w:pStyle w:val="BodyText"/>
      </w:pPr>
      <w:hyperlink r:id="rId21">
        <w:r>
          <w:rPr>
            <w:rStyle w:val="Hyperlink"/>
          </w:rPr>
          <w:t xml:space="preserve">https://www.statssa.gov.za/publications/P6420/P6420June2025.pdf</w:t>
        </w:r>
      </w:hyperlink>
    </w:p>
    <w:p>
      <w:pPr>
        <w:pStyle w:val="BodyText"/>
      </w:pPr>
      <w:hyperlink r:id="rId22">
        <w:r>
          <w:rPr>
            <w:rStyle w:val="Hyperlink"/>
          </w:rPr>
          <w:t xml:space="preserve">[2]</w:t>
        </w:r>
      </w:hyperlink>
      <w:r>
        <w:t xml:space="preserve"> </w:t>
      </w:r>
      <w:hyperlink r:id="rId22">
        <w:r>
          <w:rPr>
            <w:rStyle w:val="Hyperlink"/>
          </w:rPr>
          <w:t xml:space="preserve">[11]</w:t>
        </w:r>
      </w:hyperlink>
      <w:r>
        <w:t xml:space="preserve"> </w:t>
      </w:r>
      <w:r>
        <w:t xml:space="preserve">https://www.wasteroadmap.co.za/wp-content/uploads/2021/06/17-CSIR-Final_Technical-report_Food-waste.pdf</w:t>
      </w:r>
    </w:p>
    <w:p>
      <w:pPr>
        <w:pStyle w:val="BodyText"/>
      </w:pPr>
      <w:hyperlink r:id="rId22">
        <w:r>
          <w:rPr>
            <w:rStyle w:val="Hyperlink"/>
          </w:rPr>
          <w:t xml:space="preserve">https://www.wasteroadmap.co.za/wp-content/uploads/2021/06/17-CSIR-Final_Technical-report_Food-waste.pdf</w:t>
        </w:r>
      </w:hyperlink>
    </w:p>
    <w:p>
      <w:pPr>
        <w:pStyle w:val="BodyText"/>
      </w:pPr>
      <w:hyperlink r:id="rId23">
        <w:r>
          <w:rPr>
            <w:rStyle w:val="Hyperlink"/>
          </w:rPr>
          <w:t xml:space="preserve">[3]</w:t>
        </w:r>
      </w:hyperlink>
      <w:r>
        <w:t xml:space="preserve"> </w:t>
      </w:r>
      <w:r>
        <w:t xml:space="preserve">https://www.csir.co.za/sites/default/files/Documents/Food%20waste%20prevention_LANDSCAPE%28EDMS%29%20-%2005-02-2021.pdf</w:t>
      </w:r>
    </w:p>
    <w:p>
      <w:pPr>
        <w:pStyle w:val="BodyText"/>
      </w:pPr>
      <w:hyperlink r:id="rId23">
        <w:r>
          <w:rPr>
            <w:rStyle w:val="Hyperlink"/>
          </w:rPr>
          <w:t xml:space="preserve">https://www.csir.co.za/sites/default/files/Documents/Food%20waste%20prevention_LANDSCAPE%28EDMS%29%20-%2005-02-2021.pdf</w:t>
        </w:r>
      </w:hyperlink>
    </w:p>
    <w:p>
      <w:pPr>
        <w:pStyle w:val="BodyText"/>
      </w:pPr>
      <w:hyperlink r:id="rId24">
        <w:r>
          <w:rPr>
            <w:rStyle w:val="Hyperlink"/>
          </w:rPr>
          <w:t xml:space="preserve">[4]</w:t>
        </w:r>
      </w:hyperlink>
      <w:r>
        <w:t xml:space="preserve"> </w:t>
      </w:r>
      <w:hyperlink r:id="rId24">
        <w:r>
          <w:rPr>
            <w:rStyle w:val="Hyperlink"/>
          </w:rPr>
          <w:t xml:space="preserve">[21]</w:t>
        </w:r>
      </w:hyperlink>
      <w:r>
        <w:t xml:space="preserve"> </w:t>
      </w:r>
      <w:r>
        <w:t xml:space="preserve">https://nchfp.uga.edu/how/dry/drying-general/packaging-and-storing-dried-foods/</w:t>
      </w:r>
    </w:p>
    <w:p>
      <w:pPr>
        <w:pStyle w:val="BodyText"/>
      </w:pPr>
      <w:hyperlink r:id="rId24">
        <w:r>
          <w:rPr>
            <w:rStyle w:val="Hyperlink"/>
          </w:rPr>
          <w:t xml:space="preserve">https://nchfp.uga.edu/how/dry/drying-general/packaging-and-storing-dried-foods/</w:t>
        </w:r>
      </w:hyperlink>
    </w:p>
    <w:p>
      <w:pPr>
        <w:pStyle w:val="BodyText"/>
      </w:pPr>
      <w:hyperlink r:id="rId25">
        <w:r>
          <w:rPr>
            <w:rStyle w:val="Hyperlink"/>
          </w:rPr>
          <w:t xml:space="preserve">[5]</w:t>
        </w:r>
      </w:hyperlink>
      <w:r>
        <w:t xml:space="preserve"> </w:t>
      </w:r>
      <w:hyperlink r:id="rId25">
        <w:r>
          <w:rPr>
            <w:rStyle w:val="Hyperlink"/>
          </w:rPr>
          <w:t xml:space="preserve">[12]</w:t>
        </w:r>
      </w:hyperlink>
      <w:r>
        <w:t xml:space="preserve"> </w:t>
      </w:r>
      <w:hyperlink r:id="rId25">
        <w:r>
          <w:rPr>
            <w:rStyle w:val="Hyperlink"/>
          </w:rPr>
          <w:t xml:space="preserve">[24]</w:t>
        </w:r>
      </w:hyperlink>
      <w:r>
        <w:t xml:space="preserve"> </w:t>
      </w:r>
      <w:r>
        <w:t xml:space="preserve">https://housebrandsa.co.za/</w:t>
      </w:r>
    </w:p>
    <w:p>
      <w:pPr>
        <w:pStyle w:val="BodyText"/>
      </w:pPr>
      <w:hyperlink r:id="rId25">
        <w:r>
          <w:rPr>
            <w:rStyle w:val="Hyperlink"/>
          </w:rPr>
          <w:t xml:space="preserve">https://housebrandsa.co.za/</w:t>
        </w:r>
      </w:hyperlink>
    </w:p>
    <w:p>
      <w:pPr>
        <w:pStyle w:val="BodyText"/>
      </w:pPr>
      <w:hyperlink r:id="rId26">
        <w:r>
          <w:rPr>
            <w:rStyle w:val="Hyperlink"/>
          </w:rPr>
          <w:t xml:space="preserve">[6]</w:t>
        </w:r>
      </w:hyperlink>
      <w:r>
        <w:t xml:space="preserve"> </w:t>
      </w:r>
      <w:hyperlink r:id="rId26">
        <w:r>
          <w:rPr>
            <w:rStyle w:val="Hyperlink"/>
          </w:rPr>
          <w:t xml:space="preserve">[19]</w:t>
        </w:r>
      </w:hyperlink>
      <w:r>
        <w:t xml:space="preserve"> </w:t>
      </w:r>
      <w:hyperlink r:id="rId26">
        <w:r>
          <w:rPr>
            <w:rStyle w:val="Hyperlink"/>
          </w:rPr>
          <w:t xml:space="preserve">[23]</w:t>
        </w:r>
      </w:hyperlink>
      <w:r>
        <w:t xml:space="preserve"> </w:t>
      </w:r>
      <w:r>
        <w:t xml:space="preserve">https://www.locacocktails.co.za/products/230-dehydrated-lemons-wheels?srsltid=AfmBOorYyVzFrVwT7hH4bKHwLjRv_aXzJSTMJZZA6HHDlmR_1NfZnOau</w:t>
      </w:r>
    </w:p>
    <w:p>
      <w:pPr>
        <w:pStyle w:val="BodyText"/>
      </w:pPr>
      <w:hyperlink r:id="rId26">
        <w:r>
          <w:rPr>
            <w:rStyle w:val="Hyperlink"/>
          </w:rPr>
          <w:t xml:space="preserve">https://www.locacocktails.co.za/products/230-dehydrated-lemons-wheels?srsltid=AfmBOorYyVzFrVwT7hH4bKHwLjRv_aXzJSTMJZZA6HHDlmR_1NfZnOau</w:t>
        </w:r>
      </w:hyperlink>
    </w:p>
    <w:p>
      <w:pPr>
        <w:pStyle w:val="BodyText"/>
      </w:pPr>
      <w:hyperlink r:id="rId27">
        <w:r>
          <w:rPr>
            <w:rStyle w:val="Hyperlink"/>
          </w:rPr>
          <w:t xml:space="preserve">[7]</w:t>
        </w:r>
      </w:hyperlink>
      <w:r>
        <w:t xml:space="preserve"> </w:t>
      </w:r>
      <w:r>
        <w:t xml:space="preserve">https://www.cga.co.za/wp-content/uploads/2025/11/MEDIA-STATEMENT-10-Nov-2025-SA-Citrus-exports-deliver-on-growth-promise.pdf</w:t>
      </w:r>
    </w:p>
    <w:p>
      <w:pPr>
        <w:pStyle w:val="BodyText"/>
      </w:pPr>
      <w:hyperlink r:id="rId27">
        <w:r>
          <w:rPr>
            <w:rStyle w:val="Hyperlink"/>
          </w:rPr>
          <w:t xml:space="preserve">https://www.cga.co.za/wp-content/uploads/2025/11/MEDIA-STATEMENT-10-Nov-2025-SA-Citrus-exports-deliver-on-growth-promise.pdf</w:t>
        </w:r>
      </w:hyperlink>
    </w:p>
    <w:p>
      <w:pPr>
        <w:pStyle w:val="BodyText"/>
      </w:pPr>
      <w:hyperlink r:id="rId28">
        <w:r>
          <w:rPr>
            <w:rStyle w:val="Hyperlink"/>
          </w:rPr>
          <w:t xml:space="preserve">[8]</w:t>
        </w:r>
      </w:hyperlink>
      <w:r>
        <w:t xml:space="preserve"> </w:t>
      </w:r>
      <w:r>
        <w:t xml:space="preserve">https://www.gov.za/sites/default/files/gcis_document/202304/48428rg11572gon3287.pdf</w:t>
      </w:r>
    </w:p>
    <w:p>
      <w:pPr>
        <w:pStyle w:val="BodyText"/>
      </w:pPr>
      <w:hyperlink r:id="rId28">
        <w:r>
          <w:rPr>
            <w:rStyle w:val="Hyperlink"/>
          </w:rPr>
          <w:t xml:space="preserve">https://www.gov.za/sites/default/files/gcis_document/202304/48428rg11572gon3287.pdf</w:t>
        </w:r>
      </w:hyperlink>
    </w:p>
    <w:p>
      <w:pPr>
        <w:pStyle w:val="BodyText"/>
      </w:pPr>
      <w:hyperlink r:id="rId30">
        <w:r>
          <w:rPr>
            <w:rStyle w:val="Hyperlink"/>
          </w:rPr>
          <w:t xml:space="preserve">[9]</w:t>
        </w:r>
      </w:hyperlink>
      <w:r>
        <w:t xml:space="preserve"> </w:t>
      </w:r>
      <w:hyperlink r:id="rId30">
        <w:r>
          <w:rPr>
            <w:rStyle w:val="Hyperlink"/>
          </w:rPr>
          <w:t xml:space="preserve">[17]</w:t>
        </w:r>
      </w:hyperlink>
      <w:r>
        <w:t xml:space="preserve"> </w:t>
      </w:r>
      <w:r>
        <w:t xml:space="preserve">https://www.theiwsr.com/insight/beverage-alcohol-in-africa-a-heady-mix-of-complexity-and-opportunity-in-2024/</w:t>
      </w:r>
    </w:p>
    <w:p>
      <w:pPr>
        <w:pStyle w:val="BodyText"/>
      </w:pPr>
      <w:hyperlink r:id="rId30">
        <w:r>
          <w:rPr>
            <w:rStyle w:val="Hyperlink"/>
          </w:rPr>
          <w:t xml:space="preserve">https://www.theiwsr.com/insight/beverage-alcohol-in-africa-a-heady-mix-of-complexity-and-opportunity-in-2024/</w:t>
        </w:r>
      </w:hyperlink>
    </w:p>
    <w:p>
      <w:pPr>
        <w:pStyle w:val="BodyText"/>
      </w:pPr>
      <w:hyperlink r:id="rId31">
        <w:r>
          <w:rPr>
            <w:rStyle w:val="Hyperlink"/>
          </w:rPr>
          <w:t xml:space="preserve">[10]</w:t>
        </w:r>
      </w:hyperlink>
      <w:r>
        <w:t xml:space="preserve"> </w:t>
      </w:r>
      <w:hyperlink r:id="rId31">
        <w:r>
          <w:rPr>
            <w:rStyle w:val="Hyperlink"/>
          </w:rPr>
          <w:t xml:space="preserve">[14]</w:t>
        </w:r>
      </w:hyperlink>
      <w:r>
        <w:t xml:space="preserve"> </w:t>
      </w:r>
      <w:r>
        <w:t xml:space="preserve">https://www.diageobaracademy.com/en-zz/home/cocktail-trends-and-festive-serves/6-bar-industry-trends-tipped-for-2025</w:t>
      </w:r>
    </w:p>
    <w:p>
      <w:pPr>
        <w:pStyle w:val="BodyText"/>
      </w:pPr>
      <w:hyperlink r:id="rId31">
        <w:r>
          <w:rPr>
            <w:rStyle w:val="Hyperlink"/>
          </w:rPr>
          <w:t xml:space="preserve">https://www.diageobaracademy.com/en-zz/home/cocktail-trends-and-festive-serves/6-bar-industry-trends-tipped-for-2025</w:t>
        </w:r>
      </w:hyperlink>
    </w:p>
    <w:p>
      <w:pPr>
        <w:pStyle w:val="BodyText"/>
      </w:pPr>
      <w:hyperlink r:id="rId33">
        <w:r>
          <w:rPr>
            <w:rStyle w:val="Hyperlink"/>
          </w:rPr>
          <w:t xml:space="preserve">[13]</w:t>
        </w:r>
      </w:hyperlink>
      <w:r>
        <w:t xml:space="preserve"> </w:t>
      </w:r>
      <w:hyperlink r:id="rId33">
        <w:r>
          <w:rPr>
            <w:rStyle w:val="Hyperlink"/>
          </w:rPr>
          <w:t xml:space="preserve">[16]</w:t>
        </w:r>
      </w:hyperlink>
      <w:r>
        <w:t xml:space="preserve"> </w:t>
      </w:r>
      <w:r>
        <w:t xml:space="preserve">https://www.statssa.gov.za/publications/P0318/P03182024.pdf</w:t>
      </w:r>
    </w:p>
    <w:p>
      <w:pPr>
        <w:pStyle w:val="BodyText"/>
      </w:pPr>
      <w:hyperlink r:id="rId33">
        <w:r>
          <w:rPr>
            <w:rStyle w:val="Hyperlink"/>
          </w:rPr>
          <w:t xml:space="preserve">https://www.statssa.gov.za/publications/P0318/P03182024.pdf</w:t>
        </w:r>
      </w:hyperlink>
    </w:p>
    <w:p>
      <w:pPr>
        <w:pStyle w:val="BodyText"/>
      </w:pPr>
      <w:hyperlink r:id="rId34">
        <w:r>
          <w:rPr>
            <w:rStyle w:val="Hyperlink"/>
          </w:rPr>
          <w:t xml:space="preserve">[15]</w:t>
        </w:r>
      </w:hyperlink>
      <w:r>
        <w:t xml:space="preserve"> </w:t>
      </w:r>
      <w:hyperlink r:id="rId34">
        <w:r>
          <w:rPr>
            <w:rStyle w:val="Hyperlink"/>
          </w:rPr>
          <w:t xml:space="preserve">[18]</w:t>
        </w:r>
      </w:hyperlink>
      <w:r>
        <w:t xml:space="preserve"> </w:t>
      </w:r>
      <w:hyperlink r:id="rId34">
        <w:r>
          <w:rPr>
            <w:rStyle w:val="Hyperlink"/>
          </w:rPr>
          <w:t xml:space="preserve">[20]</w:t>
        </w:r>
      </w:hyperlink>
      <w:r>
        <w:t xml:space="preserve"> </w:t>
      </w:r>
      <w:r>
        <w:t xml:space="preserve">https://www.checkers.co.za/product/ginista-dehydrated-cocktail-blood-orange-garnish-slices-pouch-30g-10940832EA?srsltid=AfmBOooZ3-8AgdAVtNk5S0K1bH2EVobEaqO8ciRqOvL6Y0aCSoLBzQys</w:t>
      </w:r>
    </w:p>
    <w:p>
      <w:pPr>
        <w:pStyle w:val="BodyText"/>
      </w:pPr>
      <w:hyperlink r:id="rId34">
        <w:r>
          <w:rPr>
            <w:rStyle w:val="Hyperlink"/>
          </w:rPr>
          <w:t xml:space="preserve">https://www.checkers.co.za/product/ginista-dehydrated-cocktail-blood-orange-garnish-slices-pouch-30g-10940832EA?srsltid=AfmBOooZ3-8AgdAVtNk5S0K1bH2EVobEaqO8ciRqOvL6Y0aCSoLBzQys</w:t>
        </w:r>
      </w:hyperlink>
    </w:p>
    <w:p>
      <w:pPr>
        <w:pStyle w:val="BodyText"/>
      </w:pPr>
      <w:hyperlink r:id="rId38">
        <w:r>
          <w:rPr>
            <w:rStyle w:val="Hyperlink"/>
          </w:rPr>
          <w:t xml:space="preserve">[22]</w:t>
        </w:r>
      </w:hyperlink>
      <w:r>
        <w:t xml:space="preserve"> </w:t>
      </w:r>
      <w:r>
        <w:t xml:space="preserve">https://www.philips.co.za/c-p/NA231_00/2000-series-airfryer-2000-series-62l-silver</w:t>
      </w:r>
    </w:p>
    <w:p>
      <w:pPr>
        <w:pStyle w:val="BodyText"/>
      </w:pPr>
      <w:hyperlink r:id="rId38">
        <w:r>
          <w:rPr>
            <w:rStyle w:val="Hyperlink"/>
          </w:rPr>
          <w:t xml:space="preserve">https://www.philips.co.za/c-p/NA231_00/2000-series-airfryer-2000-series-62l-silver</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housebrandsa.co.za/" TargetMode="External" /><Relationship Type="http://schemas.openxmlformats.org/officeDocument/2006/relationships/hyperlink" Id="rId24" Target="https://nchfp.uga.edu/how/dry/drying-general/packaging-and-storing-dried-foods/" TargetMode="External" /><Relationship Type="http://schemas.openxmlformats.org/officeDocument/2006/relationships/hyperlink" Id="rId27" Target="https://www.cga.co.za/wp-content/uploads/2025/11/MEDIA-STATEMENT-10-Nov-2025-SA-Citrus-exports-deliver-on-growth-promise.pdf" TargetMode="External" /><Relationship Type="http://schemas.openxmlformats.org/officeDocument/2006/relationships/hyperlink" Id="rId34" Target="https://www.checkers.co.za/product/ginista-dehydrated-cocktail-blood-orange-garnish-slices-pouch-30g-10940832EA?srsltid=AfmBOooZ3-8AgdAVtNk5S0K1bH2EVobEaqO8ciRqOvL6Y0aCSoLBzQys" TargetMode="External" /><Relationship Type="http://schemas.openxmlformats.org/officeDocument/2006/relationships/hyperlink" Id="rId23" Target="https://www.csir.co.za/sites/default/files/Documents/Food%20waste%20prevention_LANDSCAPE%28EDMS%29%20-%2005-02-2021.pdf" TargetMode="External" /><Relationship Type="http://schemas.openxmlformats.org/officeDocument/2006/relationships/hyperlink" Id="rId31" Target="https://www.diageobaracademy.com/en-zz/home/cocktail-trends-and-festive-serves/6-bar-industry-trends-tipped-for-2025" TargetMode="External" /><Relationship Type="http://schemas.openxmlformats.org/officeDocument/2006/relationships/hyperlink" Id="rId28" Target="https://www.gov.za/sites/default/files/gcis_document/202304/48428rg11572gon3287.pdf" TargetMode="External" /><Relationship Type="http://schemas.openxmlformats.org/officeDocument/2006/relationships/hyperlink" Id="rId26" Target="https://www.locacocktails.co.za/products/230-dehydrated-lemons-wheels?srsltid=AfmBOorYyVzFrVwT7hH4bKHwLjRv_aXzJSTMJZZA6HHDlmR_1NfZnOau" TargetMode="External" /><Relationship Type="http://schemas.openxmlformats.org/officeDocument/2006/relationships/hyperlink" Id="rId38" Target="https://www.philips.co.za/c-p/NA231_00/2000-series-airfryer-2000-series-62l-silver" TargetMode="External" /><Relationship Type="http://schemas.openxmlformats.org/officeDocument/2006/relationships/hyperlink" Id="rId33" Target="https://www.statssa.gov.za/publications/P0318/P03182024.pdf" TargetMode="External" /><Relationship Type="http://schemas.openxmlformats.org/officeDocument/2006/relationships/hyperlink" Id="rId21" Target="https://www.statssa.gov.za/publications/P6420/P6420June2025.pdf" TargetMode="External" /><Relationship Type="http://schemas.openxmlformats.org/officeDocument/2006/relationships/hyperlink" Id="rId30" Target="https://www.theiwsr.com/insight/beverage-alcohol-in-africa-a-heady-mix-of-complexity-and-opportunity-in-2024/" TargetMode="External" /><Relationship Type="http://schemas.openxmlformats.org/officeDocument/2006/relationships/hyperlink" Id="rId22" Target="https://www.wasteroadmap.co.za/wp-content/uploads/2021/06/17-CSIR-Final_Technical-report_Food-waste.pdf" TargetMode="External" /></Relationships>
</file>

<file path=word/_rels/footnotes.xml.rels><?xml version="1.0" encoding="UTF-8"?><Relationships xmlns="http://schemas.openxmlformats.org/package/2006/relationships"><Relationship Type="http://schemas.openxmlformats.org/officeDocument/2006/relationships/hyperlink" Id="rId25" Target="https://housebrandsa.co.za/" TargetMode="External" /><Relationship Type="http://schemas.openxmlformats.org/officeDocument/2006/relationships/hyperlink" Id="rId24" Target="https://nchfp.uga.edu/how/dry/drying-general/packaging-and-storing-dried-foods/" TargetMode="External" /><Relationship Type="http://schemas.openxmlformats.org/officeDocument/2006/relationships/hyperlink" Id="rId27" Target="https://www.cga.co.za/wp-content/uploads/2025/11/MEDIA-STATEMENT-10-Nov-2025-SA-Citrus-exports-deliver-on-growth-promise.pdf" TargetMode="External" /><Relationship Type="http://schemas.openxmlformats.org/officeDocument/2006/relationships/hyperlink" Id="rId34" Target="https://www.checkers.co.za/product/ginista-dehydrated-cocktail-blood-orange-garnish-slices-pouch-30g-10940832EA?srsltid=AfmBOooZ3-8AgdAVtNk5S0K1bH2EVobEaqO8ciRqOvL6Y0aCSoLBzQys" TargetMode="External" /><Relationship Type="http://schemas.openxmlformats.org/officeDocument/2006/relationships/hyperlink" Id="rId23" Target="https://www.csir.co.za/sites/default/files/Documents/Food%20waste%20prevention_LANDSCAPE%28EDMS%29%20-%2005-02-2021.pdf" TargetMode="External" /><Relationship Type="http://schemas.openxmlformats.org/officeDocument/2006/relationships/hyperlink" Id="rId31" Target="https://www.diageobaracademy.com/en-zz/home/cocktail-trends-and-festive-serves/6-bar-industry-trends-tipped-for-2025" TargetMode="External" /><Relationship Type="http://schemas.openxmlformats.org/officeDocument/2006/relationships/hyperlink" Id="rId28" Target="https://www.gov.za/sites/default/files/gcis_document/202304/48428rg11572gon3287.pdf" TargetMode="External" /><Relationship Type="http://schemas.openxmlformats.org/officeDocument/2006/relationships/hyperlink" Id="rId26" Target="https://www.locacocktails.co.za/products/230-dehydrated-lemons-wheels?srsltid=AfmBOorYyVzFrVwT7hH4bKHwLjRv_aXzJSTMJZZA6HHDlmR_1NfZnOau" TargetMode="External" /><Relationship Type="http://schemas.openxmlformats.org/officeDocument/2006/relationships/hyperlink" Id="rId38" Target="https://www.philips.co.za/c-p/NA231_00/2000-series-airfryer-2000-series-62l-silver" TargetMode="External" /><Relationship Type="http://schemas.openxmlformats.org/officeDocument/2006/relationships/hyperlink" Id="rId33" Target="https://www.statssa.gov.za/publications/P0318/P03182024.pdf" TargetMode="External" /><Relationship Type="http://schemas.openxmlformats.org/officeDocument/2006/relationships/hyperlink" Id="rId21" Target="https://www.statssa.gov.za/publications/P6420/P6420June2025.pdf" TargetMode="External" /><Relationship Type="http://schemas.openxmlformats.org/officeDocument/2006/relationships/hyperlink" Id="rId30" Target="https://www.theiwsr.com/insight/beverage-alcohol-in-africa-a-heady-mix-of-complexity-and-opportunity-in-2024/" TargetMode="External" /><Relationship Type="http://schemas.openxmlformats.org/officeDocument/2006/relationships/hyperlink" Id="rId22" Target="https://www.wasteroadmap.co.za/wp-content/uploads/2021/06/17-CSIR-Final_Technical-report_Food-wast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2026-02-13T10:29:29Z</dcterms:created>
  <dcterms:modified xsi:type="dcterms:W3CDTF">2026-02-13T10:29:29Z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