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 w:ascii="微软雅黑" w:hAnsi="微软雅黑"/>
          <w:b/>
          <w:sz w:val="36"/>
        </w:rPr>
        <w:t>DFT 计算与机器学习方法</w:t>
      </w:r>
    </w:p>
    <w:p>
      <w:pPr>
        <w:jc w:val="center"/>
      </w:pPr>
      <w:r>
        <w:rPr>
          <w:rFonts w:eastAsia="微软雅黑" w:ascii="微软雅黑" w:hAnsi="微软雅黑"/>
          <w:color w:val="595959"/>
          <w:sz w:val="18"/>
        </w:rPr>
        <w:t>参考模板：Han 等, Adv. Mater. 2025, 37, e11814（Data-Driven Additive Discovery with HOMO-Descriptor Enabled Durable Aqueous Zinc Batteries）</w:t>
      </w:r>
    </w:p>
    <w:p>
      <w:pPr>
        <w:pStyle w:val="Heading1"/>
      </w:pPr>
      <w:r>
        <w:rPr>
          <w:rFonts w:eastAsia="微软雅黑" w:ascii="微软雅黑" w:hAnsi="微软雅黑"/>
          <w:b/>
          <w:color w:val="000000"/>
          <w:sz w:val="28"/>
        </w:rPr>
        <w:t>1. DFT Calculations</w:t>
      </w:r>
    </w:p>
    <w:p>
      <w:pPr>
        <w:jc w:val="both"/>
      </w:pPr>
      <w:r>
        <w:rPr>
          <w:rFonts w:eastAsia="微软雅黑" w:ascii="微软雅黑" w:hAnsi="微软雅黑"/>
        </w:rPr>
        <w:t>本工作的目标变量为气相 1:1 单体–金属离子结合能，定义为 ΔE = E(单体–M) − E(单体) − E(M)，负值越大表示结合越强。作为方法学参照，模板文献在 Gaussian 16 程序中采用 B3LYP/6-311+G(d,p) 水平完成分子的几何优化与振动频率分析（确认无虚频，保证结构位于势能面极小点），并在优化结构上提取偶极矩、极化率、HOMO/LUMO 能级与 NBO 原子电荷；其表面吸附能则用 VASP 的 PBE + PAW 方法、400 eV 平面波截断能、7×7×7 k 点网格与 20 Å 真空层计算得到。</w:t>
      </w:r>
    </w:p>
    <w:p>
      <w:pPr>
        <w:jc w:val="both"/>
      </w:pPr>
      <w:r>
        <w:rPr>
          <w:rFonts w:eastAsia="微软雅黑" w:ascii="微软雅黑" w:hAnsi="微软雅黑"/>
        </w:rPr>
        <w:t>推荐的逐分子 DFT 协议遵循同一框架并做了强化：对每个单体及其与金属离子的 1:1 配合物分别进行几何优化并做频率检验；全程加入 Grimme D3(BJ) 色散校正，以计入 π–阳离子与芳环堆积中的色散贡献（忽略色散会系统性高估 ΔE，即低估结合强度）；结合能经 Boys–Bernardi 计数器平衡（counterpoise）修正，消除基组重叠误差（BSSE）对不同尺寸分子造成的比较偏差；最后通过 NBO 电荷与静电势分析定量电荷转移，并与 HOMO/LUMO 能级、偶极矩、极化率等量子化学量一起汇入 14 个分子描述符。需要特别说明：此前工作簿中的目标值多来自配位基团加和模型的估算（不确定度约 ±25%），并非逐分子 DFT 结果；本节协议是后续获得物理真实数据的标准流程。</w:t>
      </w:r>
    </w:p>
    <w:p>
      <w:pPr>
        <w:jc w:val="both"/>
      </w:pPr>
      <w:r>
        <w:rPr>
          <w:rFonts w:eastAsia="微软雅黑" w:ascii="微软雅黑" w:hAnsi="微软雅黑"/>
        </w:rPr>
        <w:t>描述符的物理解读同样重要：HOMO 能级度量单体的给电子倾向（电离势的代理量），LUMO 能级度量得电子能力，HOMO–LUMO 能隙刻画电子结构的稳定性与反应活性；偶极矩反映电荷分布的不对称程度，极化率度量电子云在外场下的可变形性，二者共同决定金属离子与单体之间的静电与诱导相互作用强度。对强结合体系，建议在 B3LYP/6-311+G(d,p) 优化基础上追加更高精度单点计算（如 def2-TZVPP 基组）检验基组收敛性；需要显式溶剂分子参与时，可补充簇模型（显式溶剂 + SMD 连续介质）加以校正。</w:t>
      </w:r>
    </w:p>
    <w:p>
      <w:pPr>
        <w:pStyle w:val="Heading1"/>
      </w:pPr>
      <w:r>
        <w:rPr>
          <w:rFonts w:eastAsia="微软雅黑" w:ascii="微软雅黑" w:hAnsi="微软雅黑"/>
          <w:b/>
          <w:color w:val="000000"/>
          <w:sz w:val="28"/>
        </w:rPr>
        <w:t>2. Machine Learning</w:t>
      </w:r>
    </w:p>
    <w:p>
      <w:pPr>
        <w:jc w:val="both"/>
      </w:pPr>
      <w:r>
        <w:rPr>
          <w:rFonts w:eastAsia="微软雅黑" w:ascii="微软雅黑" w:hAnsi="微软雅黑"/>
        </w:rPr>
        <w:t>建模输入为 394×14 的特征矩阵，但实际独立信息量只有 13 维：|HOMO| 与 HOMO 完全共线、|LUMO| 与 LUMO 高度共线，这种冗余会放大线性模型系数的方差，因此线性基线采用带正则项的 PLS / Ridge / Lasso / ElasticNet，而非无正则的普通最小二乘。全部预处理封装为 scikit-learn Pipeline：缺失值填补与标准化只在训练折上拟合、再套用到验证折，从机制上杜绝了验证折信息泄漏——这是交叉验证结果可信的必要前提，而非可有可无的细节。</w:t>
      </w:r>
    </w:p>
    <w:p>
      <w:pPr>
        <w:jc w:val="both"/>
      </w:pPr>
      <w:r>
        <w:rPr>
          <w:rFonts w:eastAsia="微软雅黑" w:ascii="微软雅黑" w:hAnsi="微软雅黑"/>
        </w:rPr>
        <w:t>模板文献以决策桩为基学习器的 AdaBoost 集成（n_estimators = 50）配合 PCC / SHAP 分析构建 HOMO 预测模型；本工作在此基础上扩展为 18 种算法、六大模型族的系统基准，其胜负可以从偏差–方差（bias–variance）的角度深刻理解。线性模型假设结构–性质映射全局线性，而结合能由配位基团的数目、硬度与界面亲疏水性共同决定，强非线性使线性族普遍欠拟合（5 折 R² 约 0.36–0.40）；多层感知机（MLP）容量虽高，但受限于 394 个样本，LOO Q² 跌至 −0.101，属于典型的过拟合；树集成恰好占据最优区间：bagging（RF / ET）通过平均降低方差，boosting（GBR / XGBoost / LightGBM）通过序贯拟合残差降低偏差，而 ET 进一步随机化分裂阈值、方差更低，因此在 5 折与 LOO 两套方案下均领先（R² = 0.735，Q² = 0.779）。这说明小样本 QSPR 的精度上限通常由“模型容量与数据量的匹配”决定，而非算法数量的堆砌。</w:t>
      </w:r>
    </w:p>
    <w:p>
      <w:pPr>
        <w:jc w:val="both"/>
      </w:pPr>
      <w:r>
        <w:rPr>
          <w:rFonts w:eastAsia="微软雅黑" w:ascii="微软雅黑" w:hAnsi="微软雅黑"/>
        </w:rPr>
        <w:t>验证设计采用互补的双重方案。5 折交叉验证反映模型在约 315 个训练样本下的平均外推能力，并给出折间波动；留一法（LOO-CV）每次以 393 个样本训练、仅留 1 个验证，估计近乎无偏但方差较高，其决定系数即 QSPR 惯例中的 Q²。两套方案给出的模型排序高度一致（Pearson r = 0.983），说明“集成学习占优”的结论不依赖具体划分。指标选取同样讲究：RMSE 对大误差平方敏感，MAE（37.8 kJ/mol）对离群值稳健，其与目标值标准差（132.1 kJ/mol）之比约 29%，表明当前模型可用于同系物间的相对排序与粗筛，但不足以替代高精度计算判断结合能的绝对值。</w:t>
      </w:r>
    </w:p>
    <w:p>
      <w:pPr>
        <w:jc w:val="both"/>
      </w:pPr>
      <w:r>
        <w:rPr>
          <w:rFonts w:eastAsia="微软雅黑" w:ascii="微软雅黑" w:hAnsi="微软雅黑"/>
        </w:rPr>
        <w:t>可解释性分析遵循“多种方法交叉印证”的原则。置换重要性（permutation importance）与模型类型无关，以打乱单个特征后 R² 的下降幅度度量贡献；随机森林内建重要性基于不纯度下降，作为其交叉印证；精确 Shapley 值（KernelSHAP，对 2¹⁴ = 16384 个子集完全枚举）满足效率性、对称性、虚拟性与可加性四条公理，能把每一次预测严格分解为“基线值 + 各描述符贡献”。多套方法一致把 HBA、TPSA、logP 与 mu 置于重要性前列，而 HOMO / LUMO 及派生量贡献有限——这与金属离子作为硬路易斯酸偏好含氧、含氮配位基团的化学直觉吻合。但必须强调：Shapley 值解释的是“模型如何利用特征”，而非物理因果；结合描述符数据质量核验可知，落在 HBA / HBD 上的高贡献可能部分来自这些列自身的噪声，这是所有解释性结论必须附带的不确定性声明。</w:t>
      </w:r>
    </w:p>
    <w:p>
      <w:pPr>
        <w:jc w:val="both"/>
      </w:pPr>
      <w:r>
        <w:rPr>
          <w:rFonts w:eastAsia="微软雅黑" w:ascii="微软雅黑" w:hAnsi="微软雅黑"/>
        </w:rPr>
        <w:t>统计显著性由 Y-scrambling 把关：20 次随机重排标签后，5 折 R² 均值为 −0.435，远低于真实标签下的 0.735，证明模型捕捉的是真实存在的构效关系而非偶然拟合。学习曲线显示验证 R² 随样本数单调上升且尚未出现平台，说明 394 个样本仍未满足树集成的数据需求，扩充强结合与弱结合两端样本有望继续提升精度。综合以上，本工作的核心结论——树集成占优、极性/界面描述符主导、预测上限 Q² ≈ 0.78——在数据质量核验、双重验证设计与显著性检验三重约束下是稳健的；后续引入逐分子 DFT 目标值、嵌套交叉验证与贝叶斯超参优化，有望把精度推进到定量筛选水平。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