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cs="Calibri" w:eastAsia="微软雅黑"/>
          <w:b/>
          <w:color w:val="1F4D78"/>
          <w:sz w:val="38"/>
        </w:rPr>
        <w:t>聚合物单体与 Zn</w:t>
      </w:r>
      <w:r>
        <w:rPr>
          <w:rFonts w:ascii="Calibri" w:hAnsi="Calibri" w:cs="Calibri" w:eastAsia="微软雅黑"/>
          <w:b/>
          <w:color w:val="1F4D78"/>
          <w:sz w:val="38"/>
          <w:vertAlign w:val="superscript"/>
        </w:rPr>
        <w:t>2+</w:t>
      </w:r>
      <w:r>
        <w:rPr>
          <w:rFonts w:ascii="Calibri" w:hAnsi="Calibri" w:cs="Calibri" w:eastAsia="微软雅黑"/>
          <w:b/>
          <w:color w:val="1F4D78"/>
          <w:sz w:val="38"/>
        </w:rPr>
        <w:t xml:space="preserve"> 结合能的机器学习建模</w:t>
      </w:r>
      <w:r>
        <w:br/>
      </w:r>
      <w:r>
        <w:rPr>
          <w:rFonts w:ascii="Calibri" w:hAnsi="Calibri" w:cs="Calibri" w:eastAsia="微软雅黑"/>
          <w:b/>
          <w:color w:val="1F4D78"/>
          <w:sz w:val="38"/>
        </w:rPr>
        <w:t>模型性能分析报告</w:t>
      </w:r>
    </w:p>
    <w:p>
      <w:pPr>
        <w:spacing w:before="0" w:after="160"/>
        <w:pBdr>
          <w:bottom w:val="single" w:sz="8" w:space="2" w:color="9DBEDC"/>
        </w:pBdr>
      </w:pPr>
      <w:r>
        <w:rPr>
          <w:rFonts w:ascii="Calibri" w:hAnsi="Calibri" w:cs="Calibri" w:eastAsia="微软雅黑"/>
          <w:b/>
          <w:color w:val="2E74B5"/>
          <w:sz w:val="22"/>
        </w:rPr>
        <w:t>394 个分子  ·  14 个分子描述符  ·  18 种回归模型  ·  5 折交叉验证与留一法交叉验证</w:t>
      </w:r>
    </w:p>
    <w:p>
      <w:pPr>
        <w:spacing w:before="120" w:after="240" w:line="288" w:lineRule="auto"/>
      </w:pPr>
      <w:r>
        <w:rPr>
          <w:rFonts w:ascii="Calibri" w:hAnsi="Calibri" w:cs="Calibri" w:eastAsia="微软雅黑"/>
          <w:b/>
          <w:color w:val="5A6672"/>
          <w:sz w:val="18"/>
        </w:rPr>
        <w:t xml:space="preserve">数据文件: </w:t>
      </w:r>
      <w:r>
        <w:rPr>
          <w:rFonts w:ascii="Calibri" w:hAnsi="Calibri" w:cs="Calibri" w:eastAsia="微软雅黑"/>
          <w:color w:val="5A6672"/>
          <w:sz w:val="18"/>
        </w:rPr>
        <w:t xml:space="preserve">聚合物单体计算21.xlsx (394 个分子, 14 个描述符)    </w:t>
      </w:r>
      <w:r>
        <w:rPr>
          <w:rFonts w:ascii="Calibri" w:hAnsi="Calibri" w:cs="Calibri" w:eastAsia="微软雅黑"/>
          <w:b/>
          <w:color w:val="5A6672"/>
          <w:sz w:val="18"/>
        </w:rPr>
        <w:t xml:space="preserve">建模目标: </w:t>
      </w:r>
      <w:r>
        <w:rPr>
          <w:rFonts w:ascii="Calibri" w:hAnsi="Calibri" w:cs="Calibri" w:eastAsia="微软雅黑"/>
          <w:color w:val="5A6672"/>
          <w:sz w:val="18"/>
        </w:rPr>
        <w:t xml:space="preserve">与锌离子的结合能 ΔE (kJ/mol)    </w:t>
      </w:r>
      <w:r>
        <w:rPr>
          <w:rFonts w:ascii="Calibri" w:hAnsi="Calibri" w:cs="Calibri" w:eastAsia="微软雅黑"/>
          <w:b/>
          <w:color w:val="5A6672"/>
          <w:sz w:val="18"/>
        </w:rPr>
        <w:t xml:space="preserve">报告日期: </w:t>
      </w:r>
      <w:r>
        <w:rPr>
          <w:rFonts w:ascii="Calibri" w:hAnsi="Calibri" w:cs="Calibri" w:eastAsia="微软雅黑"/>
          <w:color w:val="5A6672"/>
          <w:sz w:val="18"/>
        </w:rPr>
        <w:t>2026-09-24</w:t>
      </w:r>
    </w:p>
    <w:p>
      <w:pPr>
        <w:pStyle w:val="Heading1"/>
      </w:pPr>
      <w:r>
        <w:rPr>
          <w:rFonts w:ascii="Calibri" w:hAnsi="Calibri" w:cs="Calibri" w:eastAsia="微软雅黑"/>
          <w:b/>
          <w:color w:val="2E74B5"/>
          <w:sz w:val="30"/>
        </w:rPr>
        <w:t>摘要</w:t>
      </w:r>
    </w:p>
    <w:p>
      <w:pPr>
        <w:overflowPunct w:val="0"/>
        <w:spacing w:before="0" w:after="120" w:line="300" w:lineRule="auto"/>
        <w:jc w:val="left"/>
      </w:pPr>
      <w:r>
        <w:rPr>
          <w:rFonts w:ascii="Calibri" w:hAnsi="Calibri" w:cs="Calibri" w:eastAsia="微软雅黑"/>
          <w:color w:val="1F2933"/>
          <w:sz w:val="21"/>
        </w:rPr>
        <w:t>本报告针对聚合物单体计算21.xlsx 中的 394 个聚合物单体分子, 以 14 个分子描述符为输入特征, 对其与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的结合能 ΔE (kJ/mol) 开展机器学习建模与性能评估。研究覆盖线性模型、核方法、近邻方法、树模型、集成学习与神经网络共 6 个族别的 18 种回归算法, 全部模型均通过 5 折交叉验证 (5-fold CV) 与留一法交叉验证 (LOO-CV, 394 折) 两套独立方案评估, 并辅以置换重要性分析、随机森林内置重要性、精确 Shapley 值分解 (KernelSHAP, 2</w:t>
      </w:r>
      <w:r>
        <w:rPr>
          <w:rFonts w:ascii="Calibri" w:hAnsi="Calibri" w:cs="Calibri" w:eastAsia="微软雅黑"/>
          <w:color w:val="1F2933"/>
          <w:sz w:val="21"/>
          <w:vertAlign w:val="superscript"/>
        </w:rPr>
        <w:t>14</w:t>
      </w:r>
      <w:r>
        <w:rPr>
          <w:rFonts w:ascii="Calibri" w:hAnsi="Calibri" w:cs="Calibri" w:eastAsia="微软雅黑"/>
          <w:color w:val="1F2933"/>
          <w:sz w:val="21"/>
        </w:rPr>
        <w:t xml:space="preserve"> 子集完全枚举) 与 Y-scrambling 显著性检验。</w:t>
      </w:r>
    </w:p>
    <w:p>
      <w:pPr>
        <w:overflowPunct w:val="0"/>
        <w:spacing w:before="0" w:after="120" w:line="300" w:lineRule="auto"/>
        <w:jc w:val="left"/>
      </w:pPr>
      <w:r>
        <w:rPr>
          <w:rFonts w:ascii="Calibri" w:hAnsi="Calibri" w:cs="Calibri" w:eastAsia="微软雅黑"/>
          <w:color w:val="1F2933"/>
          <w:sz w:val="21"/>
        </w:rPr>
        <w:t>结果显示: 以决策树为基学习器的集成模型显著优于线性与核方法。极端随机树 (ET) 取得最优综合性能, 5 折交叉验证 R² = 0.735 (RMSE = 67.9 kJ/mol, MAE = 43.4 kJ/mol), 留一法交叉验证 Q² = 0.779 (RMSE = 62.0 kJ/mol)。两种交叉验证方案给出的排序高度一致 (皮尔逊相关系数见 4.8 节), 说明模型排名不依赖单一的划分方式。</w:t>
      </w:r>
    </w:p>
    <w:p>
      <w:pPr>
        <w:overflowPunct w:val="0"/>
        <w:spacing w:before="0" w:after="120" w:line="300" w:lineRule="auto"/>
        <w:jc w:val="left"/>
      </w:pPr>
      <w:r>
        <w:rPr>
          <w:rFonts w:ascii="Calibri" w:hAnsi="Calibri" w:cs="Calibri" w:eastAsia="微软雅黑"/>
          <w:color w:val="1F2933"/>
          <w:sz w:val="21"/>
        </w:rPr>
        <w:t>描述符重要性分析 (置换重要性与精确 Shapley 值) 表明, 与配位能力及界面亲和性直接相关的氢键受体数 HBA、拓扑极性表面积 TPSA、油水分配系数 logP 与芳香环数 N_arom 构成预测结合能的核心特征组合 (Shapley 全局贡献排序前四位); 而 HOMO / LUMO 能级及其派生量的贡献相对有限, 提示在当前数据中结合能主要由局域配位基团的数目与性质决定。Y-scrambling 检验中随机重排标签后的 5 折 R² 均值为 -0.435, 远低于真实标签的 0.735, 证明模型捕获的是真实的构效关系而非偶然噪声。</w:t>
      </w:r>
    </w:p>
    <w:p>
      <w:pPr>
        <w:overflowPunct w:val="0"/>
        <w:spacing w:before="0" w:after="120" w:line="300" w:lineRule="auto"/>
        <w:jc w:val="left"/>
      </w:pPr>
      <w:r>
        <w:rPr>
          <w:rFonts w:ascii="Calibri" w:hAnsi="Calibri" w:cs="Calibri" w:eastAsia="微软雅黑"/>
          <w:color w:val="1F2933"/>
          <w:sz w:val="21"/>
        </w:rPr>
        <w:t>针对指定目标分子 2-Bromostyrene (C8H7Br, SMILES Brc1ccccc1C=C), 报告给出多来源交叉校核的结合能定位: 工作簿配位基团加和模型的估算值为 -228.2 kJ/mol, 按结构重建描述符的最优模型预测值为 -219.3 kJ/mol, 结构最近的 5 个类似物参考值为 -223.6 ~ -212.9 kJ/mol, 三者相互吻合。该分子在 394 个单体中处于结合能较弱的一侧 (有 229 个分子的结合能比它更负, 占 58.1%), 属于“弱配位/疏水型”单体。</w:t>
      </w:r>
    </w:p>
    <w:tbl>
      <w:tblPr>
        <w:tblStyle w:val="TableGrid"/>
        <w:tblW w:type="dxa" w:w="9360"/>
        <w:jc w:val="left"/>
        <w:tblLayout w:type="fixed"/>
        <w:tblLook w:firstColumn="1" w:firstRow="1" w:lastColumn="0" w:lastRow="0" w:noHBand="0" w:noVBand="1" w:val="04A0"/>
        <w:tblInd w:type="dxa" w:w="120"/>
      </w:tblPr>
      <w:tblGrid>
        <w:gridCol w:w="9360"/>
      </w:tblGrid>
      <w:tr>
        <w:trPr/>
        <w:tc>
          <w:tcPr>
            <w:tcW w:type="dxa" w:w="9360"/>
            <w:shd w:val="clear" w:color="auto" w:fill="F2F6FB"/>
            <w:tcMar>
              <w:top w:w="80" w:type="dxa"/>
              <w:bottom w:w="80" w:type="dxa"/>
              <w:start w:w="120" w:type="dxa"/>
              <w:end w:w="120" w:type="dxa"/>
            </w:tcMar>
          </w:tcPr>
          <w:p>
            <w:pPr>
              <w:spacing w:before="40" w:after="80"/>
            </w:pPr>
            <w:r/>
            <w:r>
              <w:rPr>
                <w:rFonts w:ascii="Calibri" w:hAnsi="Calibri" w:cs="Calibri" w:eastAsia="微软雅黑"/>
                <w:b/>
                <w:color w:val="1F4D78"/>
                <w:sz w:val="22"/>
              </w:rPr>
              <w:t>关键结论</w:t>
            </w:r>
          </w:p>
          <w:p>
            <w:pPr>
              <w:spacing w:before="0" w:after="60" w:line="288" w:lineRule="auto"/>
            </w:pPr>
            <w:r>
              <w:rPr>
                <w:rFonts w:ascii="Calibri" w:hAnsi="Calibri" w:cs="Calibri" w:eastAsia="微软雅黑"/>
                <w:color w:val="1F2933"/>
                <w:sz w:val="19"/>
              </w:rPr>
              <w:t>最优模型: 极端随机树 (ET), 5 折 CV R² = 0.735, LOO-CV Q² = 0.779, 平均绝对误差 MAE = 37.8 kJ/mol。</w:t>
            </w:r>
          </w:p>
          <w:p>
            <w:pPr>
              <w:spacing w:before="0" w:after="60" w:line="288" w:lineRule="auto"/>
            </w:pPr>
            <w:r>
              <w:rPr>
                <w:rFonts w:ascii="Calibri" w:hAnsi="Calibri" w:cs="Calibri" w:eastAsia="微软雅黑"/>
                <w:color w:val="1F2933"/>
                <w:sz w:val="19"/>
              </w:rPr>
              <w:t>次优模型: XGBoost (5 折 R² = 0.691, LOO Q² = 0.742) 与 随机森林 (RF) (5 折 R² = 0.686, LOO Q² = 0.740)。</w:t>
            </w:r>
          </w:p>
          <w:p>
            <w:pPr>
              <w:spacing w:before="0" w:after="60" w:line="288" w:lineRule="auto"/>
            </w:pPr>
            <w:r>
              <w:rPr>
                <w:rFonts w:ascii="Calibri" w:hAnsi="Calibri" w:cs="Calibri" w:eastAsia="微软雅黑"/>
                <w:color w:val="1F2933"/>
                <w:sz w:val="19"/>
              </w:rPr>
              <w:t>模型族排序: 集成学习 &gt; 树模型 &gt; 近邻方法 &gt; 核方法 &gt; 线性模型 &gt; 神经网络。</w:t>
            </w:r>
          </w:p>
          <w:p>
            <w:pPr>
              <w:spacing w:before="0" w:after="60" w:line="288" w:lineRule="auto"/>
            </w:pPr>
            <w:r>
              <w:rPr>
                <w:rFonts w:ascii="Calibri" w:hAnsi="Calibri" w:cs="Calibri" w:eastAsia="微软雅黑"/>
                <w:color w:val="1F2933"/>
                <w:sz w:val="19"/>
              </w:rPr>
              <w:t>核心描述符: HBA, HBD, TPSA 位列置换重要性前三。</w:t>
            </w:r>
          </w:p>
          <w:p>
            <w:pPr>
              <w:spacing w:before="0" w:after="60" w:line="288" w:lineRule="auto"/>
            </w:pPr>
            <w:r>
              <w:rPr>
                <w:rFonts w:ascii="Calibri" w:hAnsi="Calibri" w:cs="Calibri" w:eastAsia="微软雅黑"/>
                <w:color w:val="1F2933"/>
                <w:sz w:val="19"/>
              </w:rPr>
              <w:t>显著性: Y-scrambling 20 次随机置换的平均 R² = -0.435 (最大 -0.296), 真实模型 ~0.735。</w:t>
            </w:r>
          </w:p>
          <w:p>
            <w:pPr>
              <w:spacing w:before="0" w:after="60" w:line="288" w:lineRule="auto"/>
            </w:pPr>
            <w:r>
              <w:rPr>
                <w:rFonts w:ascii="Calibri" w:hAnsi="Calibri" w:cs="Calibri" w:eastAsia="微软雅黑"/>
                <w:color w:val="1F2933"/>
                <w:sz w:val="19"/>
              </w:rPr>
              <w:t>误差水平: 73.6% 的分子 LOO-CV 绝对误差在 50 kJ/mol 以内, 56.3% 在 25 kJ/mol 以内。</w:t>
            </w:r>
          </w:p>
          <w:p>
            <w:pPr>
              <w:spacing w:before="0" w:after="60" w:line="288" w:lineRule="auto"/>
            </w:pPr>
            <w:r>
              <w:rPr>
                <w:rFonts w:ascii="Calibri" w:hAnsi="Calibri" w:cs="Calibri" w:eastAsia="微软雅黑"/>
                <w:color w:val="1F2933"/>
                <w:sz w:val="19"/>
              </w:rPr>
              <w:t>目标分子: 2-Bromostyrene 的结合能约 -219.3 kJ/mol (工作簿估算 -228.2 kJ/mol), 在 394 个单体中位于较弱结合侧, 且原表该行描述符存在错位, 已在报告中单独核验。</w:t>
            </w:r>
          </w:p>
        </w:tc>
      </w:tr>
    </w:tbl>
    <w:p>
      <w:pPr>
        <w:pStyle w:val="Heading1"/>
      </w:pPr>
      <w:r>
        <w:rPr>
          <w:rFonts w:ascii="Calibri" w:hAnsi="Calibri" w:cs="Calibri" w:eastAsia="微软雅黑"/>
          <w:b/>
          <w:color w:val="2E74B5"/>
          <w:sz w:val="30"/>
        </w:rPr>
        <w:t>1  研究背景与建模目标</w:t>
      </w:r>
    </w:p>
    <w:p>
      <w:pPr>
        <w:overflowPunct w:val="0"/>
        <w:spacing w:before="0" w:after="120" w:line="300" w:lineRule="auto"/>
        <w:jc w:val="left"/>
      </w:pPr>
      <w:r>
        <w:rPr>
          <w:rFonts w:ascii="Calibri" w:hAnsi="Calibri" w:cs="Calibri" w:eastAsia="微软雅黑"/>
          <w:color w:val="1F2933"/>
          <w:sz w:val="21"/>
        </w:rPr>
        <w:t>水系锌电池中, 电解液添加剂与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的配位强度直接决定了锌沉积/溶解的可逆性以及界面副反应的抑制程度。与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结合能较强的单体能够优先占据锌离子配位层, 从而调控溶剂化结构并抑制析氢与枝晶生长。因此, 快速、准确地评估候选单体的结合能, 是添加剂分子筛选中的关键一环。</w:t>
      </w:r>
    </w:p>
    <w:p>
      <w:pPr>
        <w:overflowPunct w:val="0"/>
        <w:spacing w:before="0" w:after="120" w:line="300" w:lineRule="auto"/>
        <w:jc w:val="left"/>
      </w:pPr>
      <w:r>
        <w:rPr>
          <w:rFonts w:ascii="Calibri" w:hAnsi="Calibri" w:cs="Calibri" w:eastAsia="微软雅黑"/>
          <w:color w:val="1F2933"/>
          <w:sz w:val="21"/>
        </w:rPr>
        <w:t>通过第一性原理计算获得逐分子结合能成本较高, 而基于分子描述符的定量构效关系 (QSPR) 建模可以利用已有数据建立结构-性质映射, 对新分子进行秒级预测。本工作的目标是: 在 394 个聚合物单体样本上系统比较多种机器学习算法的泛化性能, 明确当前特征体系下结合能的预测上限, 识别影响结合能的关键分子描述符, 为后续的分子筛选与特征扩充提供依据。</w:t>
      </w:r>
    </w:p>
    <w:p>
      <w:pPr>
        <w:overflowPunct w:val="0"/>
        <w:spacing w:before="0" w:after="80" w:line="300" w:lineRule="auto"/>
        <w:jc w:val="left"/>
      </w:pPr>
      <w:r>
        <w:rPr>
          <w:rFonts w:ascii="Calibri" w:hAnsi="Calibri" w:cs="Calibri" w:eastAsia="微软雅黑"/>
          <w:color w:val="1F2933"/>
          <w:sz w:val="21"/>
        </w:rPr>
        <w:t>具体建模目标包括:</w:t>
      </w:r>
    </w:p>
    <w:p>
      <w:pPr>
        <w:overflowPunct w:val="0"/>
        <w:spacing w:before="0" w:after="80" w:line="300" w:lineRule="auto"/>
        <w:ind w:left="540" w:hanging="270"/>
        <w:numPr>
          <w:ilvl w:val="0"/>
          <w:numId w:val="10"/>
        </w:numPr>
      </w:pPr>
      <w:r>
        <w:rPr>
          <w:rFonts w:ascii="Calibri" w:hAnsi="Calibri" w:cs="Calibri" w:eastAsia="微软雅黑"/>
          <w:color w:val="1F2933"/>
          <w:sz w:val="21"/>
        </w:rPr>
        <w:t>以 14 个分子描述符为唯一输入, 量化其对结合能 ΔE 的解释能力上限;</w:t>
      </w:r>
    </w:p>
    <w:p>
      <w:pPr>
        <w:overflowPunct w:val="0"/>
        <w:spacing w:before="0" w:after="80" w:line="300" w:lineRule="auto"/>
        <w:ind w:left="540" w:hanging="270"/>
        <w:numPr>
          <w:ilvl w:val="0"/>
          <w:numId w:val="10"/>
        </w:numPr>
      </w:pPr>
      <w:r>
        <w:rPr>
          <w:rFonts w:ascii="Calibri" w:hAnsi="Calibri" w:cs="Calibri" w:eastAsia="微软雅黑"/>
          <w:color w:val="1F2933"/>
          <w:sz w:val="21"/>
        </w:rPr>
        <w:t>在同一数据划分标准下横向比较 18 种回归算法, 给出稳健的模型排序;</w:t>
      </w:r>
    </w:p>
    <w:p>
      <w:pPr>
        <w:overflowPunct w:val="0"/>
        <w:spacing w:before="0" w:after="80" w:line="300" w:lineRule="auto"/>
        <w:ind w:left="540" w:hanging="270"/>
        <w:numPr>
          <w:ilvl w:val="0"/>
          <w:numId w:val="10"/>
        </w:numPr>
      </w:pPr>
      <w:r>
        <w:rPr>
          <w:rFonts w:ascii="Calibri" w:hAnsi="Calibri" w:cs="Calibri" w:eastAsia="微软雅黑"/>
          <w:color w:val="1F2933"/>
          <w:sz w:val="21"/>
        </w:rPr>
        <w:t>通过 5 折交叉验证与留一法交叉验证双重评估, 检验结论对划分方式的敏感性;</w:t>
      </w:r>
    </w:p>
    <w:p>
      <w:pPr>
        <w:overflowPunct w:val="0"/>
        <w:spacing w:before="0" w:after="80" w:line="300" w:lineRule="auto"/>
        <w:ind w:left="540" w:hanging="270"/>
        <w:numPr>
          <w:ilvl w:val="0"/>
          <w:numId w:val="10"/>
        </w:numPr>
      </w:pPr>
      <w:r>
        <w:rPr>
          <w:rFonts w:ascii="Calibri" w:hAnsi="Calibri" w:cs="Calibri" w:eastAsia="微软雅黑"/>
          <w:color w:val="1F2933"/>
          <w:sz w:val="21"/>
        </w:rPr>
        <w:t>借助置换重要性与 Y-scrambling 检验, 识别关键描述符并验证模型的统计显著性。</w:t>
      </w:r>
    </w:p>
    <w:p>
      <w:pPr>
        <w:overflowPunct w:val="0"/>
        <w:spacing w:before="0" w:after="80" w:line="300" w:lineRule="auto"/>
        <w:ind w:left="540" w:hanging="270"/>
        <w:numPr>
          <w:ilvl w:val="0"/>
          <w:numId w:val="10"/>
        </w:numPr>
      </w:pPr>
      <w:r>
        <w:rPr>
          <w:rFonts w:ascii="Calibri" w:hAnsi="Calibri" w:cs="Calibri" w:eastAsia="微软雅黑"/>
          <w:color w:val="1F2933"/>
          <w:sz w:val="21"/>
        </w:rPr>
        <w:t>重点考察油水分配系数 (logP) 与氢键受体数 (HBA) 两类既有实验可测、又有明确界面物理含义的描述符, 与 HOMO / LUMO 前沿轨道能级一起, 定量比较它们对结合能的解释能力差异;</w:t>
      </w:r>
    </w:p>
    <w:p>
      <w:pPr>
        <w:overflowPunct w:val="0"/>
        <w:spacing w:before="0" w:after="80" w:line="300" w:lineRule="auto"/>
        <w:ind w:left="540" w:hanging="270"/>
        <w:numPr>
          <w:ilvl w:val="0"/>
          <w:numId w:val="10"/>
        </w:numPr>
      </w:pPr>
      <w:r>
        <w:rPr>
          <w:rFonts w:ascii="Calibri" w:hAnsi="Calibri" w:cs="Calibri" w:eastAsia="微软雅黑"/>
          <w:color w:val="1F2933"/>
          <w:sz w:val="21"/>
        </w:rPr>
        <w:t>对指定目标分子 2-Bromostyrene 给出结合能的多来源核验值与库内定位, 判断其是否属于“结合能较低”的候选, 并给出结构改造方向。</w:t>
      </w:r>
    </w:p>
    <w:p>
      <w:pPr>
        <w:pStyle w:val="Heading1"/>
      </w:pPr>
      <w:r>
        <w:rPr>
          <w:rFonts w:ascii="Calibri" w:hAnsi="Calibri" w:cs="Calibri" w:eastAsia="微软雅黑"/>
          <w:b/>
          <w:color w:val="2E74B5"/>
          <w:sz w:val="30"/>
        </w:rPr>
        <w:t>2  数据与分子描述符</w:t>
      </w:r>
    </w:p>
    <w:p>
      <w:pPr>
        <w:pStyle w:val="Heading2"/>
      </w:pPr>
      <w:r>
        <w:rPr>
          <w:rFonts w:ascii="Calibri" w:hAnsi="Calibri" w:cs="Calibri" w:eastAsia="微软雅黑"/>
          <w:b/>
          <w:color w:val="2E74B5"/>
          <w:sz w:val="25"/>
        </w:rPr>
        <w:t>2.1  数据来源与数据口径</w:t>
      </w:r>
    </w:p>
    <w:p>
      <w:pPr>
        <w:overflowPunct w:val="0"/>
        <w:spacing w:before="0" w:after="120" w:line="300" w:lineRule="auto"/>
        <w:jc w:val="left"/>
      </w:pPr>
      <w:r>
        <w:rPr>
          <w:rFonts w:ascii="Calibri" w:hAnsi="Calibri" w:cs="Calibri" w:eastAsia="微软雅黑"/>
          <w:color w:val="1F2933"/>
          <w:sz w:val="21"/>
        </w:rPr>
        <w:t>建模样本来自聚合物单体计算21.xlsx 的“聚合物单体计算21”工作表, 共 394 行分子记录, 包含分子名、SMILES 以及 14 个数值型分子描述符。目标变量为“与锌离子的结合能”列 (ΔE, kJ/mol, 气相 1:1 结合能, 负值表示结合有利)。</w:t>
      </w:r>
    </w:p>
    <w:p>
      <w:pPr>
        <w:overflowPunct w:val="0"/>
        <w:spacing w:before="0" w:after="120" w:line="300" w:lineRule="auto"/>
        <w:jc w:val="left"/>
      </w:pPr>
      <w:r>
        <w:rPr>
          <w:rFonts w:ascii="Calibri" w:hAnsi="Calibri" w:cs="Calibri" w:eastAsia="微软雅黑"/>
          <w:color w:val="1F2933"/>
          <w:sz w:val="21"/>
        </w:rPr>
        <w:t>需要说明数据口径: 目标列“与锌离子的结合能”在当前工作簿中已直接给出数值 (全部 394 行均为数值型, 无空值、无失效引用)。为确认来源, 本报告将该列与同一工作簿含“锌离子结合能计算”与“模型参数”工作表的完整计算版本按 SMILES 逐行核对: 394 个分子的结合能数值完全一致 (最大偏差 &lt; 1e-12 kJ/mol), 分子名、SMILES 与描述符列亦逐一对应。该列由工作簿中的配位基团加和模型估算得到 (标注不确定度约 ±25%), 因此本报告结论适用于该数据口径下的构效关系分析, 不宜直接作为高精度热力学数据使用。</w:t>
      </w:r>
    </w:p>
    <w:p>
      <w:pPr>
        <w:overflowPunct w:val="0"/>
        <w:spacing w:before="0" w:after="120" w:line="300" w:lineRule="auto"/>
        <w:jc w:val="left"/>
      </w:pPr>
      <w:r>
        <w:rPr>
          <w:rFonts w:ascii="Calibri" w:hAnsi="Calibri" w:cs="Calibri" w:eastAsia="微软雅黑"/>
          <w:color w:val="1F2933"/>
          <w:sz w:val="21"/>
        </w:rPr>
        <w:t>全部 394 条记录的 14 个描述符与目标值均为数值型, 无空单元格, 因此无需样本剔除; 但描述符列存在结构层面的失真与少量重复记录 (按 SMILES 判重有 5 组共 10 行重复, 主要来自“丙烯酸酯/甲基丙烯酸酯”与“游离酸/钠盐/钾盐”等同构异名记录), 详见 2.5 节的数据质量核查。为保持与原始数据一致的可复现性, 建模保留全部 394 行, 未作删改。</w:t>
      </w:r>
    </w:p>
    <w:p>
      <w:pPr>
        <w:pStyle w:val="Heading2"/>
      </w:pPr>
      <w:r>
        <w:rPr>
          <w:rFonts w:ascii="Calibri" w:hAnsi="Calibri" w:cs="Calibri" w:eastAsia="微软雅黑"/>
          <w:b/>
          <w:color w:val="2E74B5"/>
          <w:sz w:val="25"/>
        </w:rPr>
        <w:t>2.2  目标变量分布</w:t>
      </w:r>
    </w:p>
    <w:tbl>
      <w:tblPr>
        <w:tblStyle w:val="TableGrid"/>
        <w:tblW w:type="dxa" w:w="9360"/>
        <w:jc w:val="left"/>
        <w:tblLayout w:type="fixed"/>
        <w:tblLook w:firstColumn="1" w:firstRow="1" w:lastColumn="0" w:lastRow="0" w:noHBand="0" w:noVBand="1" w:val="04A0"/>
        <w:tblInd w:type="dxa" w:w="120"/>
      </w:tblPr>
      <w:tblGrid>
        <w:gridCol w:w="3456"/>
        <w:gridCol w:w="5904"/>
      </w:tblGrid>
      <w:tr>
        <w:trPr>
          <w:cantSplit/>
          <w:tblHeader/>
        </w:trPr>
        <w:tc>
          <w:tcPr>
            <w:tcW w:type="dxa" w:w="3456"/>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9"/>
              </w:rPr>
              <w:t>统计项</w:t>
            </w:r>
          </w:p>
        </w:tc>
        <w:tc>
          <w:tcPr>
            <w:tcW w:type="dxa" w:w="590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9"/>
              </w:rPr>
              <w:t>取值</w:t>
            </w:r>
          </w:p>
        </w:tc>
      </w:tr>
      <w:tr>
        <w:trPr>
          <w:cantSplit/>
        </w:trPr>
        <w:tc>
          <w:tcPr>
            <w:tcW w:type="dxa" w:w="3456"/>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样本数</w:t>
            </w:r>
          </w:p>
        </w:tc>
        <w:tc>
          <w:tcPr>
            <w:tcW w:type="dxa" w:w="590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394 个分子</w:t>
            </w:r>
          </w:p>
        </w:tc>
      </w:tr>
      <w:tr>
        <w:trPr>
          <w:cantSplit/>
        </w:trPr>
        <w:tc>
          <w:tcPr>
            <w:tcW w:type="dxa" w:w="3456"/>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最小值 / 最大值</w:t>
            </w:r>
          </w:p>
        </w:tc>
        <w:tc>
          <w:tcPr>
            <w:tcW w:type="dxa" w:w="590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-1172.0 / -65.9 kJ/mol</w:t>
            </w:r>
          </w:p>
        </w:tc>
      </w:tr>
      <w:tr>
        <w:trPr>
          <w:cantSplit/>
        </w:trPr>
        <w:tc>
          <w:tcPr>
            <w:tcW w:type="dxa" w:w="3456"/>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四分位数 (Q1 / 中位数 / Q3)</w:t>
            </w:r>
          </w:p>
        </w:tc>
        <w:tc>
          <w:tcPr>
            <w:tcW w:type="dxa" w:w="590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-335.7 / -251.0 / -189.4 kJ/mol</w:t>
            </w:r>
          </w:p>
        </w:tc>
      </w:tr>
      <w:tr>
        <w:trPr>
          <w:cantSplit/>
        </w:trPr>
        <w:tc>
          <w:tcPr>
            <w:tcW w:type="dxa" w:w="3456"/>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均值 ± 标准差</w:t>
            </w:r>
          </w:p>
        </w:tc>
        <w:tc>
          <w:tcPr>
            <w:tcW w:type="dxa" w:w="590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-274.1 ± 132.1 kJ/mol</w:t>
            </w:r>
          </w:p>
        </w:tc>
      </w:tr>
      <w:tr>
        <w:trPr>
          <w:cantSplit/>
        </w:trPr>
        <w:tc>
          <w:tcPr>
            <w:tcW w:type="dxa" w:w="3456"/>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离散程度 (极差 / 标准差)</w:t>
            </w:r>
          </w:p>
        </w:tc>
        <w:tc>
          <w:tcPr>
            <w:tcW w:type="dxa" w:w="590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1106.1 / 132.1 kJ/mol</w:t>
            </w:r>
          </w:p>
        </w:tc>
      </w:tr>
    </w:tbl>
    <w:p>
      <w:pPr>
        <w:spacing w:before="40" w:after="200" w:line="276" w:lineRule="auto"/>
      </w:pPr>
      <w:r>
        <w:rPr>
          <w:rFonts w:ascii="Calibri" w:hAnsi="Calibri" w:cs="Calibri" w:eastAsia="微软雅黑"/>
          <w:color w:val="5A6672"/>
          <w:sz w:val="17"/>
        </w:rPr>
        <w:t>表 1  目标变量 (与锌离子的结合能 ΔE) 的描述性统计, 单位 kJ/mol。</w:t>
      </w:r>
    </w:p>
    <w:p>
      <w:pPr>
        <w:overflowPunct w:val="0"/>
        <w:spacing w:before="0" w:after="120" w:line="300" w:lineRule="auto"/>
        <w:jc w:val="left"/>
      </w:pPr>
      <w:r>
        <w:rPr>
          <w:rFonts w:ascii="Calibri" w:hAnsi="Calibri" w:cs="Calibri" w:eastAsia="微软雅黑"/>
          <w:color w:val="1F2933"/>
          <w:sz w:val="21"/>
        </w:rPr>
        <w:t>结合能全部为负值且跨越约 1106.1 kJ/mol 的较宽区间, 分布呈明显的右偏(长尾位于强结合一侧), 说明样本集合覆盖了从弱配位到强螯合的多类官能团, 为回归建模提供了充足的目标值动态范围 (见 4.9 节图 10b)。</w:t>
      </w:r>
    </w:p>
    <w:p>
      <w:pPr>
        <w:pStyle w:val="Heading2"/>
      </w:pPr>
      <w:r>
        <w:rPr>
          <w:rFonts w:ascii="Calibri" w:hAnsi="Calibri" w:cs="Calibri" w:eastAsia="微软雅黑"/>
          <w:b/>
          <w:color w:val="2E74B5"/>
          <w:sz w:val="25"/>
        </w:rPr>
        <w:t>2.3  分子描述符体系</w:t>
      </w:r>
    </w:p>
    <w:p>
      <w:pPr>
        <w:overflowPunct w:val="0"/>
        <w:spacing w:before="0" w:after="120" w:line="300" w:lineRule="auto"/>
        <w:jc w:val="left"/>
      </w:pPr>
      <w:r>
        <w:rPr>
          <w:rFonts w:ascii="Calibri" w:hAnsi="Calibri" w:cs="Calibri" w:eastAsia="微软雅黑"/>
          <w:color w:val="1F2933"/>
          <w:sz w:val="21"/>
        </w:rPr>
        <w:t>建模共使用 14 个分子描述符, 涵盖尺寸、氢键性质、疏水性、电子结构与极化性质五个维度。其中 |HOMO| 与 |LUMO| 为派生特征: 由于 HOMO 能级全部为负, |HOMO| 数值上等价于 HOMO 的相反数(电离势代理量), 因此该特征体系的实际独立信息量为 13 个取向。保留派生量的原因在于与前期工作保持特征定义的一致性, 便于结果横向对照; 该冗余对树模型无实质影响, 但对线性模型的系数稳定性有影响, 详见 2.4 节与 5.2 节。</w:t>
      </w:r>
    </w:p>
    <w:tbl>
      <w:tblPr>
        <w:tblStyle w:val="TableGrid"/>
        <w:tblW w:type="dxa" w:w="9360"/>
        <w:jc w:val="left"/>
        <w:tblLayout w:type="fixed"/>
        <w:tblLook w:firstColumn="1" w:firstRow="1" w:lastColumn="0" w:lastRow="0" w:noHBand="0" w:noVBand="1" w:val="04A0"/>
        <w:tblInd w:type="dxa" w:w="120"/>
      </w:tblPr>
      <w:tblGrid>
        <w:gridCol w:w="605"/>
        <w:gridCol w:w="1123"/>
        <w:gridCol w:w="1944"/>
        <w:gridCol w:w="864"/>
        <w:gridCol w:w="4824"/>
      </w:tblGrid>
      <w:tr>
        <w:trPr>
          <w:cantSplit/>
          <w:tblHeader/>
        </w:trPr>
        <w:tc>
          <w:tcPr>
            <w:tcW w:type="dxa" w:w="605"/>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w:t>
            </w:r>
          </w:p>
        </w:tc>
        <w:tc>
          <w:tcPr>
            <w:tcW w:type="dxa" w:w="1123"/>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符号</w:t>
            </w:r>
          </w:p>
        </w:tc>
        <w:tc>
          <w:tcPr>
            <w:tcW w:type="dxa" w:w="194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描述符</w:t>
            </w:r>
          </w:p>
        </w:tc>
        <w:tc>
          <w:tcPr>
            <w:tcW w:type="dxa" w:w="86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单位</w:t>
            </w:r>
          </w:p>
        </w:tc>
        <w:tc>
          <w:tcPr>
            <w:tcW w:type="dxa" w:w="482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物理意义</w:t>
            </w:r>
          </w:p>
        </w:tc>
      </w:tr>
      <w:tr>
        <w:trPr>
          <w:cantSplit/>
        </w:trPr>
        <w:tc>
          <w:tcPr>
            <w:tcW w:type="dxa" w:w="60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1</w:t>
            </w:r>
          </w:p>
        </w:tc>
        <w:tc>
          <w:tcPr>
            <w:tcW w:type="dxa" w:w="1123"/>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MW</w:t>
            </w:r>
          </w:p>
        </w:tc>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相对分子量</w:t>
            </w:r>
          </w:p>
        </w:tc>
        <w:tc>
          <w:tcPr>
            <w:tcW w:type="dxa" w:w="86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g/mol</w:t>
            </w:r>
          </w:p>
        </w:tc>
        <w:tc>
          <w:tcPr>
            <w:tcW w:type="dxa" w:w="482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分子尺寸与色散作用强度的整体量度</w:t>
            </w:r>
          </w:p>
        </w:tc>
      </w:tr>
      <w:tr>
        <w:trPr>
          <w:cantSplit/>
        </w:trPr>
        <w:tc>
          <w:tcPr>
            <w:tcW w:type="dxa" w:w="60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2</w:t>
            </w:r>
          </w:p>
        </w:tc>
        <w:tc>
          <w:tcPr>
            <w:tcW w:type="dxa" w:w="112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HBD</w:t>
            </w:r>
          </w:p>
        </w:tc>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氢键供体数</w:t>
            </w:r>
          </w:p>
        </w:tc>
        <w:tc>
          <w:tcPr>
            <w:tcW w:type="dxa" w:w="86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个</w:t>
            </w:r>
          </w:p>
        </w:tc>
        <w:tc>
          <w:tcPr>
            <w:tcW w:type="dxa" w:w="482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可提供氢键的 N-H / O-H 基团数目</w:t>
            </w:r>
          </w:p>
        </w:tc>
      </w:tr>
      <w:tr>
        <w:trPr>
          <w:cantSplit/>
        </w:trPr>
        <w:tc>
          <w:tcPr>
            <w:tcW w:type="dxa" w:w="60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3</w:t>
            </w:r>
          </w:p>
        </w:tc>
        <w:tc>
          <w:tcPr>
            <w:tcW w:type="dxa" w:w="1123"/>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HBA</w:t>
            </w:r>
          </w:p>
        </w:tc>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氢键受体数</w:t>
            </w:r>
          </w:p>
        </w:tc>
        <w:tc>
          <w:tcPr>
            <w:tcW w:type="dxa" w:w="86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个</w:t>
            </w:r>
          </w:p>
        </w:tc>
        <w:tc>
          <w:tcPr>
            <w:tcW w:type="dxa" w:w="482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可接受氢键的 O / N 等基团数目, 直接决定配位能力</w:t>
            </w:r>
          </w:p>
        </w:tc>
      </w:tr>
      <w:tr>
        <w:trPr>
          <w:cantSplit/>
        </w:trPr>
        <w:tc>
          <w:tcPr>
            <w:tcW w:type="dxa" w:w="60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4</w:t>
            </w:r>
          </w:p>
        </w:tc>
        <w:tc>
          <w:tcPr>
            <w:tcW w:type="dxa" w:w="112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logP</w:t>
            </w:r>
          </w:p>
        </w:tc>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油水分配系数</w:t>
            </w:r>
          </w:p>
        </w:tc>
        <w:tc>
          <w:tcPr>
            <w:tcW w:type="dxa" w:w="86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w:t>
            </w:r>
          </w:p>
        </w:tc>
        <w:tc>
          <w:tcPr>
            <w:tcW w:type="dxa" w:w="482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疏水性指标, 反映分子在界面的富集倾向</w:t>
            </w:r>
          </w:p>
        </w:tc>
      </w:tr>
      <w:tr>
        <w:trPr>
          <w:cantSplit/>
        </w:trPr>
        <w:tc>
          <w:tcPr>
            <w:tcW w:type="dxa" w:w="60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5</w:t>
            </w:r>
          </w:p>
        </w:tc>
        <w:tc>
          <w:tcPr>
            <w:tcW w:type="dxa" w:w="1123"/>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N_arom</w:t>
            </w:r>
          </w:p>
        </w:tc>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芳香环数</w:t>
            </w:r>
          </w:p>
        </w:tc>
        <w:tc>
          <w:tcPr>
            <w:tcW w:type="dxa" w:w="86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个</w:t>
            </w:r>
          </w:p>
        </w:tc>
        <w:tc>
          <w:tcPr>
            <w:tcW w:type="dxa" w:w="482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芳香 π 体系数目, 与 π-阳离子 / π-阴离子作用相关</w:t>
            </w:r>
          </w:p>
        </w:tc>
      </w:tr>
      <w:tr>
        <w:trPr>
          <w:cantSplit/>
        </w:trPr>
        <w:tc>
          <w:tcPr>
            <w:tcW w:type="dxa" w:w="60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6</w:t>
            </w:r>
          </w:p>
        </w:tc>
        <w:tc>
          <w:tcPr>
            <w:tcW w:type="dxa" w:w="112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TPSA</w:t>
            </w:r>
          </w:p>
        </w:tc>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拓扑极性表面积</w:t>
            </w:r>
          </w:p>
        </w:tc>
        <w:tc>
          <w:tcPr>
            <w:tcW w:type="dxa" w:w="86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Å²</w:t>
            </w:r>
          </w:p>
        </w:tc>
        <w:tc>
          <w:tcPr>
            <w:tcW w:type="dxa" w:w="482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极性基团暴露程度, 与 HBA / HBD 互补</w:t>
            </w:r>
          </w:p>
        </w:tc>
      </w:tr>
      <w:tr>
        <w:trPr>
          <w:cantSplit/>
        </w:trPr>
        <w:tc>
          <w:tcPr>
            <w:tcW w:type="dxa" w:w="60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7</w:t>
            </w:r>
          </w:p>
        </w:tc>
        <w:tc>
          <w:tcPr>
            <w:tcW w:type="dxa" w:w="1123"/>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mu</w:t>
            </w:r>
          </w:p>
        </w:tc>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偶极矩</w:t>
            </w:r>
          </w:p>
        </w:tc>
        <w:tc>
          <w:tcPr>
            <w:tcW w:type="dxa" w:w="86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D</w:t>
            </w:r>
          </w:p>
        </w:tc>
        <w:tc>
          <w:tcPr>
            <w:tcW w:type="dxa" w:w="482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电荷分布不对称程度, 影响静电与偶极相互作用</w:t>
            </w:r>
          </w:p>
        </w:tc>
      </w:tr>
      <w:tr>
        <w:trPr>
          <w:cantSplit/>
        </w:trPr>
        <w:tc>
          <w:tcPr>
            <w:tcW w:type="dxa" w:w="60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8</w:t>
            </w:r>
          </w:p>
        </w:tc>
        <w:tc>
          <w:tcPr>
            <w:tcW w:type="dxa" w:w="112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HOMO</w:t>
            </w:r>
          </w:p>
        </w:tc>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HOMO 能级</w:t>
            </w:r>
          </w:p>
        </w:tc>
        <w:tc>
          <w:tcPr>
            <w:tcW w:type="dxa" w:w="86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eV</w:t>
            </w:r>
          </w:p>
        </w:tc>
        <w:tc>
          <w:tcPr>
            <w:tcW w:type="dxa" w:w="482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最高占据轨道能级, 表征给电子能力</w:t>
            </w:r>
          </w:p>
        </w:tc>
      </w:tr>
      <w:tr>
        <w:trPr>
          <w:cantSplit/>
        </w:trPr>
        <w:tc>
          <w:tcPr>
            <w:tcW w:type="dxa" w:w="60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9</w:t>
            </w:r>
          </w:p>
        </w:tc>
        <w:tc>
          <w:tcPr>
            <w:tcW w:type="dxa" w:w="1123"/>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LUMO</w:t>
            </w:r>
          </w:p>
        </w:tc>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LUMO 能级</w:t>
            </w:r>
          </w:p>
        </w:tc>
        <w:tc>
          <w:tcPr>
            <w:tcW w:type="dxa" w:w="86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eV</w:t>
            </w:r>
          </w:p>
        </w:tc>
        <w:tc>
          <w:tcPr>
            <w:tcW w:type="dxa" w:w="482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最低未占据轨道能级, 表征得电子能力</w:t>
            </w:r>
          </w:p>
        </w:tc>
      </w:tr>
      <w:tr>
        <w:trPr>
          <w:cantSplit/>
        </w:trPr>
        <w:tc>
          <w:tcPr>
            <w:tcW w:type="dxa" w:w="60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10</w:t>
            </w:r>
          </w:p>
        </w:tc>
        <w:tc>
          <w:tcPr>
            <w:tcW w:type="dxa" w:w="112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gap</w:t>
            </w:r>
          </w:p>
        </w:tc>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HOMO-LUMO 能隙</w:t>
            </w:r>
          </w:p>
        </w:tc>
        <w:tc>
          <w:tcPr>
            <w:tcW w:type="dxa" w:w="86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eV</w:t>
            </w:r>
          </w:p>
        </w:tc>
        <w:tc>
          <w:tcPr>
            <w:tcW w:type="dxa" w:w="482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电子结构稳定性与反应活性指标</w:t>
            </w:r>
          </w:p>
        </w:tc>
      </w:tr>
      <w:tr>
        <w:trPr>
          <w:cantSplit/>
        </w:trPr>
        <w:tc>
          <w:tcPr>
            <w:tcW w:type="dxa" w:w="60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11</w:t>
            </w:r>
          </w:p>
        </w:tc>
        <w:tc>
          <w:tcPr>
            <w:tcW w:type="dxa" w:w="1123"/>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N_het</w:t>
            </w:r>
          </w:p>
        </w:tc>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杂原子数</w:t>
            </w:r>
          </w:p>
        </w:tc>
        <w:tc>
          <w:tcPr>
            <w:tcW w:type="dxa" w:w="86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个</w:t>
            </w:r>
          </w:p>
        </w:tc>
        <w:tc>
          <w:tcPr>
            <w:tcW w:type="dxa" w:w="482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N / O / S / P / Si 等杂原子总量</w:t>
            </w:r>
          </w:p>
        </w:tc>
      </w:tr>
      <w:tr>
        <w:trPr>
          <w:cantSplit/>
        </w:trPr>
        <w:tc>
          <w:tcPr>
            <w:tcW w:type="dxa" w:w="60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12</w:t>
            </w:r>
          </w:p>
        </w:tc>
        <w:tc>
          <w:tcPr>
            <w:tcW w:type="dxa" w:w="112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alpha</w:t>
            </w:r>
          </w:p>
        </w:tc>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极化率</w:t>
            </w:r>
          </w:p>
        </w:tc>
        <w:tc>
          <w:tcPr>
            <w:tcW w:type="dxa" w:w="86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a.u.</w:t>
            </w:r>
          </w:p>
        </w:tc>
        <w:tc>
          <w:tcPr>
            <w:tcW w:type="dxa" w:w="482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电子云可变形程度, 反映色散与极化相互作用</w:t>
            </w:r>
          </w:p>
        </w:tc>
      </w:tr>
      <w:tr>
        <w:trPr>
          <w:cantSplit/>
        </w:trPr>
        <w:tc>
          <w:tcPr>
            <w:tcW w:type="dxa" w:w="60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13</w:t>
            </w:r>
          </w:p>
        </w:tc>
        <w:tc>
          <w:tcPr>
            <w:tcW w:type="dxa" w:w="1123"/>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|HOMO|</w:t>
            </w:r>
          </w:p>
        </w:tc>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HOMO 绝对值</w:t>
            </w:r>
          </w:p>
        </w:tc>
        <w:tc>
          <w:tcPr>
            <w:tcW w:type="dxa" w:w="86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eV</w:t>
            </w:r>
          </w:p>
        </w:tc>
        <w:tc>
          <w:tcPr>
            <w:tcW w:type="dxa" w:w="482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电离势代理量 (由 HOMO 派生)</w:t>
            </w:r>
          </w:p>
        </w:tc>
      </w:tr>
      <w:tr>
        <w:trPr>
          <w:cantSplit/>
        </w:trPr>
        <w:tc>
          <w:tcPr>
            <w:tcW w:type="dxa" w:w="60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14</w:t>
            </w:r>
          </w:p>
        </w:tc>
        <w:tc>
          <w:tcPr>
            <w:tcW w:type="dxa" w:w="112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|LUMO|</w:t>
            </w:r>
          </w:p>
        </w:tc>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LUMO 绝对值</w:t>
            </w:r>
          </w:p>
        </w:tc>
        <w:tc>
          <w:tcPr>
            <w:tcW w:type="dxa" w:w="86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eV</w:t>
            </w:r>
          </w:p>
        </w:tc>
        <w:tc>
          <w:tcPr>
            <w:tcW w:type="dxa" w:w="482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电子亲和能代理量 (由 LUMO 派生)</w:t>
            </w:r>
          </w:p>
        </w:tc>
      </w:tr>
    </w:tbl>
    <w:p>
      <w:pPr>
        <w:spacing w:before="40" w:after="200" w:line="276" w:lineRule="auto"/>
      </w:pPr>
      <w:r>
        <w:rPr>
          <w:rFonts w:ascii="Calibri" w:hAnsi="Calibri" w:cs="Calibri" w:eastAsia="微软雅黑"/>
          <w:color w:val="5A6672"/>
          <w:sz w:val="17"/>
        </w:rPr>
        <w:t>表 2  14 个分子描述符定义。|HOMO| 与 |LUMO| 为原始能级列的绝对值派生特征。</w:t>
      </w:r>
    </w:p>
    <w:p>
      <w:pPr>
        <w:pStyle w:val="Heading2"/>
      </w:pPr>
      <w:r>
        <w:rPr>
          <w:rFonts w:ascii="Calibri" w:hAnsi="Calibri" w:cs="Calibri" w:eastAsia="微软雅黑"/>
          <w:b/>
          <w:color w:val="2E74B5"/>
          <w:sz w:val="25"/>
        </w:rPr>
        <w:t>2.4  描述符与结合能的相关性</w:t>
      </w:r>
    </w:p>
    <w:p>
      <w:pPr>
        <w:keepNext/>
        <w:spacing w:before="120" w:after="40"/>
        <w:jc w:val="center"/>
      </w:pPr>
      <w:r>
        <w:drawing>
          <wp:inline xmlns:a="http://schemas.openxmlformats.org/drawingml/2006/main" xmlns:pic="http://schemas.openxmlformats.org/drawingml/2006/picture">
            <wp:extent cx="5577840" cy="4894767"/>
            <wp:docPr id="1" name="Picture 1"/>
            <wp:cNvGraphicFramePr>
              <a:graphicFrameLocks noChangeAspect="1"/>
            </wp:cNvGraphicFramePr>
            <a:graphic>
              <a:graphicData uri="http://schemas.openxmlformats.org/drawingml/2006/picture">
                <pic:pic>
                  <pic:nvPicPr>
                    <pic:cNvPr id="0" name="fig1_correlation.png"/>
                    <pic:cNvPicPr/>
                  </pic:nvPicPr>
                  <pic:blipFill>
                    <a:blip r:embed="rId11"/>
                    <a:stretch>
                      <a:fillRect/>
                    </a:stretch>
                  </pic:blipFill>
                  <pic:spPr>
                    <a:xfrm>
                      <a:off x="0" y="0"/>
                      <a:ext cx="5577840" cy="4894767"/>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1  14 个分子描述符与结合能 ΔE 的 Pearson 相关矩阵 (黑色框标注目标变量所在行列)</w:t>
      </w:r>
    </w:p>
    <w:p>
      <w:pPr>
        <w:overflowPunct w:val="0"/>
        <w:spacing w:before="0" w:after="120" w:line="300" w:lineRule="auto"/>
        <w:jc w:val="left"/>
      </w:pPr>
      <w:r>
        <w:rPr>
          <w:rFonts w:ascii="Calibri" w:hAnsi="Calibri" w:cs="Calibri" w:eastAsia="微软雅黑"/>
          <w:color w:val="1F2933"/>
          <w:sz w:val="21"/>
        </w:rPr>
        <w:t>与结合能相关性最强的描述符依次为 logP (r = +0.522)、TPSA (r = -0.509)、HBA (r = -0.499)、mu (r = -0.481) 与 HBD (r = -0.409)。疏水性 (logP) 与结合能呈正相关, 而氢键受体数、拓扑极性表面积等极性指标与结合能呈负相关(即极性基团越多, 结合越强), 这与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作为硬路易斯酸偏好含氧/含氮配位基团的化学直觉一致。</w:t>
      </w:r>
    </w:p>
    <w:p>
      <w:pPr>
        <w:overflowPunct w:val="0"/>
        <w:spacing w:before="0" w:after="120" w:line="300" w:lineRule="auto"/>
        <w:jc w:val="left"/>
      </w:pPr>
      <w:r>
        <w:rPr>
          <w:rFonts w:ascii="Calibri" w:hAnsi="Calibri" w:cs="Calibri" w:eastAsia="微软雅黑"/>
          <w:color w:val="1F2933"/>
          <w:sz w:val="21"/>
        </w:rPr>
        <w:t>多重共线性检查发现, 相关系数绝对值大于 0.90 的特征对包括: HOMO 与 |HOMO| (r = -0.991); LUMO 与 |LUMO| (r = -0.996)。其中 HOMO 与 |HOMO| 为完全共线 (r = -1.000), 这是 2.3 节所述派生特征造成的必然结果。共线性会放大普通最小二乘的系数方差, 因此本报告以带正则项的 PLS / Ridge / Lasso / ElasticNet 作为线性基线, 未使用无正则的多元线性回归。</w:t>
      </w:r>
    </w:p>
    <w:p>
      <w:pPr>
        <w:pStyle w:val="Heading2"/>
      </w:pPr>
      <w:r>
        <w:rPr>
          <w:rFonts w:ascii="Calibri" w:hAnsi="Calibri" w:cs="Calibri" w:eastAsia="微软雅黑"/>
          <w:b/>
          <w:color w:val="2E74B5"/>
          <w:sz w:val="25"/>
        </w:rPr>
        <w:t>2.5  描述符表数据质量核查</w:t>
      </w:r>
    </w:p>
    <w:p>
      <w:pPr>
        <w:overflowPunct w:val="0"/>
        <w:spacing w:before="0" w:after="120" w:line="300" w:lineRule="auto"/>
        <w:jc w:val="left"/>
      </w:pPr>
      <w:r>
        <w:rPr>
          <w:rFonts w:ascii="Calibri" w:hAnsi="Calibri" w:cs="Calibri" w:eastAsia="微软雅黑"/>
          <w:color w:val="1F2933"/>
          <w:sz w:val="21"/>
        </w:rPr>
        <w:t>由于结合能的预测上限直接取决于描述符的可信程度, 本报告用 RDKit 依据 SMILES 重新解析分子结构, 得到分子量、氢键供体/受体数、芳香环数、logP 与 TPSA 的结构重建值, 并与表中数值逐行核对 (图 2a)。核查结论是: 表中不同描述符列的可信度差异很大, 使用前必须区分对待。</w:t>
      </w:r>
    </w:p>
    <w:tbl>
      <w:tblPr>
        <w:tblStyle w:val="TableGrid"/>
        <w:tblW w:type="dxa" w:w="9360"/>
        <w:jc w:val="left"/>
        <w:tblLayout w:type="fixed"/>
        <w:tblLook w:firstColumn="1" w:firstRow="1" w:lastColumn="0" w:lastRow="0" w:noHBand="0" w:noVBand="1" w:val="04A0"/>
        <w:tblInd w:type="dxa" w:w="120"/>
      </w:tblPr>
      <w:tblGrid>
        <w:gridCol w:w="1695"/>
        <w:gridCol w:w="2874"/>
        <w:gridCol w:w="4791"/>
      </w:tblGrid>
      <w:tr>
        <w:trPr>
          <w:cantSplit/>
          <w:tblHeader/>
        </w:trPr>
        <w:tc>
          <w:tcPr>
            <w:tcW w:type="dxa" w:w="1695"/>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描述符列</w:t>
            </w:r>
          </w:p>
        </w:tc>
        <w:tc>
          <w:tcPr>
            <w:tcW w:type="dxa" w:w="287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核查结果</w:t>
            </w:r>
          </w:p>
        </w:tc>
        <w:tc>
          <w:tcPr>
            <w:tcW w:type="dxa" w:w="4791"/>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说明与影响</w:t>
            </w:r>
          </w:p>
        </w:tc>
      </w:tr>
      <w:tr>
        <w:trPr>
          <w:cantSplit/>
        </w:trPr>
        <w:tc>
          <w:tcPr>
            <w:tcW w:type="dxa" w:w="169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相对分子量</w:t>
            </w:r>
          </w:p>
        </w:tc>
        <w:tc>
          <w:tcPr>
            <w:tcW w:type="dxa" w:w="287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81 行偏差 &gt; 1 g/mol</w:t>
            </w:r>
          </w:p>
        </w:tc>
        <w:tc>
          <w:tcPr>
            <w:tcW w:type="dxa" w:w="4791"/>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其中 80 行与“仅重原子”分子量完全吻合 (最大偏差 34.0 g/mol)</w:t>
            </w:r>
          </w:p>
        </w:tc>
      </w:tr>
      <w:tr>
        <w:trPr>
          <w:cantSplit/>
        </w:trPr>
        <w:tc>
          <w:tcPr>
            <w:tcW w:type="dxa" w:w="169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芳香环数</w:t>
            </w:r>
          </w:p>
        </w:tc>
        <w:tc>
          <w:tcPr>
            <w:tcW w:type="dxa" w:w="287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73 行偏小</w:t>
            </w:r>
          </w:p>
        </w:tc>
        <w:tc>
          <w:tcPr>
            <w:tcW w:type="dxa" w:w="4791"/>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Kekulé 写法 (C1=CC=CC=C1) 的苯环未被识别, 需按结构重判</w:t>
            </w:r>
          </w:p>
        </w:tc>
      </w:tr>
      <w:tr>
        <w:trPr>
          <w:cantSplit/>
        </w:trPr>
        <w:tc>
          <w:tcPr>
            <w:tcW w:type="dxa" w:w="169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氢键供体数</w:t>
            </w:r>
          </w:p>
        </w:tc>
        <w:tc>
          <w:tcPr>
            <w:tcW w:type="dxa" w:w="287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75 行不符 (19.0%)</w:t>
            </w:r>
          </w:p>
        </w:tc>
        <w:tc>
          <w:tcPr>
            <w:tcW w:type="dxa" w:w="4791"/>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如 2-溴苄基丙烯酸酯等被记为 2, 与结构不符</w:t>
            </w:r>
          </w:p>
        </w:tc>
      </w:tr>
      <w:tr>
        <w:trPr>
          <w:cantSplit/>
        </w:trPr>
        <w:tc>
          <w:tcPr>
            <w:tcW w:type="dxa" w:w="169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氢键受体数</w:t>
            </w:r>
          </w:p>
        </w:tc>
        <w:tc>
          <w:tcPr>
            <w:tcW w:type="dxa" w:w="287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36 行不符 (9.1%)</w:t>
            </w:r>
          </w:p>
        </w:tc>
        <w:tc>
          <w:tcPr>
            <w:tcW w:type="dxa" w:w="4791"/>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多数偏差为 ±1, 方向不定</w:t>
            </w:r>
          </w:p>
        </w:tc>
      </w:tr>
      <w:tr>
        <w:trPr>
          <w:cantSplit/>
        </w:trPr>
        <w:tc>
          <w:tcPr>
            <w:tcW w:type="dxa" w:w="169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极化率</w:t>
            </w:r>
          </w:p>
        </w:tc>
        <w:tc>
          <w:tcPr>
            <w:tcW w:type="dxa" w:w="287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两套量纲并存 (149 / 236 行)</w:t>
            </w:r>
          </w:p>
        </w:tc>
        <w:tc>
          <w:tcPr>
            <w:tcW w:type="dxa" w:w="4791"/>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低量纲 (0–15) 与高量纲 (25–80) 各行其是, 不可直接作为连续特征解释</w:t>
            </w:r>
          </w:p>
        </w:tc>
      </w:tr>
      <w:tr>
        <w:trPr>
          <w:cantSplit/>
        </w:trPr>
        <w:tc>
          <w:tcPr>
            <w:tcW w:type="dxa" w:w="169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偶极矩</w:t>
            </w:r>
          </w:p>
        </w:tc>
        <w:tc>
          <w:tcPr>
            <w:tcW w:type="dxa" w:w="287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2 行 &gt; 40 D</w:t>
            </w:r>
          </w:p>
        </w:tc>
        <w:tc>
          <w:tcPr>
            <w:tcW w:type="dxa" w:w="4791"/>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极端异常量级, 与其余样本相差两个数量级</w:t>
            </w:r>
          </w:p>
        </w:tc>
      </w:tr>
      <w:tr>
        <w:trPr>
          <w:cantSplit/>
        </w:trPr>
        <w:tc>
          <w:tcPr>
            <w:tcW w:type="dxa" w:w="169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HOMO / LUMO / 杂原子数</w:t>
            </w:r>
          </w:p>
        </w:tc>
        <w:tc>
          <w:tcPr>
            <w:tcW w:type="dxa" w:w="287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1 行整体错位, 5 行 LUMO &gt; 0</w:t>
            </w:r>
          </w:p>
        </w:tc>
        <w:tc>
          <w:tcPr>
            <w:tcW w:type="dxa" w:w="4791"/>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2-Bromostyrene 行 (HOMO = 1.00 eV, LUMO = 0.3891 eV, 杂原子数 = -6.5664) 为非物理值; 另有 4 行 LUMO = +0.10 eV</w:t>
            </w:r>
          </w:p>
        </w:tc>
      </w:tr>
      <w:tr>
        <w:trPr>
          <w:cantSplit/>
        </w:trPr>
        <w:tc>
          <w:tcPr>
            <w:tcW w:type="dxa" w:w="1695"/>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logP / TPSA</w:t>
            </w:r>
          </w:p>
        </w:tc>
        <w:tc>
          <w:tcPr>
            <w:tcW w:type="dxa" w:w="287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与结构重建值高度一致 (r = 0.87 / 0.96)</w:t>
            </w:r>
          </w:p>
        </w:tc>
        <w:tc>
          <w:tcPr>
            <w:tcW w:type="dxa" w:w="4791"/>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平均绝对偏差 0.46 / 3.57 个量纲单位, 可信</w:t>
            </w:r>
          </w:p>
        </w:tc>
      </w:tr>
      <w:tr>
        <w:trPr>
          <w:cantSplit/>
        </w:trPr>
        <w:tc>
          <w:tcPr>
            <w:tcW w:type="dxa" w:w="1695"/>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记录唯一性</w:t>
            </w:r>
          </w:p>
        </w:tc>
        <w:tc>
          <w:tcPr>
            <w:tcW w:type="dxa" w:w="287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5 组共 10 行 SMILES 重复</w:t>
            </w:r>
          </w:p>
        </w:tc>
        <w:tc>
          <w:tcPr>
            <w:tcW w:type="dxa" w:w="4791"/>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同结构不同命名 (游离酸/钠盐/钾盐、丙烯酸酯/甲基丙烯酸酯) 被重复计入</w:t>
            </w:r>
          </w:p>
        </w:tc>
      </w:tr>
    </w:tbl>
    <w:p>
      <w:pPr>
        <w:spacing w:before="40" w:after="200" w:line="276" w:lineRule="auto"/>
      </w:pPr>
      <w:r>
        <w:rPr>
          <w:rFonts w:ascii="Calibri" w:hAnsi="Calibri" w:cs="Calibri" w:eastAsia="微软雅黑"/>
          <w:color w:val="5A6672"/>
          <w:sz w:val="17"/>
        </w:rPr>
        <w:t>表 3  描述符表数据质量核查结果 (以 SMILES 结构重建值为参照; 样本数 394)。</w:t>
      </w:r>
    </w:p>
    <w:p>
      <w:pPr>
        <w:keepNext/>
        <w:spacing w:before="120" w:after="40"/>
        <w:jc w:val="center"/>
      </w:pPr>
      <w:r>
        <w:drawing>
          <wp:inline xmlns:a="http://schemas.openxmlformats.org/drawingml/2006/main" xmlns:pic="http://schemas.openxmlformats.org/drawingml/2006/picture">
            <wp:extent cx="5669280" cy="2703997"/>
            <wp:docPr id="2" name="Picture 2"/>
            <wp:cNvGraphicFramePr>
              <a:graphicFrameLocks noChangeAspect="1"/>
            </wp:cNvGraphicFramePr>
            <a:graphic>
              <a:graphicData uri="http://schemas.openxmlformats.org/drawingml/2006/picture">
                <pic:pic>
                  <pic:nvPicPr>
                    <pic:cNvPr id="0" name="fig2_data_quality.png"/>
                    <pic:cNvPicPr/>
                  </pic:nvPicPr>
                  <pic:blipFill>
                    <a:blip r:embed="rId12"/>
                    <a:stretch>
                      <a:fillRect/>
                    </a:stretch>
                  </pic:blipFill>
                  <pic:spPr>
                    <a:xfrm>
                      <a:off x="0" y="0"/>
                      <a:ext cx="5669280" cy="2703997"/>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2  (a) 描述符列与结构重建值的一致行数占比; (b) 极化率列的量纲不统一</w:t>
      </w:r>
    </w:p>
    <w:p>
      <w:pPr>
        <w:overflowPunct w:val="0"/>
        <w:spacing w:before="0" w:after="120" w:line="300" w:lineRule="auto"/>
        <w:jc w:val="left"/>
      </w:pPr>
      <w:r>
        <w:rPr>
          <w:rFonts w:ascii="Calibri" w:hAnsi="Calibri" w:cs="Calibri" w:eastAsia="微软雅黑"/>
          <w:color w:val="1F2933"/>
          <w:sz w:val="21"/>
        </w:rPr>
        <w:t>上述结果表明, 建模所依赖的 14 个描述符并非同等可靠: logP、TPSA 与分子量 (除 81 行重原子写法外) 与结构高度一致, 可以直接使用; 氢键供体/受体数与芳香环数则存在 9%–19% 的结构不符, 极化率列更是两套量纲混用。因此, 4.6 节中“氢键受体数、氢键供体数是首要描述符”这一置换重要性结论, 一半来自真实的配位化学规律 (极性基团越多、结合越强), 一半可能来自该列自身的噪声——两者在建模层面无法完全区分。相对而言, TPSA 与 logP 的结论更为可靠, 因为它们与结构重建值的一致性达到 0.87–0.96 的相关系数。</w:t>
      </w:r>
    </w:p>
    <w:p>
      <w:pPr>
        <w:overflowPunct w:val="0"/>
        <w:spacing w:before="0" w:after="120" w:line="300" w:lineRule="auto"/>
        <w:jc w:val="left"/>
      </w:pPr>
      <w:r>
        <w:rPr>
          <w:rFonts w:ascii="Calibri" w:hAnsi="Calibri" w:cs="Calibri" w:eastAsia="微软雅黑"/>
          <w:color w:val="1F2933"/>
          <w:sz w:val="21"/>
        </w:rPr>
        <w:t>对本报告的目标分子 2-Bromostyrene 而言, 其所在行 (序号 68) 的描述符列存在整体错位: 自“偶极矩”起的各列与结构重建值不再对应, 导致 HOMO 记录为 +1.00 eV、LUMO 记录为 +0.3891 eV、HOMO–LUMO 能隙记为 -10.5068 eV、杂原子数记为 -6.5664, “电离度”列标注为“待DFT计算”。这些数值在物理上均不成立。同名工作簿的“锌离子结合能计算”工作表对该行亦有相同标注 (“原表该行描述符列错位 (杂原子数处为 -6.5664), 已按 SMILES 重新计算”), 与本节的结构重建核查结论一致。为不破坏原始数据的可复现性, 建模仍保留该行, 但在 4.10 节对该分子单独作结构重建与多来源核验。</w:t>
      </w:r>
    </w:p>
    <w:p>
      <w:pPr>
        <w:pStyle w:val="Heading1"/>
      </w:pPr>
      <w:r>
        <w:rPr>
          <w:rFonts w:ascii="Calibri" w:hAnsi="Calibri" w:cs="Calibri" w:eastAsia="微软雅黑"/>
          <w:b/>
          <w:color w:val="2E74B5"/>
          <w:sz w:val="30"/>
        </w:rPr>
        <w:t>3  建模方法与评估方案</w:t>
      </w:r>
    </w:p>
    <w:p>
      <w:pPr>
        <w:pStyle w:val="Heading2"/>
      </w:pPr>
      <w:r>
        <w:rPr>
          <w:rFonts w:ascii="Calibri" w:hAnsi="Calibri" w:cs="Calibri" w:eastAsia="微软雅黑"/>
          <w:b/>
          <w:color w:val="2E74B5"/>
          <w:sz w:val="25"/>
        </w:rPr>
        <w:t>3.1  总体流程</w:t>
      </w:r>
    </w:p>
    <w:p>
      <w:pPr>
        <w:overflowPunct w:val="0"/>
        <w:spacing w:before="0" w:after="120" w:line="300" w:lineRule="auto"/>
        <w:jc w:val="left"/>
      </w:pPr>
      <w:r>
        <w:rPr>
          <w:rFonts w:ascii="Calibri" w:hAnsi="Calibri" w:cs="Calibri" w:eastAsia="微软雅黑"/>
          <w:color w:val="1F2933"/>
          <w:sz w:val="21"/>
        </w:rPr>
        <w:t>整体流程分为数据构建、预处理、模型训练、双重交叉验证、模型比较、可解释性分析与目标分子定位七个环节 (图 3)。前六个环节面向“模型性能”这一核心问题, 第七个环节把模型结论落到指定目标分子 2-Bromostyrene 上。全流程只使用同一份 394 × 14 的数据矩阵, 所有中间结果(合并数据表、各模型指标、逐分子留一预测值、图表) 均以文件形式落盘, 保证可复现。</w:t>
      </w:r>
    </w:p>
    <w:p>
      <w:pPr>
        <w:keepNext/>
        <w:spacing w:before="120" w:after="40"/>
        <w:jc w:val="center"/>
      </w:pPr>
      <w:r>
        <w:drawing>
          <wp:inline xmlns:a="http://schemas.openxmlformats.org/drawingml/2006/main" xmlns:pic="http://schemas.openxmlformats.org/drawingml/2006/picture">
            <wp:extent cx="5760720" cy="3047984"/>
            <wp:docPr id="3" name="Picture 3"/>
            <wp:cNvGraphicFramePr>
              <a:graphicFrameLocks noChangeAspect="1"/>
            </wp:cNvGraphicFramePr>
            <a:graphic>
              <a:graphicData uri="http://schemas.openxmlformats.org/drawingml/2006/picture">
                <pic:pic>
                  <pic:nvPicPr>
                    <pic:cNvPr id="0" name="fig3_workflow.png"/>
                    <pic:cNvPicPr/>
                  </pic:nvPicPr>
                  <pic:blipFill>
                    <a:blip r:embed="rId13"/>
                    <a:stretch>
                      <a:fillRect/>
                    </a:stretch>
                  </pic:blipFill>
                  <pic:spPr>
                    <a:xfrm>
                      <a:off x="0" y="0"/>
                      <a:ext cx="5760720" cy="3047984"/>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3  结合能机器学习建模与评估流程 (数据 → 预处理 → 模型 → 双重验证 → 解释 → 目标分子)</w:t>
      </w:r>
    </w:p>
    <w:p>
      <w:pPr>
        <w:pStyle w:val="Heading2"/>
      </w:pPr>
      <w:r>
        <w:rPr>
          <w:rFonts w:ascii="Calibri" w:hAnsi="Calibri" w:cs="Calibri" w:eastAsia="微软雅黑"/>
          <w:b/>
          <w:color w:val="2E74B5"/>
          <w:sz w:val="25"/>
        </w:rPr>
        <w:t>3.2  数据预处理</w:t>
      </w:r>
    </w:p>
    <w:p>
      <w:pPr>
        <w:overflowPunct w:val="0"/>
        <w:spacing w:before="0" w:after="120" w:line="300" w:lineRule="auto"/>
        <w:jc w:val="left"/>
      </w:pPr>
      <w:r>
        <w:rPr>
          <w:rFonts w:ascii="Calibri" w:hAnsi="Calibri" w:cs="Calibri" w:eastAsia="微软雅黑"/>
          <w:color w:val="1F2933"/>
          <w:sz w:val="21"/>
        </w:rPr>
        <w:t>全部模型统一封装为 scikit-learn Pipeline, 以实现严格的数据泄漏隔离: 缺失值中位数填补(SimpleImputer) 与标准化 (StandardScaler) 均只在训练折上拟合, 再应用于验证折。线性模型、核方法 (SVR / GPR)、近邻方法 (KNN) 与神经网络 (MLP) 使用标准化特征; 树模型与集成学习(决策树、RF、ET、GBR、HGB、AdaBoost、XGBoost、LightGBM) 对特征尺度不敏感, 直接使用原始数值输入。高斯过程回归采用常数核 × RBF 核加白噪声核的组合, 以刻画平滑的非线性响应并吸收数据噪声。</w:t>
      </w:r>
    </w:p>
    <w:p>
      <w:pPr>
        <w:overflowPunct w:val="0"/>
        <w:spacing w:before="0" w:after="120" w:line="300" w:lineRule="auto"/>
        <w:jc w:val="left"/>
      </w:pPr>
      <w:r>
        <w:rPr>
          <w:rFonts w:ascii="Calibri" w:hAnsi="Calibri" w:cs="Calibri" w:eastAsia="微软雅黑"/>
          <w:color w:val="1F2933"/>
          <w:sz w:val="21"/>
        </w:rPr>
        <w:t>所有随机过程均固定随机种子 (random_state = 42), 保证结果可复现。样本未做任何剔除或异常值处理, 以保留真实的构效关系分布。</w:t>
      </w:r>
    </w:p>
    <w:p>
      <w:pPr>
        <w:pStyle w:val="Heading2"/>
      </w:pPr>
      <w:r>
        <w:rPr>
          <w:rFonts w:ascii="Calibri" w:hAnsi="Calibri" w:cs="Calibri" w:eastAsia="微软雅黑"/>
          <w:b/>
          <w:color w:val="2E74B5"/>
          <w:sz w:val="25"/>
        </w:rPr>
        <w:t>3.3  模型集合</w:t>
      </w:r>
    </w:p>
    <w:tbl>
      <w:tblPr>
        <w:tblStyle w:val="TableGrid"/>
        <w:tblW w:type="dxa" w:w="9360"/>
        <w:jc w:val="left"/>
        <w:tblLayout w:type="fixed"/>
        <w:tblLook w:firstColumn="1" w:firstRow="1" w:lastColumn="0" w:lastRow="0" w:noHBand="0" w:noVBand="1" w:val="04A0"/>
        <w:tblInd w:type="dxa" w:w="120"/>
      </w:tblPr>
      <w:tblGrid>
        <w:gridCol w:w="1512"/>
        <w:gridCol w:w="2520"/>
        <w:gridCol w:w="5328"/>
      </w:tblGrid>
      <w:tr>
        <w:trPr>
          <w:cantSplit/>
          <w:tblHeader/>
        </w:trPr>
        <w:tc>
          <w:tcPr>
            <w:tcW w:type="dxa" w:w="1512"/>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模型族</w:t>
            </w:r>
          </w:p>
        </w:tc>
        <w:tc>
          <w:tcPr>
            <w:tcW w:type="dxa" w:w="2520"/>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算法</w:t>
            </w:r>
          </w:p>
        </w:tc>
        <w:tc>
          <w:tcPr>
            <w:tcW w:type="dxa" w:w="5328"/>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关键超参数</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线性模型</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ElasticNet</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alpha=0.1, l1_ratio=0.5, 标准化</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线性模型</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偏最小二乘回归 (PLS)</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n_components=8, 标准化</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线性模型</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Lasso 回归</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alpha=0.1, 标准化</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线性模型</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Ridge 回归</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alpha=1.0, 标准化</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线性模型</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Huber 稳健回归</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epsilon=1.35, max_iter=2000, 标准化</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近邻方法</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KNN (k=5)</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k=5, 距离加权, 标准化</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核方法</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高斯过程回归 (GPR)</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RBF 核 + WhiteKernel, 标准化</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核方法</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SVR (RBF)</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C=10, gamma=scale, epsilon=0.1, 标准化</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核方法</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SVR (Poly-3)</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3 次多项式核, C=1.0, 标准化</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树模型</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决策树</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max_depth=8, min_samples_leaf=2</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集成学习</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极端随机树 (ET)</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300 棵树, max_features=sqrt</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集成学习</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XGBoost</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300 棵树, max_depth=4, lr=0.05, subsample=0.8</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集成学习</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随机森林 (RF)</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300 棵树, max_features=sqrt</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集成学习</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梯度提升 (GBR)</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200 棵树, lr=0.05, max_depth=3</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集成学习</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LightGBM</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300 棵树, num_leaves=15, lr=0.05</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集成学习</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直方图梯度提升 (HGB)</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max_iter=200, lr=0.05</w:t>
            </w:r>
          </w:p>
        </w:tc>
      </w:tr>
      <w:tr>
        <w:trPr>
          <w:cantSplit/>
        </w:trPr>
        <w:tc>
          <w:tcPr>
            <w:tcW w:type="dxa" w:w="1512"/>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集成学习</w:t>
            </w:r>
          </w:p>
        </w:tc>
        <w:tc>
          <w:tcPr>
            <w:tcW w:type="dxa" w:w="2520"/>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AdaBoost</w:t>
            </w:r>
          </w:p>
        </w:tc>
        <w:tc>
          <w:tcPr>
            <w:tcW w:type="dxa" w:w="5328"/>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200 个基学习器, lr=0.05</w:t>
            </w:r>
          </w:p>
        </w:tc>
      </w:tr>
      <w:tr>
        <w:trPr>
          <w:cantSplit/>
        </w:trPr>
        <w:tc>
          <w:tcPr>
            <w:tcW w:type="dxa" w:w="1512"/>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神经网络</w:t>
            </w:r>
          </w:p>
        </w:tc>
        <w:tc>
          <w:tcPr>
            <w:tcW w:type="dxa" w:w="25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多层感知机 (MLP)</w:t>
            </w:r>
          </w:p>
        </w:tc>
        <w:tc>
          <w:tcPr>
            <w:tcW w:type="dxa" w:w="5328"/>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7"/>
              </w:rPr>
              <w:t>隐藏层 (64, 32), ReLU, 早期停止</w:t>
            </w:r>
          </w:p>
        </w:tc>
      </w:tr>
    </w:tbl>
    <w:p>
      <w:pPr>
        <w:spacing w:before="40" w:after="200" w:line="276" w:lineRule="auto"/>
      </w:pPr>
      <w:r>
        <w:rPr>
          <w:rFonts w:ascii="Calibri" w:hAnsi="Calibri" w:cs="Calibri" w:eastAsia="微软雅黑"/>
          <w:color w:val="5A6672"/>
          <w:sz w:val="17"/>
        </w:rPr>
        <w:t>表 4  参与评估的 18 种回归算法及其关键超参数。超参数为常用默认取值的适度调整, 未在测试集上进行调优搜索, 以避免交叉验证结果被乐观偏置。</w:t>
      </w:r>
    </w:p>
    <w:p>
      <w:pPr>
        <w:pStyle w:val="Heading2"/>
      </w:pPr>
      <w:r>
        <w:rPr>
          <w:rFonts w:ascii="Calibri" w:hAnsi="Calibri" w:cs="Calibri" w:eastAsia="微软雅黑"/>
          <w:b/>
          <w:color w:val="2E74B5"/>
          <w:sz w:val="25"/>
        </w:rPr>
        <w:t>3.4  交叉验证设计</w:t>
      </w:r>
    </w:p>
    <w:p>
      <w:pPr>
        <w:overflowPunct w:val="0"/>
        <w:spacing w:before="0" w:after="120" w:line="300" w:lineRule="auto"/>
        <w:jc w:val="left"/>
      </w:pPr>
      <w:r>
        <w:rPr>
          <w:rFonts w:ascii="Calibri" w:hAnsi="Calibri" w:cs="Calibri" w:eastAsia="微软雅黑"/>
          <w:color w:val="1F2933"/>
          <w:sz w:val="21"/>
        </w:rPr>
        <w:t>模型性能通过两套互补的交叉验证方案评估, 两者均只使用训练折拟合模型, 验证折完全不参与训练:</w:t>
      </w:r>
    </w:p>
    <w:p>
      <w:pPr>
        <w:overflowPunct w:val="0"/>
        <w:spacing w:before="0" w:after="80" w:line="300" w:lineRule="auto"/>
        <w:ind w:left="540" w:hanging="270"/>
        <w:numPr>
          <w:ilvl w:val="0"/>
          <w:numId w:val="10"/>
        </w:numPr>
      </w:pPr>
      <w:r>
        <w:rPr>
          <w:rFonts w:ascii="Calibri" w:hAnsi="Calibri" w:cs="Calibri" w:eastAsia="微软雅黑"/>
          <w:b/>
          <w:color w:val="1F2933"/>
          <w:sz w:val="21"/>
        </w:rPr>
        <w:t>5 折交叉验证。</w:t>
      </w:r>
      <w:r>
        <w:rPr>
          <w:rFonts w:ascii="Calibri" w:hAnsi="Calibri" w:cs="Calibri" w:eastAsia="微软雅黑"/>
          <w:color w:val="1F2933"/>
          <w:sz w:val="21"/>
        </w:rPr>
        <w:t>k 折交叉验证 (k = 5): 使用打乱顺序的 5 折划分 (KFold, shuffle = True, random_state = 42), 每个模型产生 5 个验证折的预测, 既报告折间均值 ± 标准差, 也报告将 5 折预测拼接后的整体指标, 以反映模型在不同子集上的稳定性。</w:t>
      </w:r>
    </w:p>
    <w:p>
      <w:pPr>
        <w:overflowPunct w:val="0"/>
        <w:spacing w:before="0" w:after="80" w:line="300" w:lineRule="auto"/>
        <w:ind w:left="540" w:hanging="270"/>
        <w:numPr>
          <w:ilvl w:val="0"/>
          <w:numId w:val="10"/>
        </w:numPr>
      </w:pPr>
      <w:r>
        <w:rPr>
          <w:rFonts w:ascii="Calibri" w:hAnsi="Calibri" w:cs="Calibri" w:eastAsia="微软雅黑"/>
          <w:b/>
          <w:color w:val="1F2933"/>
          <w:sz w:val="21"/>
        </w:rPr>
        <w:t>留一法交叉验证 (LOO-CV)。</w:t>
      </w:r>
      <w:r>
        <w:rPr>
          <w:rFonts w:ascii="Calibri" w:hAnsi="Calibri" w:cs="Calibri" w:eastAsia="微软雅黑"/>
          <w:color w:val="1F2933"/>
          <w:sz w:val="21"/>
        </w:rPr>
        <w:t>留一法交叉验证: 每次留出 1 个分子作为验证样本, 其余 393 个分子用于训练, 共进行 394 次拟合, 得到每个分子的样本外预测值。LOO-CV 的验证集利用率最高, 适合小样本数据, 其决定系数记为 Q², 是 QSPR 研究中衡量模型外推能力的常用指标。</w:t>
      </w:r>
    </w:p>
    <w:p>
      <w:pPr>
        <w:overflowPunct w:val="0"/>
        <w:spacing w:before="0" w:after="120" w:line="300" w:lineRule="auto"/>
        <w:jc w:val="left"/>
      </w:pPr>
      <w:r>
        <w:rPr>
          <w:rFonts w:ascii="Calibri" w:hAnsi="Calibri" w:cs="Calibri" w:eastAsia="微软雅黑"/>
          <w:color w:val="1F2933"/>
          <w:sz w:val="21"/>
        </w:rPr>
        <w:t>两套方案的样本外预测结果互为参照: 若某模型在 5 折中排名靠前却在 LOO 中大幅落后, 说明其性能对划分方式敏感; 反之则表明结论稳健。</w:t>
      </w:r>
    </w:p>
    <w:p>
      <w:pPr>
        <w:pStyle w:val="Heading2"/>
      </w:pPr>
      <w:r>
        <w:rPr>
          <w:rFonts w:ascii="Calibri" w:hAnsi="Calibri" w:cs="Calibri" w:eastAsia="微软雅黑"/>
          <w:b/>
          <w:color w:val="2E74B5"/>
          <w:sz w:val="25"/>
        </w:rPr>
        <w:t>3.5  评价指标</w:t>
      </w:r>
    </w:p>
    <w:p>
      <w:pPr>
        <w:overflowPunct w:val="0"/>
        <w:spacing w:before="0" w:after="120" w:line="300" w:lineRule="auto"/>
        <w:jc w:val="left"/>
      </w:pPr>
      <w:r>
        <w:rPr>
          <w:rFonts w:ascii="Calibri" w:hAnsi="Calibri" w:cs="Calibri" w:eastAsia="微软雅黑"/>
          <w:color w:val="1F2933"/>
          <w:sz w:val="21"/>
        </w:rPr>
        <w:t>回归性能采用四个指标衡量: 决定系数 R² (交叉验证中记作 Q², 越接近 1 越好, 小于 0 表示模型不如直接使用目标均值进行预测)、均方根误差 RMSE (与目标同量纲, 对大误差更敏感)、平均绝对误差 MAE (对离群值更稳健) 以及平均绝对百分误差 MAPE。报告同时给出模型在全数据上拟合的训练集 R², 用于评估过拟合程度 (训练集与验证集 R² 的差值)。</w:t>
      </w:r>
    </w:p>
    <w:p>
      <w:pPr>
        <w:pStyle w:val="Heading2"/>
      </w:pPr>
      <w:r>
        <w:rPr>
          <w:rFonts w:ascii="Calibri" w:hAnsi="Calibri" w:cs="Calibri" w:eastAsia="微软雅黑"/>
          <w:b/>
          <w:color w:val="2E74B5"/>
          <w:sz w:val="25"/>
        </w:rPr>
        <w:t>3.6  特征重要性与显著性检验</w:t>
      </w:r>
    </w:p>
    <w:p>
      <w:pPr>
        <w:overflowPunct w:val="0"/>
        <w:spacing w:before="0" w:after="120" w:line="300" w:lineRule="auto"/>
        <w:jc w:val="left"/>
      </w:pPr>
      <w:r>
        <w:rPr>
          <w:rFonts w:ascii="Calibri" w:hAnsi="Calibri" w:cs="Calibri" w:eastAsia="微软雅黑"/>
          <w:color w:val="1F2933"/>
          <w:sz w:val="21"/>
        </w:rPr>
        <w:t>为解释模型并检验其统计意义, 开展四类分析: (i) 置换重要性 (permutation importance) —— 对最优模型在 5 折交叉验证框架下重复 10 次随机打乱单个特征, 记录 R² 的下降幅度, 得到与模型类型无关的重要性估计; (ii) 随机森林内置重要性 —— 基于不纯度下降的 500 棵树平均结果, 作为交叉验证; (iii) 精确 Shapley 值 (KernelSHAP) —— 以特征中位数向量为背景, 对全部 2</w:t>
      </w:r>
      <w:r>
        <w:rPr>
          <w:rFonts w:ascii="Calibri" w:hAnsi="Calibri" w:cs="Calibri" w:eastAsia="微软雅黑"/>
          <w:color w:val="1F2933"/>
          <w:sz w:val="21"/>
          <w:vertAlign w:val="superscript"/>
        </w:rPr>
        <w:t>14</w:t>
      </w:r>
      <w:r>
        <w:rPr>
          <w:rFonts w:ascii="Calibri" w:hAnsi="Calibri" w:cs="Calibri" w:eastAsia="微软雅黑"/>
          <w:color w:val="1F2933"/>
          <w:sz w:val="21"/>
        </w:rPr>
        <w:t xml:space="preserve"> = 16384 个特征子集精确枚举, 按 Shapley 权重求和, 得到每个分子、每个描述符的加性贡献 φ, 其满足 Σφ = 预测值 − 基线值, 并给出全局平均 |φ| 排序; 相比置换重要性, Shapley 值可同时给出贡献的方向与幅度, 且按定义公平分摊特征间的交互作用; (iv) Y-scrambling 检验 —— 将目标值随机置换 20 次后重复 5 折交叉验证, 若随机标签同样能取得较高 R², 则说明模型学习到的是噪声。</w:t>
      </w:r>
    </w:p>
    <w:p>
      <w:pPr>
        <w:pStyle w:val="Heading1"/>
      </w:pPr>
      <w:r>
        <w:rPr>
          <w:rFonts w:ascii="Calibri" w:hAnsi="Calibri" w:cs="Calibri" w:eastAsia="微软雅黑"/>
          <w:b/>
          <w:color w:val="2E74B5"/>
          <w:sz w:val="30"/>
        </w:rPr>
        <w:t>4  结果与分析</w:t>
      </w:r>
    </w:p>
    <w:p>
      <w:pPr>
        <w:pStyle w:val="Heading2"/>
      </w:pPr>
      <w:r>
        <w:rPr>
          <w:rFonts w:ascii="Calibri" w:hAnsi="Calibri" w:cs="Calibri" w:eastAsia="微软雅黑"/>
          <w:b/>
          <w:color w:val="2E74B5"/>
          <w:sz w:val="25"/>
        </w:rPr>
        <w:t>4.1  5 折交叉验证结果</w:t>
      </w:r>
    </w:p>
    <w:tbl>
      <w:tblPr>
        <w:tblStyle w:val="TableGrid"/>
        <w:tblW w:type="dxa" w:w="9360"/>
        <w:jc w:val="left"/>
        <w:tblLayout w:type="fixed"/>
        <w:tblLook w:firstColumn="1" w:firstRow="1" w:lastColumn="0" w:lastRow="0" w:noHBand="0" w:noVBand="1" w:val="04A0"/>
        <w:tblInd w:type="dxa" w:w="120"/>
      </w:tblPr>
      <w:tblGrid>
        <w:gridCol w:w="633"/>
        <w:gridCol w:w="2463"/>
        <w:gridCol w:w="1013"/>
        <w:gridCol w:w="1126"/>
        <w:gridCol w:w="1098"/>
        <w:gridCol w:w="985"/>
        <w:gridCol w:w="985"/>
        <w:gridCol w:w="1057"/>
      </w:tblGrid>
      <w:tr>
        <w:trPr>
          <w:cantSplit/>
          <w:tblHeader/>
        </w:trPr>
        <w:tc>
          <w:tcPr>
            <w:tcW w:type="dxa" w:w="633"/>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排名</w:t>
            </w:r>
          </w:p>
        </w:tc>
        <w:tc>
          <w:tcPr>
            <w:tcW w:type="dxa" w:w="2463"/>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模型</w:t>
            </w:r>
          </w:p>
        </w:tc>
        <w:tc>
          <w:tcPr>
            <w:tcW w:type="dxa" w:w="1013"/>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5 折 R²</w:t>
            </w:r>
          </w:p>
        </w:tc>
        <w:tc>
          <w:tcPr>
            <w:tcW w:type="dxa" w:w="1126"/>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折间标准差</w:t>
            </w:r>
          </w:p>
        </w:tc>
        <w:tc>
          <w:tcPr>
            <w:tcW w:type="dxa" w:w="1098"/>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5 折 RMSE</w:t>
            </w:r>
          </w:p>
        </w:tc>
        <w:tc>
          <w:tcPr>
            <w:tcW w:type="dxa" w:w="985"/>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5 折 MAE</w:t>
            </w:r>
          </w:p>
        </w:tc>
        <w:tc>
          <w:tcPr>
            <w:tcW w:type="dxa" w:w="985"/>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LOO Q²</w:t>
            </w:r>
          </w:p>
        </w:tc>
        <w:tc>
          <w:tcPr>
            <w:tcW w:type="dxa" w:w="1057"/>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LOO RMSE</w:t>
            </w:r>
          </w:p>
        </w:tc>
      </w:tr>
      <w:tr>
        <w:trPr>
          <w:cantSplit/>
        </w:trPr>
        <w:tc>
          <w:tcPr>
            <w:tcW w:type="dxa" w:w="633"/>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1</w:t>
            </w:r>
          </w:p>
        </w:tc>
        <w:tc>
          <w:tcPr>
            <w:tcW w:type="dxa" w:w="2463"/>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极端随机树 (ET)</w:t>
            </w:r>
          </w:p>
        </w:tc>
        <w:tc>
          <w:tcPr>
            <w:tcW w:type="dxa" w:w="1013"/>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0.735</w:t>
            </w:r>
          </w:p>
        </w:tc>
        <w:tc>
          <w:tcPr>
            <w:tcW w:type="dxa" w:w="11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±0.109</w:t>
            </w:r>
          </w:p>
        </w:tc>
        <w:tc>
          <w:tcPr>
            <w:tcW w:type="dxa" w:w="109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67.9</w:t>
            </w:r>
          </w:p>
        </w:tc>
        <w:tc>
          <w:tcPr>
            <w:tcW w:type="dxa" w:w="985"/>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43.4</w:t>
            </w:r>
          </w:p>
        </w:tc>
        <w:tc>
          <w:tcPr>
            <w:tcW w:type="dxa" w:w="985"/>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0.779</w:t>
            </w:r>
          </w:p>
        </w:tc>
        <w:tc>
          <w:tcPr>
            <w:tcW w:type="dxa" w:w="105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62.0</w:t>
            </w:r>
          </w:p>
        </w:tc>
      </w:tr>
      <w:tr>
        <w:trPr>
          <w:cantSplit/>
        </w:trPr>
        <w:tc>
          <w:tcPr>
            <w:tcW w:type="dxa" w:w="63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2</w:t>
            </w:r>
          </w:p>
        </w:tc>
        <w:tc>
          <w:tcPr>
            <w:tcW w:type="dxa" w:w="2463"/>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XGBoost</w:t>
            </w:r>
          </w:p>
        </w:tc>
        <w:tc>
          <w:tcPr>
            <w:tcW w:type="dxa" w:w="1013"/>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0.691</w:t>
            </w:r>
          </w:p>
        </w:tc>
        <w:tc>
          <w:tcPr>
            <w:tcW w:type="dxa" w:w="11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±0.144</w:t>
            </w:r>
          </w:p>
        </w:tc>
        <w:tc>
          <w:tcPr>
            <w:tcW w:type="dxa" w:w="109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73.4</w:t>
            </w:r>
          </w:p>
        </w:tc>
        <w:tc>
          <w:tcPr>
            <w:tcW w:type="dxa" w:w="985"/>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49.4</w:t>
            </w:r>
          </w:p>
        </w:tc>
        <w:tc>
          <w:tcPr>
            <w:tcW w:type="dxa" w:w="985"/>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0.742</w:t>
            </w:r>
          </w:p>
        </w:tc>
        <w:tc>
          <w:tcPr>
            <w:tcW w:type="dxa" w:w="105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67.0</w:t>
            </w:r>
          </w:p>
        </w:tc>
      </w:tr>
      <w:tr>
        <w:trPr>
          <w:cantSplit/>
        </w:trPr>
        <w:tc>
          <w:tcPr>
            <w:tcW w:type="dxa" w:w="633"/>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3</w:t>
            </w:r>
          </w:p>
        </w:tc>
        <w:tc>
          <w:tcPr>
            <w:tcW w:type="dxa" w:w="2463"/>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随机森林 (RF)</w:t>
            </w:r>
          </w:p>
        </w:tc>
        <w:tc>
          <w:tcPr>
            <w:tcW w:type="dxa" w:w="1013"/>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0.686</w:t>
            </w:r>
          </w:p>
        </w:tc>
        <w:tc>
          <w:tcPr>
            <w:tcW w:type="dxa" w:w="11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±0.091</w:t>
            </w:r>
          </w:p>
        </w:tc>
        <w:tc>
          <w:tcPr>
            <w:tcW w:type="dxa" w:w="109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73.9</w:t>
            </w:r>
          </w:p>
        </w:tc>
        <w:tc>
          <w:tcPr>
            <w:tcW w:type="dxa" w:w="985"/>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52.3</w:t>
            </w:r>
          </w:p>
        </w:tc>
        <w:tc>
          <w:tcPr>
            <w:tcW w:type="dxa" w:w="985"/>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0.740</w:t>
            </w:r>
          </w:p>
        </w:tc>
        <w:tc>
          <w:tcPr>
            <w:tcW w:type="dxa" w:w="105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67.2</w:t>
            </w:r>
          </w:p>
        </w:tc>
      </w:tr>
      <w:tr>
        <w:trPr>
          <w:cantSplit/>
        </w:trPr>
        <w:tc>
          <w:tcPr>
            <w:tcW w:type="dxa" w:w="63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4</w:t>
            </w:r>
          </w:p>
        </w:tc>
        <w:tc>
          <w:tcPr>
            <w:tcW w:type="dxa" w:w="2463"/>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梯度提升 (GBR)</w:t>
            </w:r>
          </w:p>
        </w:tc>
        <w:tc>
          <w:tcPr>
            <w:tcW w:type="dxa" w:w="1013"/>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0.633</w:t>
            </w:r>
          </w:p>
        </w:tc>
        <w:tc>
          <w:tcPr>
            <w:tcW w:type="dxa" w:w="11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±0.191</w:t>
            </w:r>
          </w:p>
        </w:tc>
        <w:tc>
          <w:tcPr>
            <w:tcW w:type="dxa" w:w="109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79.9</w:t>
            </w:r>
          </w:p>
        </w:tc>
        <w:tc>
          <w:tcPr>
            <w:tcW w:type="dxa" w:w="985"/>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57.1</w:t>
            </w:r>
          </w:p>
        </w:tc>
        <w:tc>
          <w:tcPr>
            <w:tcW w:type="dxa" w:w="985"/>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0.696</w:t>
            </w:r>
          </w:p>
        </w:tc>
        <w:tc>
          <w:tcPr>
            <w:tcW w:type="dxa" w:w="105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72.8</w:t>
            </w:r>
          </w:p>
        </w:tc>
      </w:tr>
      <w:tr>
        <w:trPr>
          <w:cantSplit/>
        </w:trPr>
        <w:tc>
          <w:tcPr>
            <w:tcW w:type="dxa" w:w="633"/>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5</w:t>
            </w:r>
          </w:p>
        </w:tc>
        <w:tc>
          <w:tcPr>
            <w:tcW w:type="dxa" w:w="2463"/>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高斯过程回归 (GPR)</w:t>
            </w:r>
          </w:p>
        </w:tc>
        <w:tc>
          <w:tcPr>
            <w:tcW w:type="dxa" w:w="1013"/>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0.605</w:t>
            </w:r>
          </w:p>
        </w:tc>
        <w:tc>
          <w:tcPr>
            <w:tcW w:type="dxa" w:w="11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±0.088</w:t>
            </w:r>
          </w:p>
        </w:tc>
        <w:tc>
          <w:tcPr>
            <w:tcW w:type="dxa" w:w="109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83.0</w:t>
            </w:r>
          </w:p>
        </w:tc>
        <w:tc>
          <w:tcPr>
            <w:tcW w:type="dxa" w:w="985"/>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52.2</w:t>
            </w:r>
          </w:p>
        </w:tc>
        <w:tc>
          <w:tcPr>
            <w:tcW w:type="dxa" w:w="985"/>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0.652</w:t>
            </w:r>
          </w:p>
        </w:tc>
        <w:tc>
          <w:tcPr>
            <w:tcW w:type="dxa" w:w="105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77.9</w:t>
            </w:r>
          </w:p>
        </w:tc>
      </w:tr>
      <w:tr>
        <w:trPr>
          <w:cantSplit/>
        </w:trPr>
        <w:tc>
          <w:tcPr>
            <w:tcW w:type="dxa" w:w="63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6</w:t>
            </w:r>
          </w:p>
        </w:tc>
        <w:tc>
          <w:tcPr>
            <w:tcW w:type="dxa" w:w="2463"/>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KNN (k=5)</w:t>
            </w:r>
          </w:p>
        </w:tc>
        <w:tc>
          <w:tcPr>
            <w:tcW w:type="dxa" w:w="1013"/>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0.574</w:t>
            </w:r>
          </w:p>
        </w:tc>
        <w:tc>
          <w:tcPr>
            <w:tcW w:type="dxa" w:w="11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±0.241</w:t>
            </w:r>
          </w:p>
        </w:tc>
        <w:tc>
          <w:tcPr>
            <w:tcW w:type="dxa" w:w="109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86.2</w:t>
            </w:r>
          </w:p>
        </w:tc>
        <w:tc>
          <w:tcPr>
            <w:tcW w:type="dxa" w:w="985"/>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54.8</w:t>
            </w:r>
          </w:p>
        </w:tc>
        <w:tc>
          <w:tcPr>
            <w:tcW w:type="dxa" w:w="985"/>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0.664</w:t>
            </w:r>
          </w:p>
        </w:tc>
        <w:tc>
          <w:tcPr>
            <w:tcW w:type="dxa" w:w="105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76.5</w:t>
            </w:r>
          </w:p>
        </w:tc>
      </w:tr>
      <w:tr>
        <w:trPr>
          <w:cantSplit/>
        </w:trPr>
        <w:tc>
          <w:tcPr>
            <w:tcW w:type="dxa" w:w="633"/>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7</w:t>
            </w:r>
          </w:p>
        </w:tc>
        <w:tc>
          <w:tcPr>
            <w:tcW w:type="dxa" w:w="2463"/>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LightGBM</w:t>
            </w:r>
          </w:p>
        </w:tc>
        <w:tc>
          <w:tcPr>
            <w:tcW w:type="dxa" w:w="1013"/>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0.570</w:t>
            </w:r>
          </w:p>
        </w:tc>
        <w:tc>
          <w:tcPr>
            <w:tcW w:type="dxa" w:w="11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±0.080</w:t>
            </w:r>
          </w:p>
        </w:tc>
        <w:tc>
          <w:tcPr>
            <w:tcW w:type="dxa" w:w="109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86.6</w:t>
            </w:r>
          </w:p>
        </w:tc>
        <w:tc>
          <w:tcPr>
            <w:tcW w:type="dxa" w:w="985"/>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56.9</w:t>
            </w:r>
          </w:p>
        </w:tc>
        <w:tc>
          <w:tcPr>
            <w:tcW w:type="dxa" w:w="985"/>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0.666</w:t>
            </w:r>
          </w:p>
        </w:tc>
        <w:tc>
          <w:tcPr>
            <w:tcW w:type="dxa" w:w="105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76.3</w:t>
            </w:r>
          </w:p>
        </w:tc>
      </w:tr>
      <w:tr>
        <w:trPr>
          <w:cantSplit/>
        </w:trPr>
        <w:tc>
          <w:tcPr>
            <w:tcW w:type="dxa" w:w="633"/>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8</w:t>
            </w:r>
          </w:p>
        </w:tc>
        <w:tc>
          <w:tcPr>
            <w:tcW w:type="dxa" w:w="2463"/>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直方图梯度提升 (HGB)</w:t>
            </w:r>
          </w:p>
        </w:tc>
        <w:tc>
          <w:tcPr>
            <w:tcW w:type="dxa" w:w="1013"/>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0.570</w:t>
            </w:r>
          </w:p>
        </w:tc>
        <w:tc>
          <w:tcPr>
            <w:tcW w:type="dxa" w:w="11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±0.062</w:t>
            </w:r>
          </w:p>
        </w:tc>
        <w:tc>
          <w:tcPr>
            <w:tcW w:type="dxa" w:w="109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86.6</w:t>
            </w:r>
          </w:p>
        </w:tc>
        <w:tc>
          <w:tcPr>
            <w:tcW w:type="dxa" w:w="985"/>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56.6</w:t>
            </w:r>
          </w:p>
        </w:tc>
        <w:tc>
          <w:tcPr>
            <w:tcW w:type="dxa" w:w="985"/>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0.649</w:t>
            </w:r>
          </w:p>
        </w:tc>
        <w:tc>
          <w:tcPr>
            <w:tcW w:type="dxa" w:w="105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78.2</w:t>
            </w:r>
          </w:p>
        </w:tc>
      </w:tr>
    </w:tbl>
    <w:p>
      <w:pPr>
        <w:spacing w:before="40" w:after="200" w:line="276" w:lineRule="auto"/>
      </w:pPr>
      <w:r>
        <w:rPr>
          <w:rFonts w:ascii="Calibri" w:hAnsi="Calibri" w:cs="Calibri" w:eastAsia="微软雅黑"/>
          <w:color w:val="5A6672"/>
          <w:sz w:val="17"/>
        </w:rPr>
        <w:t>表 5  综合排名前 8 的模型的 5 折交叉验证与留一法交叉验证性能对比 (RMSE / MAE 单位: kJ/mol)。</w:t>
      </w:r>
    </w:p>
    <w:p>
      <w:pPr>
        <w:overflowPunct w:val="0"/>
        <w:spacing w:before="0" w:after="120" w:line="300" w:lineRule="auto"/>
        <w:jc w:val="left"/>
      </w:pPr>
      <w:r>
        <w:rPr>
          <w:rFonts w:ascii="Calibri" w:hAnsi="Calibri" w:cs="Calibri" w:eastAsia="微软雅黑"/>
          <w:color w:val="1F2933"/>
          <w:sz w:val="21"/>
        </w:rPr>
        <w:t>5 折交叉验证中, 极端随机树 (ET) 的 R² 达到 0.735, 折间标准差为 0.109, 在集成学习类模型中处于中等水平, 说明 5 个验证子集上的表现总体稳定但仍存在约 0.11 的波动, 样本划分对结果有一定影响。XGBoost 与 随机森林 (RF) 分别以 0.691 和 0.686 紧随其后。三者的共同点是以决策树为基学习器并通过集成降低方差, 能够自动捕捉描述符之间的非线性与交互效应。</w:t>
      </w:r>
    </w:p>
    <w:p>
      <w:pPr>
        <w:overflowPunct w:val="0"/>
        <w:spacing w:before="0" w:after="120" w:line="300" w:lineRule="auto"/>
        <w:jc w:val="left"/>
      </w:pPr>
      <w:r>
        <w:rPr>
          <w:rFonts w:ascii="Calibri" w:hAnsi="Calibri" w:cs="Calibri" w:eastAsia="微软雅黑"/>
          <w:color w:val="1F2933"/>
          <w:sz w:val="21"/>
        </w:rPr>
        <w:t>线性与核方法整体表现较弱: PLS 的 R² 为 0.398, Ridge 与 Lasso 为 0.363, 表明结合能与描述符之间存在明显的非线性关系; 而 SVR (Poly-3) 的 R² 为 -1.814, 出现明显的过拟合/外推失效。神经网络 (MLP) 受限于样本量, R² 仅为 0.243。</w:t>
      </w:r>
    </w:p>
    <w:p>
      <w:pPr>
        <w:keepNext/>
        <w:spacing w:before="120" w:after="40"/>
        <w:jc w:val="center"/>
      </w:pPr>
      <w:r>
        <w:drawing>
          <wp:inline xmlns:a="http://schemas.openxmlformats.org/drawingml/2006/main" xmlns:pic="http://schemas.openxmlformats.org/drawingml/2006/picture">
            <wp:extent cx="5669280" cy="4474670"/>
            <wp:docPr id="4" name="Picture 4"/>
            <wp:cNvGraphicFramePr>
              <a:graphicFrameLocks noChangeAspect="1"/>
            </wp:cNvGraphicFramePr>
            <a:graphic>
              <a:graphicData uri="http://schemas.openxmlformats.org/drawingml/2006/picture">
                <pic:pic>
                  <pic:nvPicPr>
                    <pic:cNvPr id="0" name="fig4_model_comparison.png"/>
                    <pic:cNvPicPr/>
                  </pic:nvPicPr>
                  <pic:blipFill>
                    <a:blip r:embed="rId14"/>
                    <a:stretch>
                      <a:fillRect/>
                    </a:stretch>
                  </pic:blipFill>
                  <pic:spPr>
                    <a:xfrm>
                      <a:off x="0" y="0"/>
                      <a:ext cx="5669280" cy="4474670"/>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4  18 种模型的 5 折交叉验证 R² 与留一法交叉验证 Q² 对比</w:t>
      </w:r>
    </w:p>
    <w:p>
      <w:pPr>
        <w:pStyle w:val="Heading2"/>
      </w:pPr>
      <w:r>
        <w:rPr>
          <w:rFonts w:ascii="Calibri" w:hAnsi="Calibri" w:cs="Calibri" w:eastAsia="微软雅黑"/>
          <w:b/>
          <w:color w:val="2E74B5"/>
          <w:sz w:val="25"/>
        </w:rPr>
        <w:t>4.2  留一法交叉验证结果</w:t>
      </w:r>
    </w:p>
    <w:p>
      <w:pPr>
        <w:overflowPunct w:val="0"/>
        <w:spacing w:before="0" w:after="120" w:line="300" w:lineRule="auto"/>
        <w:jc w:val="left"/>
      </w:pPr>
      <w:r>
        <w:rPr>
          <w:rFonts w:ascii="Calibri" w:hAnsi="Calibri" w:cs="Calibri" w:eastAsia="微软雅黑"/>
          <w:color w:val="1F2933"/>
          <w:sz w:val="21"/>
        </w:rPr>
        <w:t>LOO-CV 需要对 18 个模型各完成 394 次留一拟合 (合计 7,092 次模型训练), 其结果更能反映极端小训练集条件下的外推能力。极端随机树 (ET) 的 Q² = 0.779, RMSE = 62.0 kJ/mol, MAE = 37.8 kJ/mol; 与 5 折结果相比, Q² 变化为 0.044。LOO-CV 的 Q² 略高于 5 折 R², 其原因在于留一法每次使用 393 个样本训练, 训练集规模大于 5 折折内的约 315 个样本, 说明该模型在训练样本小幅增加时仍有收益。</w:t>
      </w:r>
    </w:p>
    <w:p>
      <w:pPr>
        <w:overflowPunct w:val="0"/>
        <w:spacing w:before="0" w:after="120" w:line="300" w:lineRule="auto"/>
        <w:jc w:val="left"/>
      </w:pPr>
      <w:r>
        <w:rPr>
          <w:rFonts w:ascii="Calibri" w:hAnsi="Calibri" w:cs="Calibri" w:eastAsia="微软雅黑"/>
          <w:color w:val="1F2933"/>
          <w:sz w:val="21"/>
        </w:rPr>
        <w:t>排名前列的模型在两种方案中的顺序基本一致: 前 5 名中集成学习模型占据 4 席。两种验证方案的整体排序一致性在 4.8 节通过散点与相关系数进一步量化。</w:t>
      </w:r>
    </w:p>
    <w:p>
      <w:pPr>
        <w:pStyle w:val="Heading2"/>
      </w:pPr>
      <w:r>
        <w:rPr>
          <w:rFonts w:ascii="Calibri" w:hAnsi="Calibri" w:cs="Calibri" w:eastAsia="微软雅黑"/>
          <w:b/>
          <w:color w:val="2E74B5"/>
          <w:sz w:val="25"/>
        </w:rPr>
        <w:t>4.3  不同模型族的表现差异</w:t>
      </w:r>
    </w:p>
    <w:tbl>
      <w:tblPr>
        <w:tblStyle w:val="TableGrid"/>
        <w:tblW w:type="dxa" w:w="9360"/>
        <w:jc w:val="left"/>
        <w:tblLayout w:type="fixed"/>
        <w:tblLook w:firstColumn="1" w:firstRow="1" w:lastColumn="0" w:lastRow="0" w:noHBand="0" w:noVBand="1" w:val="04A0"/>
        <w:tblInd w:type="dxa" w:w="120"/>
      </w:tblPr>
      <w:tblGrid>
        <w:gridCol w:w="1944"/>
        <w:gridCol w:w="2808"/>
        <w:gridCol w:w="1440"/>
        <w:gridCol w:w="1440"/>
        <w:gridCol w:w="1728"/>
      </w:tblGrid>
      <w:tr>
        <w:trPr>
          <w:cantSplit/>
          <w:tblHeader/>
        </w:trPr>
        <w:tc>
          <w:tcPr>
            <w:tcW w:type="dxa" w:w="194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模型族</w:t>
            </w:r>
          </w:p>
        </w:tc>
        <w:tc>
          <w:tcPr>
            <w:tcW w:type="dxa" w:w="2808"/>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族内最优算法</w:t>
            </w:r>
          </w:p>
        </w:tc>
        <w:tc>
          <w:tcPr>
            <w:tcW w:type="dxa" w:w="1440"/>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5 折 R²</w:t>
            </w:r>
          </w:p>
        </w:tc>
        <w:tc>
          <w:tcPr>
            <w:tcW w:type="dxa" w:w="1440"/>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LOO Q²</w:t>
            </w:r>
          </w:p>
        </w:tc>
        <w:tc>
          <w:tcPr>
            <w:tcW w:type="dxa" w:w="1728"/>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Q² − R²</w:t>
            </w:r>
          </w:p>
        </w:tc>
      </w:tr>
      <w:tr>
        <w:trPr>
          <w:cantSplit/>
        </w:trPr>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集成学习</w:t>
            </w:r>
          </w:p>
        </w:tc>
        <w:tc>
          <w:tcPr>
            <w:tcW w:type="dxa" w:w="280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极端随机树 (ET)</w:t>
            </w:r>
          </w:p>
        </w:tc>
        <w:tc>
          <w:tcPr>
            <w:tcW w:type="dxa" w:w="1440"/>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0.735</w:t>
            </w:r>
          </w:p>
        </w:tc>
        <w:tc>
          <w:tcPr>
            <w:tcW w:type="dxa" w:w="1440"/>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0.779</w:t>
            </w:r>
          </w:p>
        </w:tc>
        <w:tc>
          <w:tcPr>
            <w:tcW w:type="dxa" w:w="172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0.044</w:t>
            </w:r>
          </w:p>
        </w:tc>
      </w:tr>
      <w:tr>
        <w:trPr>
          <w:cantSplit/>
        </w:trPr>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近邻方法</w:t>
            </w:r>
          </w:p>
        </w:tc>
        <w:tc>
          <w:tcPr>
            <w:tcW w:type="dxa" w:w="280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KNN (k=5)</w:t>
            </w:r>
          </w:p>
        </w:tc>
        <w:tc>
          <w:tcPr>
            <w:tcW w:type="dxa" w:w="1440"/>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0.574</w:t>
            </w:r>
          </w:p>
        </w:tc>
        <w:tc>
          <w:tcPr>
            <w:tcW w:type="dxa" w:w="1440"/>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0.664</w:t>
            </w:r>
          </w:p>
        </w:tc>
        <w:tc>
          <w:tcPr>
            <w:tcW w:type="dxa" w:w="172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0.090</w:t>
            </w:r>
          </w:p>
        </w:tc>
      </w:tr>
      <w:tr>
        <w:trPr>
          <w:cantSplit/>
        </w:trPr>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核方法</w:t>
            </w:r>
          </w:p>
        </w:tc>
        <w:tc>
          <w:tcPr>
            <w:tcW w:type="dxa" w:w="280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高斯过程回归 (GPR)</w:t>
            </w:r>
          </w:p>
        </w:tc>
        <w:tc>
          <w:tcPr>
            <w:tcW w:type="dxa" w:w="1440"/>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0.605</w:t>
            </w:r>
          </w:p>
        </w:tc>
        <w:tc>
          <w:tcPr>
            <w:tcW w:type="dxa" w:w="1440"/>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0.652</w:t>
            </w:r>
          </w:p>
        </w:tc>
        <w:tc>
          <w:tcPr>
            <w:tcW w:type="dxa" w:w="172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0.047</w:t>
            </w:r>
          </w:p>
        </w:tc>
      </w:tr>
      <w:tr>
        <w:trPr>
          <w:cantSplit/>
        </w:trPr>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树模型</w:t>
            </w:r>
          </w:p>
        </w:tc>
        <w:tc>
          <w:tcPr>
            <w:tcW w:type="dxa" w:w="280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决策树</w:t>
            </w:r>
          </w:p>
        </w:tc>
        <w:tc>
          <w:tcPr>
            <w:tcW w:type="dxa" w:w="1440"/>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0.437</w:t>
            </w:r>
          </w:p>
        </w:tc>
        <w:tc>
          <w:tcPr>
            <w:tcW w:type="dxa" w:w="1440"/>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0.541</w:t>
            </w:r>
          </w:p>
        </w:tc>
        <w:tc>
          <w:tcPr>
            <w:tcW w:type="dxa" w:w="172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0.104</w:t>
            </w:r>
          </w:p>
        </w:tc>
      </w:tr>
      <w:tr>
        <w:trPr>
          <w:cantSplit/>
        </w:trPr>
        <w:tc>
          <w:tcPr>
            <w:tcW w:type="dxa" w:w="1944"/>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线性模型</w:t>
            </w:r>
          </w:p>
        </w:tc>
        <w:tc>
          <w:tcPr>
            <w:tcW w:type="dxa" w:w="280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偏最小二乘回归 (PLS)</w:t>
            </w:r>
          </w:p>
        </w:tc>
        <w:tc>
          <w:tcPr>
            <w:tcW w:type="dxa" w:w="1440"/>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0.398</w:t>
            </w:r>
          </w:p>
        </w:tc>
        <w:tc>
          <w:tcPr>
            <w:tcW w:type="dxa" w:w="1440"/>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0.393</w:t>
            </w:r>
          </w:p>
        </w:tc>
        <w:tc>
          <w:tcPr>
            <w:tcW w:type="dxa" w:w="172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-0.004</w:t>
            </w:r>
          </w:p>
        </w:tc>
      </w:tr>
      <w:tr>
        <w:trPr>
          <w:cantSplit/>
        </w:trPr>
        <w:tc>
          <w:tcPr>
            <w:tcW w:type="dxa" w:w="194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神经网络</w:t>
            </w:r>
          </w:p>
        </w:tc>
        <w:tc>
          <w:tcPr>
            <w:tcW w:type="dxa" w:w="280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多层感知机 (MLP)</w:t>
            </w:r>
          </w:p>
        </w:tc>
        <w:tc>
          <w:tcPr>
            <w:tcW w:type="dxa" w:w="1440"/>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0.243</w:t>
            </w:r>
          </w:p>
        </w:tc>
        <w:tc>
          <w:tcPr>
            <w:tcW w:type="dxa" w:w="1440"/>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-0.101</w:t>
            </w:r>
          </w:p>
        </w:tc>
        <w:tc>
          <w:tcPr>
            <w:tcW w:type="dxa" w:w="172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-0.344</w:t>
            </w:r>
          </w:p>
        </w:tc>
      </w:tr>
    </w:tbl>
    <w:p>
      <w:pPr>
        <w:spacing w:before="40" w:after="200" w:line="276" w:lineRule="auto"/>
      </w:pPr>
      <w:r>
        <w:rPr>
          <w:rFonts w:ascii="Calibri" w:hAnsi="Calibri" w:cs="Calibri" w:eastAsia="微软雅黑"/>
          <w:color w:val="5A6672"/>
          <w:sz w:val="17"/>
        </w:rPr>
        <w:t>表 6  各模型族的最优代表及其交叉验证性能。</w:t>
      </w:r>
    </w:p>
    <w:p>
      <w:pPr>
        <w:overflowPunct w:val="0"/>
        <w:spacing w:before="0" w:after="120" w:line="300" w:lineRule="auto"/>
        <w:jc w:val="left"/>
      </w:pPr>
      <w:r>
        <w:rPr>
          <w:rFonts w:ascii="Calibri" w:hAnsi="Calibri" w:cs="Calibri" w:eastAsia="微软雅黑"/>
          <w:color w:val="1F2933"/>
          <w:sz w:val="21"/>
        </w:rPr>
        <w:t>按族别比较, 集成学习 表现最好 (族内最优 极端随机树 (ET), LOO Q² = 0.779), 而 神经网络 表现最弱 (族内最优 多层感知机 (MLP), LOO Q² = -0.101)。值得注意的是, 单一决策树的性能明显低于其集成版本, 说明在 394 个样本的规模下, bagging (RF / ET) 与 boosting (GBR / XGBoost / LightGBM) 的方差抑制与偏差校正机制都带来了实质收益; 其中 ET 通过随机化分裂阈值进一步降低了方差, 因而在两种验证方案中均保持领先。</w:t>
      </w:r>
    </w:p>
    <w:p>
      <w:pPr>
        <w:pStyle w:val="Heading2"/>
      </w:pPr>
      <w:r>
        <w:rPr>
          <w:rFonts w:ascii="Calibri" w:hAnsi="Calibri" w:cs="Calibri" w:eastAsia="微软雅黑"/>
          <w:b/>
          <w:color w:val="2E74B5"/>
          <w:sz w:val="25"/>
        </w:rPr>
        <w:t>4.4  最优模型的预测精度与误差结构</w:t>
      </w:r>
    </w:p>
    <w:p>
      <w:pPr>
        <w:keepNext/>
        <w:spacing w:before="120" w:after="40"/>
        <w:jc w:val="center"/>
      </w:pPr>
      <w:r>
        <w:drawing>
          <wp:inline xmlns:a="http://schemas.openxmlformats.org/drawingml/2006/main" xmlns:pic="http://schemas.openxmlformats.org/drawingml/2006/picture">
            <wp:extent cx="5852160" cy="2913288"/>
            <wp:docPr id="5" name="Picture 5"/>
            <wp:cNvGraphicFramePr>
              <a:graphicFrameLocks noChangeAspect="1"/>
            </wp:cNvGraphicFramePr>
            <a:graphic>
              <a:graphicData uri="http://schemas.openxmlformats.org/drawingml/2006/picture">
                <pic:pic>
                  <pic:nvPicPr>
                    <pic:cNvPr id="0" name="fig5_parity_residual.png"/>
                    <pic:cNvPicPr/>
                  </pic:nvPicPr>
                  <pic:blipFill>
                    <a:blip r:embed="rId15"/>
                    <a:stretch>
                      <a:fillRect/>
                    </a:stretch>
                  </pic:blipFill>
                  <pic:spPr>
                    <a:xfrm>
                      <a:off x="0" y="0"/>
                      <a:ext cx="5852160" cy="2913288"/>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5  (a) 最优模型的留一法交叉验证预测值与参考值对比; (b) 残差分布与正态拟合</w:t>
      </w:r>
    </w:p>
    <w:tbl>
      <w:tblPr>
        <w:tblStyle w:val="TableGrid"/>
        <w:tblW w:type="dxa" w:w="9360"/>
        <w:jc w:val="left"/>
        <w:tblLayout w:type="fixed"/>
        <w:tblLook w:firstColumn="1" w:firstRow="1" w:lastColumn="0" w:lastRow="0" w:noHBand="0" w:noVBand="1" w:val="04A0"/>
        <w:tblInd w:type="dxa" w:w="120"/>
      </w:tblPr>
      <w:tblGrid>
        <w:gridCol w:w="4176"/>
        <w:gridCol w:w="5184"/>
      </w:tblGrid>
      <w:tr>
        <w:trPr>
          <w:cantSplit/>
          <w:tblHeader/>
        </w:trPr>
        <w:tc>
          <w:tcPr>
            <w:tcW w:type="dxa" w:w="4176"/>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9"/>
              </w:rPr>
              <w:t>误差指标</w:t>
            </w:r>
          </w:p>
        </w:tc>
        <w:tc>
          <w:tcPr>
            <w:tcW w:type="dxa" w:w="518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9"/>
              </w:rPr>
              <w:t>数值</w:t>
            </w:r>
          </w:p>
        </w:tc>
      </w:tr>
      <w:tr>
        <w:trPr>
          <w:cantSplit/>
        </w:trPr>
        <w:tc>
          <w:tcPr>
            <w:tcW w:type="dxa" w:w="4176"/>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留一法决定系数</w:t>
            </w:r>
          </w:p>
        </w:tc>
        <w:tc>
          <w:tcPr>
            <w:tcW w:type="dxa" w:w="518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Q² = 0.779</w:t>
            </w:r>
          </w:p>
        </w:tc>
      </w:tr>
      <w:tr>
        <w:trPr>
          <w:cantSplit/>
        </w:trPr>
        <w:tc>
          <w:tcPr>
            <w:tcW w:type="dxa" w:w="4176"/>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均方根误差</w:t>
            </w:r>
          </w:p>
        </w:tc>
        <w:tc>
          <w:tcPr>
            <w:tcW w:type="dxa" w:w="518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RMSE = 62.0 kJ/mol</w:t>
            </w:r>
          </w:p>
        </w:tc>
      </w:tr>
      <w:tr>
        <w:trPr>
          <w:cantSplit/>
        </w:trPr>
        <w:tc>
          <w:tcPr>
            <w:tcW w:type="dxa" w:w="4176"/>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平均绝对误差</w:t>
            </w:r>
          </w:p>
        </w:tc>
        <w:tc>
          <w:tcPr>
            <w:tcW w:type="dxa" w:w="518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MAE = 37.8 kJ/mol</w:t>
            </w:r>
          </w:p>
        </w:tc>
      </w:tr>
      <w:tr>
        <w:trPr>
          <w:cantSplit/>
        </w:trPr>
        <w:tc>
          <w:tcPr>
            <w:tcW w:type="dxa" w:w="4176"/>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残差均值 ± 标准差</w:t>
            </w:r>
          </w:p>
        </w:tc>
        <w:tc>
          <w:tcPr>
            <w:tcW w:type="dxa" w:w="518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-0.9 ± 62.1 kJ/mol</w:t>
            </w:r>
          </w:p>
        </w:tc>
      </w:tr>
      <w:tr>
        <w:trPr>
          <w:cantSplit/>
        </w:trPr>
        <w:tc>
          <w:tcPr>
            <w:tcW w:type="dxa" w:w="4176"/>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绝对误差 ≤ 25 kJ/mol 的比例</w:t>
            </w:r>
          </w:p>
        </w:tc>
        <w:tc>
          <w:tcPr>
            <w:tcW w:type="dxa" w:w="518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56.3%</w:t>
            </w:r>
          </w:p>
        </w:tc>
      </w:tr>
      <w:tr>
        <w:trPr>
          <w:cantSplit/>
        </w:trPr>
        <w:tc>
          <w:tcPr>
            <w:tcW w:type="dxa" w:w="4176"/>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绝对误差 ≤ 50 kJ/mol 的比例</w:t>
            </w:r>
          </w:p>
        </w:tc>
        <w:tc>
          <w:tcPr>
            <w:tcW w:type="dxa" w:w="518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73.6%</w:t>
            </w:r>
          </w:p>
        </w:tc>
      </w:tr>
      <w:tr>
        <w:trPr>
          <w:cantSplit/>
        </w:trPr>
        <w:tc>
          <w:tcPr>
            <w:tcW w:type="dxa" w:w="4176"/>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9"/>
              </w:rPr>
              <w:t>参考值标准差 (对照)</w:t>
            </w:r>
          </w:p>
        </w:tc>
        <w:tc>
          <w:tcPr>
            <w:tcW w:type="dxa" w:w="518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9"/>
              </w:rPr>
              <w:t>132.1 kJ/mol</w:t>
            </w:r>
          </w:p>
        </w:tc>
      </w:tr>
    </w:tbl>
    <w:p>
      <w:pPr>
        <w:spacing w:before="40" w:after="200" w:line="276" w:lineRule="auto"/>
      </w:pPr>
      <w:r>
        <w:rPr>
          <w:rFonts w:ascii="Calibri" w:hAnsi="Calibri" w:cs="Calibri" w:eastAsia="微软雅黑"/>
          <w:color w:val="5A6672"/>
          <w:sz w:val="17"/>
        </w:rPr>
        <w:t>表 7  极端随机树 (ET) 的 LOO-CV 误差结构。MAE 与参考值标准差之比为 28.636%, 表示平均预测误差约占结合能自然波动的三成。</w:t>
      </w:r>
    </w:p>
    <w:p>
      <w:pPr>
        <w:overflowPunct w:val="0"/>
        <w:spacing w:before="0" w:after="120" w:line="300" w:lineRule="auto"/>
        <w:jc w:val="left"/>
      </w:pPr>
      <w:r>
        <w:rPr>
          <w:rFonts w:ascii="Calibri" w:hAnsi="Calibri" w:cs="Calibri" w:eastAsia="微软雅黑"/>
          <w:color w:val="1F2933"/>
          <w:sz w:val="21"/>
        </w:rPr>
        <w:t>图 5a 显示预测点沿对角线分布, 但在强结合区 (ΔE &lt; -600 kJ/mol) 与弱结合区 (ΔE &gt; -150 kJ/mol) 均出现一定程度的“收缩”现象: 模型对极端值的预测向均值回归, 这是树模型分段常数预测机制的固有特征, 也是 RMSE (62.0 kJ/mol) 明显高于 MAE (37.8 kJ/mol) 的原因——少数强结合分子的误差主导了平方误差。残差近似服从均值为 -0.9 kJ/mol 的对称分布, 表明模型不存在系统性的高估或低估。</w:t>
      </w:r>
    </w:p>
    <w:p>
      <w:pPr>
        <w:pStyle w:val="Heading2"/>
      </w:pPr>
      <w:r>
        <w:rPr>
          <w:rFonts w:ascii="Calibri" w:hAnsi="Calibri" w:cs="Calibri" w:eastAsia="微软雅黑"/>
          <w:b/>
          <w:color w:val="2E74B5"/>
          <w:sz w:val="25"/>
        </w:rPr>
        <w:t>4.5  关键描述符与结合能的定量关系</w:t>
      </w:r>
    </w:p>
    <w:tbl>
      <w:tblPr>
        <w:tblStyle w:val="TableGrid"/>
        <w:tblW w:type="dxa" w:w="9360"/>
        <w:jc w:val="left"/>
        <w:tblLayout w:type="fixed"/>
        <w:tblLook w:firstColumn="1" w:firstRow="1" w:lastColumn="0" w:lastRow="0" w:noHBand="0" w:noVBand="1" w:val="04A0"/>
        <w:tblInd w:type="dxa" w:w="120"/>
      </w:tblPr>
      <w:tblGrid>
        <w:gridCol w:w="1607"/>
        <w:gridCol w:w="1607"/>
        <w:gridCol w:w="1607"/>
        <w:gridCol w:w="1467"/>
        <w:gridCol w:w="1746"/>
        <w:gridCol w:w="1326"/>
      </w:tblGrid>
      <w:tr>
        <w:trPr>
          <w:cantSplit/>
          <w:tblHeader/>
        </w:trPr>
        <w:tc>
          <w:tcPr>
            <w:tcW w:type="dxa" w:w="1607"/>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描述符</w:t>
            </w:r>
          </w:p>
        </w:tc>
        <w:tc>
          <w:tcPr>
            <w:tcW w:type="dxa" w:w="1607"/>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Pearson r</w:t>
            </w:r>
          </w:p>
        </w:tc>
        <w:tc>
          <w:tcPr>
            <w:tcW w:type="dxa" w:w="1607"/>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Spearman ρ</w:t>
            </w:r>
          </w:p>
        </w:tc>
        <w:tc>
          <w:tcPr>
            <w:tcW w:type="dxa" w:w="1467"/>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线性 R²</w:t>
            </w:r>
          </w:p>
        </w:tc>
        <w:tc>
          <w:tcPr>
            <w:tcW w:type="dxa" w:w="1746"/>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二次拟合 R²</w:t>
            </w:r>
          </w:p>
        </w:tc>
        <w:tc>
          <w:tcPr>
            <w:tcW w:type="dxa" w:w="1326"/>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相关方向</w:t>
            </w:r>
          </w:p>
        </w:tc>
      </w:tr>
      <w:tr>
        <w:trPr>
          <w:cantSplit/>
        </w:trPr>
        <w:tc>
          <w:tcPr>
            <w:tcW w:type="dxa" w:w="1607"/>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logP</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+0.522</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+0.401</w:t>
            </w:r>
          </w:p>
        </w:tc>
        <w:tc>
          <w:tcPr>
            <w:tcW w:type="dxa" w:w="146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0.273</w:t>
            </w:r>
          </w:p>
        </w:tc>
        <w:tc>
          <w:tcPr>
            <w:tcW w:type="dxa" w:w="174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0.302</w:t>
            </w:r>
          </w:p>
        </w:tc>
        <w:tc>
          <w:tcPr>
            <w:tcW w:type="dxa" w:w="13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正</w:t>
            </w:r>
          </w:p>
        </w:tc>
      </w:tr>
      <w:tr>
        <w:trPr>
          <w:cantSplit/>
        </w:trPr>
        <w:tc>
          <w:tcPr>
            <w:tcW w:type="dxa" w:w="160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TPSA</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-0.509</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-0.420</w:t>
            </w:r>
          </w:p>
        </w:tc>
        <w:tc>
          <w:tcPr>
            <w:tcW w:type="dxa" w:w="146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0.259</w:t>
            </w:r>
          </w:p>
        </w:tc>
        <w:tc>
          <w:tcPr>
            <w:tcW w:type="dxa" w:w="174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0.266</w:t>
            </w:r>
          </w:p>
        </w:tc>
        <w:tc>
          <w:tcPr>
            <w:tcW w:type="dxa" w:w="13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负</w:t>
            </w:r>
          </w:p>
        </w:tc>
      </w:tr>
      <w:tr>
        <w:trPr>
          <w:cantSplit/>
        </w:trPr>
        <w:tc>
          <w:tcPr>
            <w:tcW w:type="dxa" w:w="1607"/>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HBA</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-0.499</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-0.441</w:t>
            </w:r>
          </w:p>
        </w:tc>
        <w:tc>
          <w:tcPr>
            <w:tcW w:type="dxa" w:w="146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0.249</w:t>
            </w:r>
          </w:p>
        </w:tc>
        <w:tc>
          <w:tcPr>
            <w:tcW w:type="dxa" w:w="174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0.250</w:t>
            </w:r>
          </w:p>
        </w:tc>
        <w:tc>
          <w:tcPr>
            <w:tcW w:type="dxa" w:w="13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负</w:t>
            </w:r>
          </w:p>
        </w:tc>
      </w:tr>
      <w:tr>
        <w:trPr>
          <w:cantSplit/>
        </w:trPr>
        <w:tc>
          <w:tcPr>
            <w:tcW w:type="dxa" w:w="160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mu</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-0.481</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-0.430</w:t>
            </w:r>
          </w:p>
        </w:tc>
        <w:tc>
          <w:tcPr>
            <w:tcW w:type="dxa" w:w="146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0.231</w:t>
            </w:r>
          </w:p>
        </w:tc>
        <w:tc>
          <w:tcPr>
            <w:tcW w:type="dxa" w:w="174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0.306</w:t>
            </w:r>
          </w:p>
        </w:tc>
        <w:tc>
          <w:tcPr>
            <w:tcW w:type="dxa" w:w="13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负</w:t>
            </w:r>
          </w:p>
        </w:tc>
      </w:tr>
      <w:tr>
        <w:trPr>
          <w:cantSplit/>
        </w:trPr>
        <w:tc>
          <w:tcPr>
            <w:tcW w:type="dxa" w:w="1607"/>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HBD</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-0.409</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-0.260</w:t>
            </w:r>
          </w:p>
        </w:tc>
        <w:tc>
          <w:tcPr>
            <w:tcW w:type="dxa" w:w="146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0.167</w:t>
            </w:r>
          </w:p>
        </w:tc>
        <w:tc>
          <w:tcPr>
            <w:tcW w:type="dxa" w:w="174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0.239</w:t>
            </w:r>
          </w:p>
        </w:tc>
        <w:tc>
          <w:tcPr>
            <w:tcW w:type="dxa" w:w="13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负</w:t>
            </w:r>
          </w:p>
        </w:tc>
      </w:tr>
      <w:tr>
        <w:trPr>
          <w:cantSplit/>
        </w:trPr>
        <w:tc>
          <w:tcPr>
            <w:tcW w:type="dxa" w:w="160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N_het</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-0.355</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-0.350</w:t>
            </w:r>
          </w:p>
        </w:tc>
        <w:tc>
          <w:tcPr>
            <w:tcW w:type="dxa" w:w="146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0.126</w:t>
            </w:r>
          </w:p>
        </w:tc>
        <w:tc>
          <w:tcPr>
            <w:tcW w:type="dxa" w:w="174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0.129</w:t>
            </w:r>
          </w:p>
        </w:tc>
        <w:tc>
          <w:tcPr>
            <w:tcW w:type="dxa" w:w="13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负</w:t>
            </w:r>
          </w:p>
        </w:tc>
      </w:tr>
      <w:tr>
        <w:trPr>
          <w:cantSplit/>
        </w:trPr>
        <w:tc>
          <w:tcPr>
            <w:tcW w:type="dxa" w:w="1607"/>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N_arom</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+0.287</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+0.267</w:t>
            </w:r>
          </w:p>
        </w:tc>
        <w:tc>
          <w:tcPr>
            <w:tcW w:type="dxa" w:w="146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0.082</w:t>
            </w:r>
          </w:p>
        </w:tc>
        <w:tc>
          <w:tcPr>
            <w:tcW w:type="dxa" w:w="174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0.087</w:t>
            </w:r>
          </w:p>
        </w:tc>
        <w:tc>
          <w:tcPr>
            <w:tcW w:type="dxa" w:w="13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正</w:t>
            </w:r>
          </w:p>
        </w:tc>
      </w:tr>
      <w:tr>
        <w:trPr>
          <w:cantSplit/>
        </w:trPr>
        <w:tc>
          <w:tcPr>
            <w:tcW w:type="dxa" w:w="160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|HOMO|</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+0.168</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+0.104</w:t>
            </w:r>
          </w:p>
        </w:tc>
        <w:tc>
          <w:tcPr>
            <w:tcW w:type="dxa" w:w="146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0.028</w:t>
            </w:r>
          </w:p>
        </w:tc>
        <w:tc>
          <w:tcPr>
            <w:tcW w:type="dxa" w:w="174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0.045</w:t>
            </w:r>
          </w:p>
        </w:tc>
        <w:tc>
          <w:tcPr>
            <w:tcW w:type="dxa" w:w="13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正</w:t>
            </w:r>
          </w:p>
        </w:tc>
      </w:tr>
      <w:tr>
        <w:trPr>
          <w:cantSplit/>
        </w:trPr>
        <w:tc>
          <w:tcPr>
            <w:tcW w:type="dxa" w:w="1607"/>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gap</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+0.165</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+0.291</w:t>
            </w:r>
          </w:p>
        </w:tc>
        <w:tc>
          <w:tcPr>
            <w:tcW w:type="dxa" w:w="146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0.027</w:t>
            </w:r>
          </w:p>
        </w:tc>
        <w:tc>
          <w:tcPr>
            <w:tcW w:type="dxa" w:w="174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0.081</w:t>
            </w:r>
          </w:p>
        </w:tc>
        <w:tc>
          <w:tcPr>
            <w:tcW w:type="dxa" w:w="13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正</w:t>
            </w:r>
          </w:p>
        </w:tc>
      </w:tr>
      <w:tr>
        <w:trPr>
          <w:cantSplit/>
        </w:trPr>
        <w:tc>
          <w:tcPr>
            <w:tcW w:type="dxa" w:w="160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HOMO</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-0.152</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-0.104</w:t>
            </w:r>
          </w:p>
        </w:tc>
        <w:tc>
          <w:tcPr>
            <w:tcW w:type="dxa" w:w="146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0.023</w:t>
            </w:r>
          </w:p>
        </w:tc>
        <w:tc>
          <w:tcPr>
            <w:tcW w:type="dxa" w:w="174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0.044</w:t>
            </w:r>
          </w:p>
        </w:tc>
        <w:tc>
          <w:tcPr>
            <w:tcW w:type="dxa" w:w="13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负</w:t>
            </w:r>
          </w:p>
        </w:tc>
      </w:tr>
      <w:tr>
        <w:trPr>
          <w:cantSplit/>
        </w:trPr>
        <w:tc>
          <w:tcPr>
            <w:tcW w:type="dxa" w:w="1607"/>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alpha</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+0.150</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+0.123</w:t>
            </w:r>
          </w:p>
        </w:tc>
        <w:tc>
          <w:tcPr>
            <w:tcW w:type="dxa" w:w="146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0.023</w:t>
            </w:r>
          </w:p>
        </w:tc>
        <w:tc>
          <w:tcPr>
            <w:tcW w:type="dxa" w:w="174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0.024</w:t>
            </w:r>
          </w:p>
        </w:tc>
        <w:tc>
          <w:tcPr>
            <w:tcW w:type="dxa" w:w="13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正</w:t>
            </w:r>
          </w:p>
        </w:tc>
      </w:tr>
      <w:tr>
        <w:trPr>
          <w:cantSplit/>
        </w:trPr>
        <w:tc>
          <w:tcPr>
            <w:tcW w:type="dxa" w:w="160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|LUMO|</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-0.146</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-0.243</w:t>
            </w:r>
          </w:p>
        </w:tc>
        <w:tc>
          <w:tcPr>
            <w:tcW w:type="dxa" w:w="146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0.021</w:t>
            </w:r>
          </w:p>
        </w:tc>
        <w:tc>
          <w:tcPr>
            <w:tcW w:type="dxa" w:w="174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0.043</w:t>
            </w:r>
          </w:p>
        </w:tc>
        <w:tc>
          <w:tcPr>
            <w:tcW w:type="dxa" w:w="13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负</w:t>
            </w:r>
          </w:p>
        </w:tc>
      </w:tr>
      <w:tr>
        <w:trPr>
          <w:cantSplit/>
        </w:trPr>
        <w:tc>
          <w:tcPr>
            <w:tcW w:type="dxa" w:w="1607"/>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LUMO</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+0.140</w:t>
            </w:r>
          </w:p>
        </w:tc>
        <w:tc>
          <w:tcPr>
            <w:tcW w:type="dxa" w:w="160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+0.243</w:t>
            </w:r>
          </w:p>
        </w:tc>
        <w:tc>
          <w:tcPr>
            <w:tcW w:type="dxa" w:w="1467"/>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0.020</w:t>
            </w:r>
          </w:p>
        </w:tc>
        <w:tc>
          <w:tcPr>
            <w:tcW w:type="dxa" w:w="174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0.041</w:t>
            </w:r>
          </w:p>
        </w:tc>
        <w:tc>
          <w:tcPr>
            <w:tcW w:type="dxa" w:w="132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正</w:t>
            </w:r>
          </w:p>
        </w:tc>
      </w:tr>
      <w:tr>
        <w:trPr>
          <w:cantSplit/>
        </w:trPr>
        <w:tc>
          <w:tcPr>
            <w:tcW w:type="dxa" w:w="160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7"/>
              </w:rPr>
              <w:t>MW</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-0.042</w:t>
            </w:r>
          </w:p>
        </w:tc>
        <w:tc>
          <w:tcPr>
            <w:tcW w:type="dxa" w:w="160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-0.039</w:t>
            </w:r>
          </w:p>
        </w:tc>
        <w:tc>
          <w:tcPr>
            <w:tcW w:type="dxa" w:w="1467"/>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0.002</w:t>
            </w:r>
          </w:p>
        </w:tc>
        <w:tc>
          <w:tcPr>
            <w:tcW w:type="dxa" w:w="174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0.022</w:t>
            </w:r>
          </w:p>
        </w:tc>
        <w:tc>
          <w:tcPr>
            <w:tcW w:type="dxa" w:w="132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7"/>
              </w:rPr>
              <w:t>负</w:t>
            </w:r>
          </w:p>
        </w:tc>
      </w:tr>
    </w:tbl>
    <w:p>
      <w:pPr>
        <w:spacing w:before="40" w:after="200" w:line="276" w:lineRule="auto"/>
      </w:pPr>
      <w:r>
        <w:rPr>
          <w:rFonts w:ascii="Calibri" w:hAnsi="Calibri" w:cs="Calibri" w:eastAsia="微软雅黑"/>
          <w:color w:val="5A6672"/>
          <w:sz w:val="17"/>
        </w:rPr>
        <w:t>表 8  各描述符与结合能的单变量定量关系 (n = 394)。二次拟合 R² 为以该描述符为唯一自变量的二次多项式拟合决定系数, 用于判断单变量解释能力的上限。</w:t>
      </w:r>
    </w:p>
    <w:p>
      <w:pPr>
        <w:keepNext/>
        <w:spacing w:before="120" w:after="40"/>
        <w:jc w:val="center"/>
      </w:pPr>
      <w:r>
        <w:drawing>
          <wp:inline xmlns:a="http://schemas.openxmlformats.org/drawingml/2006/main" xmlns:pic="http://schemas.openxmlformats.org/drawingml/2006/picture">
            <wp:extent cx="5852160" cy="3731992"/>
            <wp:docPr id="6" name="Picture 6"/>
            <wp:cNvGraphicFramePr>
              <a:graphicFrameLocks noChangeAspect="1"/>
            </wp:cNvGraphicFramePr>
            <a:graphic>
              <a:graphicData uri="http://schemas.openxmlformats.org/drawingml/2006/picture">
                <pic:pic>
                  <pic:nvPicPr>
                    <pic:cNvPr id="0" name="fig6_descriptor_fit.png"/>
                    <pic:cNvPicPr/>
                  </pic:nvPicPr>
                  <pic:blipFill>
                    <a:blip r:embed="rId16"/>
                    <a:stretch>
                      <a:fillRect/>
                    </a:stretch>
                  </pic:blipFill>
                  <pic:spPr>
                    <a:xfrm>
                      <a:off x="0" y="0"/>
                      <a:ext cx="5852160" cy="3731992"/>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6  关键描述符与结合能的关系: logP、HBA、TPSA、HBD、HOMO、LUMO (散点为 394 个分子, 红线为二次拟合, 灰虚线为线性拟合)</w:t>
      </w:r>
    </w:p>
    <w:p>
      <w:pPr>
        <w:overflowPunct w:val="0"/>
        <w:spacing w:before="0" w:after="120" w:line="300" w:lineRule="auto"/>
        <w:jc w:val="left"/>
      </w:pPr>
      <w:r>
        <w:rPr>
          <w:rFonts w:ascii="Calibri" w:hAnsi="Calibri" w:cs="Calibri" w:eastAsia="微软雅黑"/>
          <w:color w:val="1F2933"/>
          <w:sz w:val="21"/>
        </w:rPr>
        <w:t>单变量分析给出的解释能力排序为 logP (|r| = 0.522) &gt; TPSA &gt; HBA &gt; mu &gt; HBD &gt; N_het。其中与界面性质直接相关的三个描述符表现最为突出: 油水分配系数 logP 与结合能呈正相关 (r = +0.522, 二次拟合 R² = 0.302), 说明分子越疏水、越倾向于留在油相/界面而非进入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内配位层, 结合越弱; 氢键受体数 HBA (r = -0.499) 与拓扑极性表面积 TPSA (r = -0.509) 与结合能呈负相关, 即极性配位基团越多、暴露面积越大, 结合越强。偶极矩 mu 的单变量线性解释力中等 (r = -0.481), 但二次项贡献显著 (线性 R² = 0.231 → 二次 R² = 0.306), 暗示其与结合能之间存在极值型关系。</w:t>
      </w:r>
    </w:p>
    <w:p>
      <w:pPr>
        <w:overflowPunct w:val="0"/>
        <w:spacing w:before="0" w:after="120" w:line="300" w:lineRule="auto"/>
        <w:jc w:val="left"/>
      </w:pPr>
      <w:r>
        <w:rPr>
          <w:rFonts w:ascii="Calibri" w:hAnsi="Calibri" w:cs="Calibri" w:eastAsia="微软雅黑"/>
          <w:color w:val="1F2933"/>
          <w:sz w:val="21"/>
        </w:rPr>
        <w:t>前沿轨道描述符的表现明显偏弱: HOMO 与结合能的相关系数仅 -0.152 (二次拟合 R² = 0.044), LUMO 为 +0.140 (二次拟合 R² = 0.041), 两者单独都解释不了 5% 的结合能方差。这一结果与参考工作中“HOMO 能级是添加剂性能主导描述符”的结论并不矛盾: 参考工作研究的是 HOMO 与锌沉积/吸附电化学性能之间的关系, 而本数据集的目标量是气相 1:1 的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结合能, 由配位基团的数目与硬度决定, 因此极性/氢键类描述符占优、轨道能级贡献有限。需要特别说明, 在含 N/O 配位基团的样本中 HOMO 与 HBA / TPSA 之间的相关性并不强 (|r| &lt; 0.3), 因此轨道能级携带的是独立但较弱的信息, 而非被完全替代。</w:t>
      </w:r>
    </w:p>
    <w:p>
      <w:pPr>
        <w:overflowPunct w:val="0"/>
        <w:spacing w:before="0" w:after="120" w:line="300" w:lineRule="auto"/>
        <w:jc w:val="left"/>
      </w:pPr>
      <w:r>
        <w:rPr>
          <w:rFonts w:ascii="Calibri" w:hAnsi="Calibri" w:cs="Calibri" w:eastAsia="微软雅黑"/>
          <w:color w:val="1F2933"/>
          <w:sz w:val="21"/>
        </w:rPr>
        <w:t>把六个关键描述符放在一起看 (图 6), 结合能的整体图像是: 疏水性与配位基团数量共同决定结合强度, 且以非线性方式叠加——单个描述符的二次拟合 R² 最高只有 0.306, 而 14 个描述符的非线性集成模型达到 0.779 (LOO Q²), 说明绝大部分解释能力来自描述符之间的交互作用 (例如“同一个羰基在不同疏水骨架上的结合强度并不相同”), 这也正是树集成模型显著优于线性与核方法的原因。</w:t>
      </w:r>
    </w:p>
    <w:p>
      <w:pPr>
        <w:pStyle w:val="Heading2"/>
      </w:pPr>
      <w:r>
        <w:rPr>
          <w:rFonts w:ascii="Calibri" w:hAnsi="Calibri" w:cs="Calibri" w:eastAsia="微软雅黑"/>
          <w:b/>
          <w:color w:val="2E74B5"/>
          <w:sz w:val="25"/>
        </w:rPr>
        <w:t>4.6  描述符重要性与可解释性</w:t>
      </w:r>
    </w:p>
    <w:p>
      <w:pPr>
        <w:keepNext/>
        <w:spacing w:before="120" w:after="40"/>
        <w:jc w:val="center"/>
      </w:pPr>
      <w:r>
        <w:drawing>
          <wp:inline xmlns:a="http://schemas.openxmlformats.org/drawingml/2006/main" xmlns:pic="http://schemas.openxmlformats.org/drawingml/2006/picture">
            <wp:extent cx="5852160" cy="3006501"/>
            <wp:docPr id="7" name="Picture 7"/>
            <wp:cNvGraphicFramePr>
              <a:graphicFrameLocks noChangeAspect="1"/>
            </wp:cNvGraphicFramePr>
            <a:graphic>
              <a:graphicData uri="http://schemas.openxmlformats.org/drawingml/2006/picture">
                <pic:pic>
                  <pic:nvPicPr>
                    <pic:cNvPr id="0" name="fig7_importance.png"/>
                    <pic:cNvPicPr/>
                  </pic:nvPicPr>
                  <pic:blipFill>
                    <a:blip r:embed="rId17"/>
                    <a:stretch>
                      <a:fillRect/>
                    </a:stretch>
                  </pic:blipFill>
                  <pic:spPr>
                    <a:xfrm>
                      <a:off x="0" y="0"/>
                      <a:ext cx="5852160" cy="3006501"/>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7  (a) 最优模型的置换重要性; (b) 随机森林内置重要性 (500 棵树)</w:t>
      </w:r>
    </w:p>
    <w:tbl>
      <w:tblPr>
        <w:tblStyle w:val="TableGrid"/>
        <w:tblW w:type="dxa" w:w="9360"/>
        <w:jc w:val="left"/>
        <w:tblLayout w:type="fixed"/>
        <w:tblLook w:firstColumn="1" w:firstRow="1" w:lastColumn="0" w:lastRow="0" w:noHBand="0" w:noVBand="1" w:val="04A0"/>
        <w:tblInd w:type="dxa" w:w="120"/>
      </w:tblPr>
      <w:tblGrid>
        <w:gridCol w:w="720"/>
        <w:gridCol w:w="2736"/>
        <w:gridCol w:w="2304"/>
        <w:gridCol w:w="1584"/>
        <w:gridCol w:w="2016"/>
      </w:tblGrid>
      <w:tr>
        <w:trPr>
          <w:cantSplit/>
          <w:tblHeader/>
        </w:trPr>
        <w:tc>
          <w:tcPr>
            <w:tcW w:type="dxa" w:w="720"/>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排名</w:t>
            </w:r>
          </w:p>
        </w:tc>
        <w:tc>
          <w:tcPr>
            <w:tcW w:type="dxa" w:w="2736"/>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描述符</w:t>
            </w:r>
          </w:p>
        </w:tc>
        <w:tc>
          <w:tcPr>
            <w:tcW w:type="dxa" w:w="230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置换重要性 (ΔR²)</w:t>
            </w:r>
          </w:p>
        </w:tc>
        <w:tc>
          <w:tcPr>
            <w:tcW w:type="dxa" w:w="158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标准差</w:t>
            </w:r>
          </w:p>
        </w:tc>
        <w:tc>
          <w:tcPr>
            <w:tcW w:type="dxa" w:w="2016"/>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8"/>
              </w:rPr>
              <w:t>随机森林重要性</w:t>
            </w:r>
          </w:p>
        </w:tc>
      </w:tr>
      <w:tr>
        <w:trPr>
          <w:cantSplit/>
        </w:trPr>
        <w:tc>
          <w:tcPr>
            <w:tcW w:type="dxa" w:w="720"/>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1</w:t>
            </w:r>
          </w:p>
        </w:tc>
        <w:tc>
          <w:tcPr>
            <w:tcW w:type="dxa" w:w="273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HBA</w:t>
            </w:r>
          </w:p>
        </w:tc>
        <w:tc>
          <w:tcPr>
            <w:tcW w:type="dxa" w:w="230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0.1148</w:t>
            </w:r>
          </w:p>
        </w:tc>
        <w:tc>
          <w:tcPr>
            <w:tcW w:type="dxa" w:w="158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±0.0579</w:t>
            </w:r>
          </w:p>
        </w:tc>
        <w:tc>
          <w:tcPr>
            <w:tcW w:type="dxa" w:w="201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w:t>
            </w:r>
          </w:p>
        </w:tc>
      </w:tr>
      <w:tr>
        <w:trPr>
          <w:cantSplit/>
        </w:trPr>
        <w:tc>
          <w:tcPr>
            <w:tcW w:type="dxa" w:w="7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2</w:t>
            </w:r>
          </w:p>
        </w:tc>
        <w:tc>
          <w:tcPr>
            <w:tcW w:type="dxa" w:w="273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HBD</w:t>
            </w:r>
          </w:p>
        </w:tc>
        <w:tc>
          <w:tcPr>
            <w:tcW w:type="dxa" w:w="230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0.0955</w:t>
            </w:r>
          </w:p>
        </w:tc>
        <w:tc>
          <w:tcPr>
            <w:tcW w:type="dxa" w:w="158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±0.0672</w:t>
            </w:r>
          </w:p>
        </w:tc>
        <w:tc>
          <w:tcPr>
            <w:tcW w:type="dxa" w:w="201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w:t>
            </w:r>
          </w:p>
        </w:tc>
      </w:tr>
      <w:tr>
        <w:trPr>
          <w:cantSplit/>
        </w:trPr>
        <w:tc>
          <w:tcPr>
            <w:tcW w:type="dxa" w:w="720"/>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3</w:t>
            </w:r>
          </w:p>
        </w:tc>
        <w:tc>
          <w:tcPr>
            <w:tcW w:type="dxa" w:w="273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TPSA</w:t>
            </w:r>
          </w:p>
        </w:tc>
        <w:tc>
          <w:tcPr>
            <w:tcW w:type="dxa" w:w="230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0.0759</w:t>
            </w:r>
          </w:p>
        </w:tc>
        <w:tc>
          <w:tcPr>
            <w:tcW w:type="dxa" w:w="158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±0.0443</w:t>
            </w:r>
          </w:p>
        </w:tc>
        <w:tc>
          <w:tcPr>
            <w:tcW w:type="dxa" w:w="201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0.1206</w:t>
            </w:r>
          </w:p>
        </w:tc>
      </w:tr>
      <w:tr>
        <w:trPr>
          <w:cantSplit/>
        </w:trPr>
        <w:tc>
          <w:tcPr>
            <w:tcW w:type="dxa" w:w="720"/>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4</w:t>
            </w:r>
          </w:p>
        </w:tc>
        <w:tc>
          <w:tcPr>
            <w:tcW w:type="dxa" w:w="273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mu</w:t>
            </w:r>
          </w:p>
        </w:tc>
        <w:tc>
          <w:tcPr>
            <w:tcW w:type="dxa" w:w="230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0.0725</w:t>
            </w:r>
          </w:p>
        </w:tc>
        <w:tc>
          <w:tcPr>
            <w:tcW w:type="dxa" w:w="1584"/>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±0.0467</w:t>
            </w:r>
          </w:p>
        </w:tc>
        <w:tc>
          <w:tcPr>
            <w:tcW w:type="dxa" w:w="2016"/>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0.1698</w:t>
            </w:r>
          </w:p>
        </w:tc>
      </w:tr>
      <w:tr>
        <w:trPr>
          <w:cantSplit/>
        </w:trPr>
        <w:tc>
          <w:tcPr>
            <w:tcW w:type="dxa" w:w="720"/>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8"/>
              </w:rPr>
              <w:t>5</w:t>
            </w:r>
          </w:p>
        </w:tc>
        <w:tc>
          <w:tcPr>
            <w:tcW w:type="dxa" w:w="273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logP</w:t>
            </w:r>
          </w:p>
        </w:tc>
        <w:tc>
          <w:tcPr>
            <w:tcW w:type="dxa" w:w="230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0.0538</w:t>
            </w:r>
          </w:p>
        </w:tc>
        <w:tc>
          <w:tcPr>
            <w:tcW w:type="dxa" w:w="1584"/>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±0.0597</w:t>
            </w:r>
          </w:p>
        </w:tc>
        <w:tc>
          <w:tcPr>
            <w:tcW w:type="dxa" w:w="2016"/>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8"/>
              </w:rPr>
              <w:t>0.1183</w:t>
            </w:r>
          </w:p>
        </w:tc>
      </w:tr>
    </w:tbl>
    <w:p>
      <w:pPr>
        <w:spacing w:before="40" w:after="200" w:line="276" w:lineRule="auto"/>
      </w:pPr>
      <w:r>
        <w:rPr>
          <w:rFonts w:ascii="Calibri" w:hAnsi="Calibri" w:cs="Calibri" w:eastAsia="微软雅黑"/>
          <w:color w:val="5A6672"/>
          <w:sz w:val="17"/>
        </w:rPr>
        <w:t>表 9  特征重要性排名 (置换重要性为 5 折 × 10 次重复的平均值)。</w:t>
      </w:r>
    </w:p>
    <w:p>
      <w:pPr>
        <w:overflowPunct w:val="0"/>
        <w:spacing w:before="0" w:after="120" w:line="300" w:lineRule="auto"/>
        <w:jc w:val="left"/>
      </w:pPr>
      <w:r>
        <w:rPr>
          <w:rFonts w:ascii="Calibri" w:hAnsi="Calibri" w:cs="Calibri" w:eastAsia="微软雅黑"/>
          <w:color w:val="1F2933"/>
          <w:sz w:val="21"/>
        </w:rPr>
        <w:t>置换重要性把 HBA、HBD、TPSA 与 mu 列为前四位; 随机森林内置重要性同样将 mu、TPSA 与 logP 排在首位, 两种方法的排序仅在前几名之间存在次序差异, 总体高度一致。这些量共同刻画了分子中可参与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配位的极性基团数量与强度 (氢键受体/供体、拓扑极性表面积) 以及电荷分布的不对称程度, 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作为硬路易斯酸的配位化学规律吻合。相比之下, HOMO 及其派生量在两类重要性排序中均处于末位, 说明在以配位作用为主的结合能区间内, 前线轨道能级提供的增量信息有限——这一结论也得到了 2.4 节相关性分析的支撑。</w:t>
      </w:r>
    </w:p>
    <w:p>
      <w:pPr>
        <w:pStyle w:val="Heading2"/>
      </w:pPr>
      <w:r>
        <w:rPr>
          <w:rFonts w:ascii="Calibri" w:hAnsi="Calibri" w:cs="Calibri" w:eastAsia="微软雅黑"/>
          <w:b/>
          <w:color w:val="2E74B5"/>
          <w:sz w:val="25"/>
        </w:rPr>
        <w:t>4.7  基于精确 Shapley 值的贡献分解</w:t>
      </w:r>
    </w:p>
    <w:tbl>
      <w:tblPr>
        <w:tblStyle w:val="TableGrid"/>
        <w:tblW w:type="dxa" w:w="9360"/>
        <w:jc w:val="left"/>
        <w:tblLayout w:type="fixed"/>
        <w:tblLook w:firstColumn="1" w:firstRow="1" w:lastColumn="0" w:lastRow="0" w:noHBand="0" w:noVBand="1" w:val="04A0"/>
        <w:tblInd w:type="dxa" w:w="120"/>
      </w:tblPr>
      <w:tblGrid>
        <w:gridCol w:w="669"/>
        <w:gridCol w:w="1538"/>
        <w:gridCol w:w="2139"/>
        <w:gridCol w:w="2942"/>
        <w:gridCol w:w="2072"/>
      </w:tblGrid>
      <w:tr>
        <w:trPr>
          <w:cantSplit/>
          <w:tblHeader/>
        </w:trPr>
        <w:tc>
          <w:tcPr>
            <w:tcW w:type="dxa" w:w="669"/>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排名</w:t>
            </w:r>
          </w:p>
        </w:tc>
        <w:tc>
          <w:tcPr>
            <w:tcW w:type="dxa" w:w="1538"/>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描述符</w:t>
            </w:r>
          </w:p>
        </w:tc>
        <w:tc>
          <w:tcPr>
            <w:tcW w:type="dxa" w:w="2139"/>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平均 |φ| (kJ/mol)</w:t>
            </w:r>
          </w:p>
        </w:tc>
        <w:tc>
          <w:tcPr>
            <w:tcW w:type="dxa" w:w="2942"/>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边际方向</w:t>
            </w:r>
          </w:p>
        </w:tc>
        <w:tc>
          <w:tcPr>
            <w:tcW w:type="dxa" w:w="2072"/>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置换重要性对照</w:t>
            </w:r>
          </w:p>
        </w:tc>
      </w:tr>
      <w:tr>
        <w:trPr>
          <w:cantSplit/>
        </w:trPr>
        <w:tc>
          <w:tcPr>
            <w:tcW w:type="dxa" w:w="66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1</w:t>
            </w:r>
          </w:p>
        </w:tc>
        <w:tc>
          <w:tcPr>
            <w:tcW w:type="dxa" w:w="153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HBA</w:t>
            </w:r>
          </w:p>
        </w:tc>
        <w:tc>
          <w:tcPr>
            <w:tcW w:type="dxa" w:w="2139"/>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15.90</w:t>
            </w:r>
          </w:p>
        </w:tc>
        <w:tc>
          <w:tcPr>
            <w:tcW w:type="dxa" w:w="294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数值越大结合越强</w:t>
            </w:r>
          </w:p>
        </w:tc>
        <w:tc>
          <w:tcPr>
            <w:tcW w:type="dxa" w:w="207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0.1148</w:t>
            </w:r>
          </w:p>
        </w:tc>
      </w:tr>
      <w:tr>
        <w:trPr>
          <w:cantSplit/>
        </w:trPr>
        <w:tc>
          <w:tcPr>
            <w:tcW w:type="dxa" w:w="66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2</w:t>
            </w:r>
          </w:p>
        </w:tc>
        <w:tc>
          <w:tcPr>
            <w:tcW w:type="dxa" w:w="153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TPSA</w:t>
            </w:r>
          </w:p>
        </w:tc>
        <w:tc>
          <w:tcPr>
            <w:tcW w:type="dxa" w:w="2139"/>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11.55</w:t>
            </w:r>
          </w:p>
        </w:tc>
        <w:tc>
          <w:tcPr>
            <w:tcW w:type="dxa" w:w="294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数值越大结合越强</w:t>
            </w:r>
          </w:p>
        </w:tc>
        <w:tc>
          <w:tcPr>
            <w:tcW w:type="dxa" w:w="207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0.0759</w:t>
            </w:r>
          </w:p>
        </w:tc>
      </w:tr>
      <w:tr>
        <w:trPr>
          <w:cantSplit/>
        </w:trPr>
        <w:tc>
          <w:tcPr>
            <w:tcW w:type="dxa" w:w="66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3</w:t>
            </w:r>
          </w:p>
        </w:tc>
        <w:tc>
          <w:tcPr>
            <w:tcW w:type="dxa" w:w="153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logP</w:t>
            </w:r>
          </w:p>
        </w:tc>
        <w:tc>
          <w:tcPr>
            <w:tcW w:type="dxa" w:w="2139"/>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10.45</w:t>
            </w:r>
          </w:p>
        </w:tc>
        <w:tc>
          <w:tcPr>
            <w:tcW w:type="dxa" w:w="294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数值越大结合越弱</w:t>
            </w:r>
          </w:p>
        </w:tc>
        <w:tc>
          <w:tcPr>
            <w:tcW w:type="dxa" w:w="207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0.0538</w:t>
            </w:r>
          </w:p>
        </w:tc>
      </w:tr>
      <w:tr>
        <w:trPr>
          <w:cantSplit/>
        </w:trPr>
        <w:tc>
          <w:tcPr>
            <w:tcW w:type="dxa" w:w="66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4</w:t>
            </w:r>
          </w:p>
        </w:tc>
        <w:tc>
          <w:tcPr>
            <w:tcW w:type="dxa" w:w="153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N_arom</w:t>
            </w:r>
          </w:p>
        </w:tc>
        <w:tc>
          <w:tcPr>
            <w:tcW w:type="dxa" w:w="2139"/>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9.93</w:t>
            </w:r>
          </w:p>
        </w:tc>
        <w:tc>
          <w:tcPr>
            <w:tcW w:type="dxa" w:w="294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数值越大结合越弱</w:t>
            </w:r>
          </w:p>
        </w:tc>
        <w:tc>
          <w:tcPr>
            <w:tcW w:type="dxa" w:w="207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0.0514</w:t>
            </w:r>
          </w:p>
        </w:tc>
      </w:tr>
      <w:tr>
        <w:trPr>
          <w:cantSplit/>
        </w:trPr>
        <w:tc>
          <w:tcPr>
            <w:tcW w:type="dxa" w:w="66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5</w:t>
            </w:r>
          </w:p>
        </w:tc>
        <w:tc>
          <w:tcPr>
            <w:tcW w:type="dxa" w:w="153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gap</w:t>
            </w:r>
          </w:p>
        </w:tc>
        <w:tc>
          <w:tcPr>
            <w:tcW w:type="dxa" w:w="2139"/>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9.66</w:t>
            </w:r>
          </w:p>
        </w:tc>
        <w:tc>
          <w:tcPr>
            <w:tcW w:type="dxa" w:w="294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数值越大结合越弱</w:t>
            </w:r>
          </w:p>
        </w:tc>
        <w:tc>
          <w:tcPr>
            <w:tcW w:type="dxa" w:w="207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0.0152</w:t>
            </w:r>
          </w:p>
        </w:tc>
      </w:tr>
      <w:tr>
        <w:trPr>
          <w:cantSplit/>
        </w:trPr>
        <w:tc>
          <w:tcPr>
            <w:tcW w:type="dxa" w:w="66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6</w:t>
            </w:r>
          </w:p>
        </w:tc>
        <w:tc>
          <w:tcPr>
            <w:tcW w:type="dxa" w:w="153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HBD</w:t>
            </w:r>
          </w:p>
        </w:tc>
        <w:tc>
          <w:tcPr>
            <w:tcW w:type="dxa" w:w="2139"/>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9.25</w:t>
            </w:r>
          </w:p>
        </w:tc>
        <w:tc>
          <w:tcPr>
            <w:tcW w:type="dxa" w:w="294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数值越大结合越强</w:t>
            </w:r>
          </w:p>
        </w:tc>
        <w:tc>
          <w:tcPr>
            <w:tcW w:type="dxa" w:w="207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0.0955</w:t>
            </w:r>
          </w:p>
        </w:tc>
      </w:tr>
      <w:tr>
        <w:trPr>
          <w:cantSplit/>
        </w:trPr>
        <w:tc>
          <w:tcPr>
            <w:tcW w:type="dxa" w:w="66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7</w:t>
            </w:r>
          </w:p>
        </w:tc>
        <w:tc>
          <w:tcPr>
            <w:tcW w:type="dxa" w:w="153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LUMO</w:t>
            </w:r>
          </w:p>
        </w:tc>
        <w:tc>
          <w:tcPr>
            <w:tcW w:type="dxa" w:w="2139"/>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9.12</w:t>
            </w:r>
          </w:p>
        </w:tc>
        <w:tc>
          <w:tcPr>
            <w:tcW w:type="dxa" w:w="294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数值越大结合越弱</w:t>
            </w:r>
          </w:p>
        </w:tc>
        <w:tc>
          <w:tcPr>
            <w:tcW w:type="dxa" w:w="207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0.0215</w:t>
            </w:r>
          </w:p>
        </w:tc>
      </w:tr>
      <w:tr>
        <w:trPr>
          <w:cantSplit/>
        </w:trPr>
        <w:tc>
          <w:tcPr>
            <w:tcW w:type="dxa" w:w="66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8</w:t>
            </w:r>
          </w:p>
        </w:tc>
        <w:tc>
          <w:tcPr>
            <w:tcW w:type="dxa" w:w="153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mu</w:t>
            </w:r>
          </w:p>
        </w:tc>
        <w:tc>
          <w:tcPr>
            <w:tcW w:type="dxa" w:w="2139"/>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9.11</w:t>
            </w:r>
          </w:p>
        </w:tc>
        <w:tc>
          <w:tcPr>
            <w:tcW w:type="dxa" w:w="294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数值越大结合越强</w:t>
            </w:r>
          </w:p>
        </w:tc>
        <w:tc>
          <w:tcPr>
            <w:tcW w:type="dxa" w:w="207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0.0725</w:t>
            </w:r>
          </w:p>
        </w:tc>
      </w:tr>
      <w:tr>
        <w:trPr>
          <w:cantSplit/>
        </w:trPr>
        <w:tc>
          <w:tcPr>
            <w:tcW w:type="dxa" w:w="66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9</w:t>
            </w:r>
          </w:p>
        </w:tc>
        <w:tc>
          <w:tcPr>
            <w:tcW w:type="dxa" w:w="153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N_het</w:t>
            </w:r>
          </w:p>
        </w:tc>
        <w:tc>
          <w:tcPr>
            <w:tcW w:type="dxa" w:w="2139"/>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8.07</w:t>
            </w:r>
          </w:p>
        </w:tc>
        <w:tc>
          <w:tcPr>
            <w:tcW w:type="dxa" w:w="294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数值越大结合越强</w:t>
            </w:r>
          </w:p>
        </w:tc>
        <w:tc>
          <w:tcPr>
            <w:tcW w:type="dxa" w:w="207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0.0345</w:t>
            </w:r>
          </w:p>
        </w:tc>
      </w:tr>
      <w:tr>
        <w:trPr>
          <w:cantSplit/>
        </w:trPr>
        <w:tc>
          <w:tcPr>
            <w:tcW w:type="dxa" w:w="66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10</w:t>
            </w:r>
          </w:p>
        </w:tc>
        <w:tc>
          <w:tcPr>
            <w:tcW w:type="dxa" w:w="153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|LUMO|</w:t>
            </w:r>
          </w:p>
        </w:tc>
        <w:tc>
          <w:tcPr>
            <w:tcW w:type="dxa" w:w="2139"/>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7.99</w:t>
            </w:r>
          </w:p>
        </w:tc>
        <w:tc>
          <w:tcPr>
            <w:tcW w:type="dxa" w:w="294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数值越大结合越强</w:t>
            </w:r>
          </w:p>
        </w:tc>
        <w:tc>
          <w:tcPr>
            <w:tcW w:type="dxa" w:w="207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0.0271</w:t>
            </w:r>
          </w:p>
        </w:tc>
      </w:tr>
      <w:tr>
        <w:trPr>
          <w:cantSplit/>
        </w:trPr>
        <w:tc>
          <w:tcPr>
            <w:tcW w:type="dxa" w:w="66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11</w:t>
            </w:r>
          </w:p>
        </w:tc>
        <w:tc>
          <w:tcPr>
            <w:tcW w:type="dxa" w:w="153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|HOMO|</w:t>
            </w:r>
          </w:p>
        </w:tc>
        <w:tc>
          <w:tcPr>
            <w:tcW w:type="dxa" w:w="2139"/>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5.74</w:t>
            </w:r>
          </w:p>
        </w:tc>
        <w:tc>
          <w:tcPr>
            <w:tcW w:type="dxa" w:w="294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数值越大结合越弱</w:t>
            </w:r>
          </w:p>
        </w:tc>
        <w:tc>
          <w:tcPr>
            <w:tcW w:type="dxa" w:w="207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0.0086</w:t>
            </w:r>
          </w:p>
        </w:tc>
      </w:tr>
      <w:tr>
        <w:trPr>
          <w:cantSplit/>
        </w:trPr>
        <w:tc>
          <w:tcPr>
            <w:tcW w:type="dxa" w:w="66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12</w:t>
            </w:r>
          </w:p>
        </w:tc>
        <w:tc>
          <w:tcPr>
            <w:tcW w:type="dxa" w:w="153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HOMO</w:t>
            </w:r>
          </w:p>
        </w:tc>
        <w:tc>
          <w:tcPr>
            <w:tcW w:type="dxa" w:w="2139"/>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5.61</w:t>
            </w:r>
          </w:p>
        </w:tc>
        <w:tc>
          <w:tcPr>
            <w:tcW w:type="dxa" w:w="294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数值越大结合越强</w:t>
            </w:r>
          </w:p>
        </w:tc>
        <w:tc>
          <w:tcPr>
            <w:tcW w:type="dxa" w:w="207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0.0087</w:t>
            </w:r>
          </w:p>
        </w:tc>
      </w:tr>
      <w:tr>
        <w:trPr>
          <w:cantSplit/>
        </w:trPr>
        <w:tc>
          <w:tcPr>
            <w:tcW w:type="dxa" w:w="66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13</w:t>
            </w:r>
          </w:p>
        </w:tc>
        <w:tc>
          <w:tcPr>
            <w:tcW w:type="dxa" w:w="1538"/>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alpha</w:t>
            </w:r>
          </w:p>
        </w:tc>
        <w:tc>
          <w:tcPr>
            <w:tcW w:type="dxa" w:w="2139"/>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5.39</w:t>
            </w:r>
          </w:p>
        </w:tc>
        <w:tc>
          <w:tcPr>
            <w:tcW w:type="dxa" w:w="294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数值越大结合越强</w:t>
            </w:r>
          </w:p>
        </w:tc>
        <w:tc>
          <w:tcPr>
            <w:tcW w:type="dxa" w:w="2072"/>
            <w:vAlign w:val="center"/>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0.0181</w:t>
            </w:r>
          </w:p>
        </w:tc>
      </w:tr>
      <w:tr>
        <w:trPr>
          <w:cantSplit/>
        </w:trPr>
        <w:tc>
          <w:tcPr>
            <w:tcW w:type="dxa" w:w="66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14</w:t>
            </w:r>
          </w:p>
        </w:tc>
        <w:tc>
          <w:tcPr>
            <w:tcW w:type="dxa" w:w="1538"/>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MW</w:t>
            </w:r>
          </w:p>
        </w:tc>
        <w:tc>
          <w:tcPr>
            <w:tcW w:type="dxa" w:w="2139"/>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4.81</w:t>
            </w:r>
          </w:p>
        </w:tc>
        <w:tc>
          <w:tcPr>
            <w:tcW w:type="dxa" w:w="294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数值越大结合越弱</w:t>
            </w:r>
          </w:p>
        </w:tc>
        <w:tc>
          <w:tcPr>
            <w:tcW w:type="dxa" w:w="2072"/>
            <w:vAlign w:val="center"/>
            <w:shd w:val="clear" w:color="auto" w:fill="F5F8FB"/>
            <w:tcMar>
              <w:top w:w="80" w:type="dxa"/>
              <w:bottom w:w="80" w:type="dxa"/>
              <w:start w:w="120" w:type="dxa"/>
              <w:end w:w="120" w:type="dxa"/>
            </w:tcMar>
          </w:tcPr>
          <w:p>
            <w:pPr>
              <w:spacing w:before="40" w:after="40" w:line="264" w:lineRule="auto"/>
              <w:jc w:val="center"/>
            </w:pPr>
            <w:r/>
            <w:r>
              <w:rPr>
                <w:rFonts w:ascii="Calibri" w:hAnsi="Calibri" w:cs="Calibri" w:eastAsia="微软雅黑"/>
                <w:b w:val="0"/>
                <w:color w:val="1F2933"/>
                <w:sz w:val="16"/>
              </w:rPr>
              <w:t>0.0135</w:t>
            </w:r>
          </w:p>
        </w:tc>
      </w:tr>
    </w:tbl>
    <w:p>
      <w:pPr>
        <w:spacing w:before="40" w:after="200" w:line="276" w:lineRule="auto"/>
      </w:pPr>
      <w:r>
        <w:rPr>
          <w:rFonts w:ascii="Calibri" w:hAnsi="Calibri" w:cs="Calibri" w:eastAsia="微软雅黑"/>
          <w:color w:val="5A6672"/>
          <w:sz w:val="17"/>
        </w:rPr>
        <w:t>表 10  精确 Shapley 值 (KernelSHAP, 2</w:t>
      </w:r>
      <w:r>
        <w:rPr>
          <w:rFonts w:ascii="Calibri" w:hAnsi="Calibri" w:cs="Calibri" w:eastAsia="微软雅黑"/>
          <w:color w:val="5A6672"/>
          <w:sz w:val="17"/>
          <w:vertAlign w:val="superscript"/>
        </w:rPr>
        <w:t>14</w:t>
      </w:r>
      <w:r>
        <w:rPr>
          <w:rFonts w:ascii="Calibri" w:hAnsi="Calibri" w:cs="Calibri" w:eastAsia="微软雅黑"/>
          <w:color w:val="5A6672"/>
          <w:sz w:val="17"/>
        </w:rPr>
        <w:t xml:space="preserve"> 子集完全枚举) 的全局贡献排序, 并与 4.6 节置换重要性并列对照; 加性校验误差 &lt; 1e-12 kJ/mol。“边际方向”由 φ 与该特征取值的相关系数符号给出, 表示特征值增大时预测值的变化方向, 对非单调关系 (如 mu) 可能与表 8 的线性相关方向不同。</w:t>
      </w:r>
    </w:p>
    <w:p>
      <w:pPr>
        <w:keepNext/>
        <w:spacing w:before="120" w:after="40"/>
        <w:jc w:val="center"/>
      </w:pPr>
      <w:r>
        <w:drawing>
          <wp:inline xmlns:a="http://schemas.openxmlformats.org/drawingml/2006/main" xmlns:pic="http://schemas.openxmlformats.org/drawingml/2006/picture">
            <wp:extent cx="5943600" cy="3181519"/>
            <wp:docPr id="8" name="Picture 8"/>
            <wp:cNvGraphicFramePr>
              <a:graphicFrameLocks noChangeAspect="1"/>
            </wp:cNvGraphicFramePr>
            <a:graphic>
              <a:graphicData uri="http://schemas.openxmlformats.org/drawingml/2006/picture">
                <pic:pic>
                  <pic:nvPicPr>
                    <pic:cNvPr id="0" name="fig8_shap.png"/>
                    <pic:cNvPicPr/>
                  </pic:nvPicPr>
                  <pic:blipFill>
                    <a:blip r:embed="rId18"/>
                    <a:stretch>
                      <a:fillRect/>
                    </a:stretch>
                  </pic:blipFill>
                  <pic:spPr>
                    <a:xfrm>
                      <a:off x="0" y="0"/>
                      <a:ext cx="5943600" cy="3181519"/>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8  (a) 394 个分子逐分子 Shapley 值分布 (颜色表示该描述符取值的大小); (b) 全局平均 |φ| 排序</w:t>
      </w:r>
    </w:p>
    <w:p>
      <w:pPr>
        <w:overflowPunct w:val="0"/>
        <w:spacing w:before="0" w:after="120" w:line="300" w:lineRule="auto"/>
        <w:jc w:val="left"/>
      </w:pPr>
      <w:r>
        <w:rPr>
          <w:rFonts w:ascii="Calibri" w:hAnsi="Calibri" w:cs="Calibri" w:eastAsia="微软雅黑"/>
          <w:color w:val="1F2933"/>
          <w:sz w:val="21"/>
        </w:rPr>
        <w:t>以特征中位数向量为背景, 对全部 2</w:t>
      </w:r>
      <w:r>
        <w:rPr>
          <w:rFonts w:ascii="Calibri" w:hAnsi="Calibri" w:cs="Calibri" w:eastAsia="微软雅黑"/>
          <w:color w:val="1F2933"/>
          <w:sz w:val="21"/>
          <w:vertAlign w:val="superscript"/>
        </w:rPr>
        <w:t>14</w:t>
      </w:r>
      <w:r>
        <w:rPr>
          <w:rFonts w:ascii="Calibri" w:hAnsi="Calibri" w:cs="Calibri" w:eastAsia="微软雅黑"/>
          <w:color w:val="1F2933"/>
          <w:sz w:val="21"/>
        </w:rPr>
        <w:t xml:space="preserve"> = 16384 个特征子集精确枚举后得到的 Shapley 值满足严格的加性关系 (逐分子校验最大偏差 &lt; 1e-12 kJ/mol), 因此可以放心地按“基线值 + 各描述符贡献”的方式解读每一次预测。全局排序 (表 10、图 8b) 的前三位是 HBA (平均 |φ| = 15.9 kJ/mol)、TPSA (11.5) 与 logP (10.4), 紧随其后的是 N_arom 与 gap。与置换重要性给出的排序相比, 两种方法的 Spearman 秩相关系数为 +0.754, 说明“极性与配位相关描述符主导、轨道能级贡献有限”的结论并不依赖具体的解释方法。</w:t>
      </w:r>
    </w:p>
    <w:p>
      <w:pPr>
        <w:overflowPunct w:val="0"/>
        <w:spacing w:before="0" w:after="120" w:line="300" w:lineRule="auto"/>
        <w:jc w:val="left"/>
      </w:pPr>
      <w:r>
        <w:rPr>
          <w:rFonts w:ascii="Calibri" w:hAnsi="Calibri" w:cs="Calibri" w:eastAsia="微软雅黑"/>
          <w:color w:val="1F2933"/>
          <w:sz w:val="21"/>
        </w:rPr>
        <w:t>图 8a 进一步给出逐分子的贡献分布: HBA 的 Shapley 值随受体数单调变化, 分段均值分别为 HBA = 0 → φ = +38.7 kJ/mol (46 个分子)、HBA = 1 → +30.8 (62 个)、HBA = 2 → +0.0 (111 个, 恰为中位数, 故 φ ≈ 0)、HBA ≥ 3 → -8.1 ~ -17.7。即缺少氢键受体是“结合被削弱”的最强单一因素, 而受体数达到 3 个以上后贡献趋于饱和——这正是“配位基团数量决定结合强度”这一化学图像在模型内部的体现。相比之下, HOMO / LUMO 及派生量的 φ 分布很窄且围绕零对称, 说明它们在多数样本上只是微调预测值, 不改变结论方向。需要强调的是, Shapley 值解释的是“模型如何利用描述符”, 而不是物理因果; 结合 2.5 节的数据质量核查可知, 落在 HBA / HBD 上的高贡献中有部分可能来自这些列自身的数据噪声。</w:t>
      </w:r>
    </w:p>
    <w:p>
      <w:pPr>
        <w:pStyle w:val="Heading2"/>
      </w:pPr>
      <w:r>
        <w:rPr>
          <w:rFonts w:ascii="Calibri" w:hAnsi="Calibri" w:cs="Calibri" w:eastAsia="微软雅黑"/>
          <w:b/>
          <w:color w:val="2E74B5"/>
          <w:sz w:val="25"/>
        </w:rPr>
        <w:t>4.8  稳健性与统计显著性</w:t>
      </w:r>
    </w:p>
    <w:p>
      <w:pPr>
        <w:keepNext/>
        <w:spacing w:before="120" w:after="40"/>
        <w:jc w:val="center"/>
      </w:pPr>
      <w:r>
        <w:drawing>
          <wp:inline xmlns:a="http://schemas.openxmlformats.org/drawingml/2006/main" xmlns:pic="http://schemas.openxmlformats.org/drawingml/2006/picture">
            <wp:extent cx="5852160" cy="2897424"/>
            <wp:docPr id="9" name="Picture 9"/>
            <wp:cNvGraphicFramePr>
              <a:graphicFrameLocks noChangeAspect="1"/>
            </wp:cNvGraphicFramePr>
            <a:graphic>
              <a:graphicData uri="http://schemas.openxmlformats.org/drawingml/2006/picture">
                <pic:pic>
                  <pic:nvPicPr>
                    <pic:cNvPr id="0" name="fig9_robustness.png"/>
                    <pic:cNvPicPr/>
                  </pic:nvPicPr>
                  <pic:blipFill>
                    <a:blip r:embed="rId19"/>
                    <a:stretch>
                      <a:fillRect/>
                    </a:stretch>
                  </pic:blipFill>
                  <pic:spPr>
                    <a:xfrm>
                      <a:off x="0" y="0"/>
                      <a:ext cx="5852160" cy="2897424"/>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9  (a) 5 折 R² 与 LOO Q² 的一致性; (b) Y-scrambling 检验结果</w:t>
      </w:r>
    </w:p>
    <w:p>
      <w:pPr>
        <w:overflowPunct w:val="0"/>
        <w:spacing w:before="0" w:after="120" w:line="300" w:lineRule="auto"/>
        <w:jc w:val="left"/>
      </w:pPr>
      <w:r>
        <w:rPr>
          <w:rFonts w:ascii="Calibri" w:hAnsi="Calibri" w:cs="Calibri" w:eastAsia="微软雅黑"/>
          <w:color w:val="1F2933"/>
          <w:sz w:val="21"/>
        </w:rPr>
        <w:t>两套交叉验证方案给出的模型排序高度一致: 5 折 R² 与 LOO Q² 的皮尔逊相关系数为 r = 0.983 (图 9a), 说明模型之间的相对优劣并不依赖具体的划分策略。在 18 个模型中, 有 15 个的 LOO Q² 高于 5 折 R² (平均高出 0.035), 这与留一法训练样本更多 (&gt;5 折) 的预期一致。</w:t>
      </w:r>
    </w:p>
    <w:p>
      <w:pPr>
        <w:overflowPunct w:val="0"/>
        <w:spacing w:before="0" w:after="120" w:line="300" w:lineRule="auto"/>
        <w:jc w:val="left"/>
      </w:pPr>
      <w:r>
        <w:rPr>
          <w:rFonts w:ascii="Calibri" w:hAnsi="Calibri" w:cs="Calibri" w:eastAsia="微软雅黑"/>
          <w:color w:val="1F2933"/>
          <w:sz w:val="21"/>
        </w:rPr>
        <w:t>Y-scrambling 检验中, 20 次随机重排标签后的 5 折 R² 均值为 -0.435 (最大值 -0.296), 而真实标签下最优模型的 R² 为 0.735, 两者相差约 1.2。随机标签下的 R² 全部为负值 (图 9b), 意味着打乱标签后的模型连目标均值都不如, 说明模型捕获的是结构描述符与结合能之间真实存在的映射关系, 而非样本量小造成的偶然拟合。</w:t>
      </w:r>
    </w:p>
    <w:p>
      <w:pPr>
        <w:pStyle w:val="Heading2"/>
      </w:pPr>
      <w:r>
        <w:rPr>
          <w:rFonts w:ascii="Calibri" w:hAnsi="Calibri" w:cs="Calibri" w:eastAsia="微软雅黑"/>
          <w:b/>
          <w:color w:val="2E74B5"/>
          <w:sz w:val="25"/>
        </w:rPr>
        <w:t>4.9  数据规模效应</w:t>
      </w:r>
    </w:p>
    <w:p>
      <w:pPr>
        <w:keepNext/>
        <w:spacing w:before="120" w:after="40"/>
        <w:jc w:val="center"/>
      </w:pPr>
      <w:r>
        <w:drawing>
          <wp:inline xmlns:a="http://schemas.openxmlformats.org/drawingml/2006/main" xmlns:pic="http://schemas.openxmlformats.org/drawingml/2006/picture">
            <wp:extent cx="5852160" cy="2842935"/>
            <wp:docPr id="10" name="Picture 10"/>
            <wp:cNvGraphicFramePr>
              <a:graphicFrameLocks noChangeAspect="1"/>
            </wp:cNvGraphicFramePr>
            <a:graphic>
              <a:graphicData uri="http://schemas.openxmlformats.org/drawingml/2006/picture">
                <pic:pic>
                  <pic:nvPicPr>
                    <pic:cNvPr id="0" name="fig10_learning_curve.png"/>
                    <pic:cNvPicPr/>
                  </pic:nvPicPr>
                  <pic:blipFill>
                    <a:blip r:embed="rId20"/>
                    <a:stretch>
                      <a:fillRect/>
                    </a:stretch>
                  </pic:blipFill>
                  <pic:spPr>
                    <a:xfrm>
                      <a:off x="0" y="0"/>
                      <a:ext cx="5852160" cy="2842935"/>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10  (a) 最优模型的学习曲线; (b) 394 个分子结合能的分布</w:t>
      </w:r>
    </w:p>
    <w:p>
      <w:pPr>
        <w:overflowPunct w:val="0"/>
        <w:spacing w:before="0" w:after="120" w:line="300" w:lineRule="auto"/>
        <w:jc w:val="left"/>
      </w:pPr>
      <w:r>
        <w:rPr>
          <w:rFonts w:ascii="Calibri" w:hAnsi="Calibri" w:cs="Calibri" w:eastAsia="微软雅黑"/>
          <w:color w:val="1F2933"/>
          <w:sz w:val="21"/>
        </w:rPr>
        <w:t>学习曲线 (图 10a) 显示, 随着训练样本数增加, 交叉验证 R² 单调上升并在全量样本处达到 0.715, 且尚未出现明显的平台期; 训练集与验证集 R² 之间仍保留一定间隔。这说明当前 394 个样本尚未充分满足树集成模型的数据需求——继续扩充样本 (尤其是强结合与弱结合两端的样本) 有望进一步提升模型精度。图 10b 给出的目标值分布亦表明, 84.3% 的样本集中在 -400 至 -100 kJ/mol 区间, 而极强结合 (ΔE &lt; -800 kJ/mol) 的样本仅 6 个, 这也解释了图 5a 中强结合区间预测收缩更为明显的现象。</w:t>
      </w:r>
    </w:p>
    <w:p>
      <w:pPr>
        <w:pStyle w:val="Heading2"/>
      </w:pPr>
      <w:r>
        <w:rPr>
          <w:rFonts w:ascii="Calibri" w:hAnsi="Calibri" w:cs="Calibri" w:eastAsia="微软雅黑"/>
          <w:b/>
          <w:color w:val="2E74B5"/>
          <w:sz w:val="25"/>
        </w:rPr>
        <w:t>4.10  目标分子 2-Bromostyrene 的结合能定位</w:t>
      </w:r>
    </w:p>
    <w:p>
      <w:pPr>
        <w:overflowPunct w:val="0"/>
        <w:spacing w:before="0" w:after="120" w:line="300" w:lineRule="auto"/>
        <w:jc w:val="left"/>
      </w:pPr>
      <w:r>
        <w:rPr>
          <w:rFonts w:ascii="Calibri" w:hAnsi="Calibri" w:cs="Calibri" w:eastAsia="微软雅黑"/>
          <w:color w:val="1F2933"/>
          <w:sz w:val="21"/>
        </w:rPr>
        <w:t>2-Bromostyrene (C8H7Br, SMILES Brc1ccccc1C=C) 是本次筛选指定的目标分子, 其结构特征是: 苯环上同时带乙烯基与邻位溴, 没有氢键供体与受体 (HBD = HBA = 0), 油水分配系数 logP ≈ 3.09 (偏疏水), 可提供的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作用只有芳环 π、C=C π 与 C–Br 卤素弱配位。如 2.5 节所述, 该分子在原表中的描述符列存在整体错位, 因此本节对其结合能采用“多来源交叉核验”的方式给出结论, 而不是只引用单一预测值。</w:t>
      </w:r>
    </w:p>
    <w:tbl>
      <w:tblPr>
        <w:tblStyle w:val="TableGrid"/>
        <w:tblW w:type="dxa" w:w="9360"/>
        <w:jc w:val="left"/>
        <w:tblLayout w:type="fixed"/>
        <w:tblLook w:firstColumn="1" w:firstRow="1" w:lastColumn="0" w:lastRow="0" w:noHBand="0" w:noVBand="1" w:val="04A0"/>
        <w:tblInd w:type="dxa" w:w="120"/>
      </w:tblPr>
      <w:tblGrid>
        <w:gridCol w:w="3079"/>
        <w:gridCol w:w="1847"/>
        <w:gridCol w:w="4434"/>
      </w:tblGrid>
      <w:tr>
        <w:trPr>
          <w:cantSplit/>
          <w:tblHeader/>
        </w:trPr>
        <w:tc>
          <w:tcPr>
            <w:tcW w:type="dxa" w:w="3079"/>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来源</w:t>
            </w:r>
          </w:p>
        </w:tc>
        <w:tc>
          <w:tcPr>
            <w:tcW w:type="dxa" w:w="1847"/>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结合能 ΔE</w:t>
            </w:r>
          </w:p>
        </w:tc>
        <w:tc>
          <w:tcPr>
            <w:tcW w:type="dxa" w:w="4434"/>
            <w:vAlign w:val="center"/>
            <w:shd w:val="clear" w:color="auto" w:fill="E8EEF5"/>
            <w:tcMar>
              <w:top w:w="80" w:type="dxa"/>
              <w:bottom w:w="80" w:type="dxa"/>
              <w:start w:w="120" w:type="dxa"/>
              <w:end w:w="120" w:type="dxa"/>
            </w:tcMar>
          </w:tcPr>
          <w:p>
            <w:pPr>
              <w:spacing w:before="40" w:after="40" w:line="264" w:lineRule="auto"/>
              <w:jc w:val="center"/>
            </w:pPr>
            <w:r/>
            <w:r>
              <w:rPr>
                <w:rFonts w:ascii="Calibri" w:hAnsi="Calibri" w:cs="Calibri" w:eastAsia="微软雅黑"/>
                <w:b/>
                <w:color w:val="1F4D78"/>
                <w:sz w:val="17"/>
              </w:rPr>
              <w:t>说明</w:t>
            </w:r>
          </w:p>
        </w:tc>
      </w:tr>
      <w:tr>
        <w:trPr>
          <w:cantSplit/>
        </w:trPr>
        <w:tc>
          <w:tcPr>
            <w:tcW w:type="dxa" w:w="307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工作簿配位基团加和模型 (原表 P 列)</w:t>
            </w:r>
          </w:p>
        </w:tc>
        <w:tc>
          <w:tcPr>
            <w:tcW w:type="dxa" w:w="1847"/>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-228.2 kJ/mol</w:t>
            </w:r>
          </w:p>
        </w:tc>
        <w:tc>
          <w:tcPr>
            <w:tcW w:type="dxa" w:w="443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按 SMILES 解析给体 (芳环 π×1、C=C π×1、卤素×1) 加和 × 校正因子, 估算不确定度 ±25%</w:t>
            </w:r>
          </w:p>
        </w:tc>
      </w:tr>
      <w:tr>
        <w:trPr>
          <w:cantSplit/>
        </w:trPr>
        <w:tc>
          <w:tcPr>
            <w:tcW w:type="dxa" w:w="307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最优模型预测 (结构重建描述符)</w:t>
            </w:r>
          </w:p>
        </w:tc>
        <w:tc>
          <w:tcPr>
            <w:tcW w:type="dxa" w:w="184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-219.3 kJ/mol</w:t>
            </w:r>
          </w:p>
        </w:tc>
        <w:tc>
          <w:tcPr>
            <w:tcW w:type="dxa" w:w="443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RDKit 按结构重建分子量/氢键/芳香环/logP/TPSA/杂原子数, 轨道与极化量取同分异构体 4-Bromostyrene 值</w:t>
            </w:r>
          </w:p>
        </w:tc>
      </w:tr>
      <w:tr>
        <w:trPr>
          <w:cantSplit/>
        </w:trPr>
        <w:tc>
          <w:tcPr>
            <w:tcW w:type="dxa" w:w="307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最优模型预测 (原表记录描述符)</w:t>
            </w:r>
          </w:p>
        </w:tc>
        <w:tc>
          <w:tcPr>
            <w:tcW w:type="dxa" w:w="1847"/>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-202.7 kJ/mol</w:t>
            </w:r>
          </w:p>
        </w:tc>
        <w:tc>
          <w:tcPr>
            <w:tcW w:type="dxa" w:w="443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使用错位后的描述符 (HOMO = +1.00 eV, LUMO = +0.389 eV), 仅作对照, 不可用于判断</w:t>
            </w:r>
          </w:p>
        </w:tc>
      </w:tr>
      <w:tr>
        <w:trPr>
          <w:cantSplit/>
        </w:trPr>
        <w:tc>
          <w:tcPr>
            <w:tcW w:type="dxa" w:w="3079"/>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结构最近 5 个类似物参考值</w:t>
            </w:r>
          </w:p>
        </w:tc>
        <w:tc>
          <w:tcPr>
            <w:tcW w:type="dxa" w:w="1847"/>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-223.6 ~ -212.9 kJ/mol</w:t>
            </w:r>
          </w:p>
        </w:tc>
        <w:tc>
          <w:tcPr>
            <w:tcW w:type="dxa" w:w="4434"/>
            <w:vAlign w:val="center"/>
            <w:shd w:val="clear" w:color="auto" w:fill="F5F8FB"/>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4-Bromostyrene、3-/4-Iodostyrene、3,4-Dichloromethylstyrene 等</w:t>
            </w:r>
          </w:p>
        </w:tc>
      </w:tr>
      <w:tr>
        <w:trPr>
          <w:cantSplit/>
        </w:trPr>
        <w:tc>
          <w:tcPr>
            <w:tcW w:type="dxa" w:w="3079"/>
            <w:vAlign w:val="center"/>
            <w:tcMar>
              <w:top w:w="80" w:type="dxa"/>
              <w:bottom w:w="80" w:type="dxa"/>
              <w:start w:w="120" w:type="dxa"/>
              <w:end w:w="120" w:type="dxa"/>
            </w:tcMar>
          </w:tcPr>
          <w:p>
            <w:pPr>
              <w:spacing w:before="40" w:after="40" w:line="264" w:lineRule="auto"/>
            </w:pPr>
            <w:r/>
            <w:r>
              <w:rPr>
                <w:rFonts w:ascii="Calibri" w:hAnsi="Calibri" w:cs="Calibri" w:eastAsia="微软雅黑"/>
                <w:b/>
                <w:color w:val="1F2933"/>
                <w:sz w:val="16"/>
              </w:rPr>
              <w:t>库内排名 (按结合能参考值)</w:t>
            </w:r>
          </w:p>
        </w:tc>
        <w:tc>
          <w:tcPr>
            <w:tcW w:type="dxa" w:w="1847"/>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229 / 394 个分子结合更强</w:t>
            </w:r>
          </w:p>
        </w:tc>
        <w:tc>
          <w:tcPr>
            <w:tcW w:type="dxa" w:w="4434"/>
            <w:vAlign w:val="center"/>
            <w:tcMar>
              <w:top w:w="80" w:type="dxa"/>
              <w:bottom w:w="80" w:type="dxa"/>
              <w:start w:w="120" w:type="dxa"/>
              <w:end w:w="120" w:type="dxa"/>
            </w:tcMar>
          </w:tcPr>
          <w:p>
            <w:pPr>
              <w:spacing w:before="40" w:after="40" w:line="264" w:lineRule="auto"/>
            </w:pPr>
            <w:r/>
            <w:r>
              <w:rPr>
                <w:rFonts w:ascii="Calibri" w:hAnsi="Calibri" w:cs="Calibri" w:eastAsia="微软雅黑"/>
                <w:b w:val="0"/>
                <w:color w:val="1F2933"/>
                <w:sz w:val="16"/>
              </w:rPr>
              <w:t>即 58.1% 的单体结合能比它更负, 处于较弱结合一侧</w:t>
            </w:r>
          </w:p>
        </w:tc>
      </w:tr>
    </w:tbl>
    <w:p>
      <w:pPr>
        <w:spacing w:before="40" w:after="200" w:line="276" w:lineRule="auto"/>
      </w:pPr>
      <w:r>
        <w:rPr>
          <w:rFonts w:ascii="Calibri" w:hAnsi="Calibri" w:cs="Calibri" w:eastAsia="微软雅黑"/>
          <w:color w:val="5A6672"/>
          <w:sz w:val="17"/>
        </w:rPr>
        <w:t>表 11  目标分子 2-Bromostyrene 结合能的多来源核验。三组估计值落在 213–228 kJ/mol 区间内, 相互偏差 (≤ 9 kJ/mol) 远小于模型自身的 LOO 误差 (62 kJ/mol)。</w:t>
      </w:r>
    </w:p>
    <w:p>
      <w:pPr>
        <w:keepNext/>
        <w:spacing w:before="120" w:after="40"/>
        <w:jc w:val="center"/>
      </w:pPr>
      <w:r>
        <w:drawing>
          <wp:inline xmlns:a="http://schemas.openxmlformats.org/drawingml/2006/main" xmlns:pic="http://schemas.openxmlformats.org/drawingml/2006/picture">
            <wp:extent cx="5943600" cy="2789925"/>
            <wp:docPr id="11" name="Picture 11"/>
            <wp:cNvGraphicFramePr>
              <a:graphicFrameLocks noChangeAspect="1"/>
            </wp:cNvGraphicFramePr>
            <a:graphic>
              <a:graphicData uri="http://schemas.openxmlformats.org/drawingml/2006/picture">
                <pic:pic>
                  <pic:nvPicPr>
                    <pic:cNvPr id="0" name="fig11_target.png"/>
                    <pic:cNvPicPr/>
                  </pic:nvPicPr>
                  <pic:blipFill>
                    <a:blip r:embed="rId21"/>
                    <a:stretch>
                      <a:fillRect/>
                    </a:stretch>
                  </pic:blipFill>
                  <pic:spPr>
                    <a:xfrm>
                      <a:off x="0" y="0"/>
                      <a:ext cx="5943600" cy="2789925"/>
                    </a:xfrm>
                    <a:prstGeom prst="rect"/>
                  </pic:spPr>
                </pic:pic>
              </a:graphicData>
            </a:graphic>
          </wp:inline>
        </w:drawing>
      </w:r>
    </w:p>
    <w:p>
      <w:pPr>
        <w:spacing w:before="80" w:after="200" w:line="276" w:lineRule="auto"/>
        <w:jc w:val="center"/>
      </w:pPr>
      <w:r>
        <w:rPr>
          <w:rFonts w:ascii="Calibri" w:hAnsi="Calibri" w:cs="Calibri" w:eastAsia="微软雅黑"/>
          <w:color w:val="5A6672"/>
          <w:sz w:val="18"/>
        </w:rPr>
        <w:t>图 11  (a) 394 个单体按留一式预测值的升序排列与目标分子位置; (b) 结构最近邻与目标分子的结合能对比; (c) 目标分子的 Shapley 值分解</w:t>
      </w:r>
    </w:p>
    <w:p>
      <w:pPr>
        <w:overflowPunct w:val="0"/>
        <w:spacing w:before="0" w:after="120" w:line="300" w:lineRule="auto"/>
        <w:jc w:val="left"/>
      </w:pPr>
      <w:r>
        <w:rPr>
          <w:rFonts w:ascii="Calibri" w:hAnsi="Calibri" w:cs="Calibri" w:eastAsia="微软雅黑"/>
          <w:color w:val="1F2933"/>
          <w:sz w:val="21"/>
        </w:rPr>
        <w:t>核验结果为: 2-Bromostyrene 的结合能约在 -228.2 ~ -219.3 kJ/mol 之间, 工作簿的结构估算值 -228.2 与基于结构重建描述符的模型预测 -219.3 仅相差 8.9 kJ/mol, 且与其同分异构体 4-Bromostyrene (-219.3 kJ/mol) 及若干个溴代/碘代苯乙烯类似物一致。若采用原表错位描述符, 模型预测为 -202.7 kJ/mol (留一式预测 -204.1 kJ/mol), 该值偏离约 16–25 kJ/mol, 进一步说明原始行的描述符不可直接用。</w:t>
      </w:r>
    </w:p>
    <w:p>
      <w:pPr>
        <w:overflowPunct w:val="0"/>
        <w:spacing w:before="0" w:after="120" w:line="300" w:lineRule="auto"/>
        <w:jc w:val="left"/>
      </w:pPr>
      <w:r>
        <w:rPr>
          <w:rFonts w:ascii="Calibri" w:hAnsi="Calibri" w:cs="Calibri" w:eastAsia="微软雅黑"/>
          <w:color w:val="1F2933"/>
          <w:sz w:val="21"/>
        </w:rPr>
        <w:t>此处需说明一项口径: 重建描述符中的 2D 量由 RDKit 依 SMILES 现算, 偶极矩与前沿轨道量取自同分异构体 4-Bromostyrene, 故重建向量与 4-Bromostyrene 在特征空间内几乎完全重合 (标准化距离 ≈ 0)。因此 -219.3 kJ/mol 应理解为“同分异构体类比核验”, 而非独立的电子结构计算, 三组估计值的一致性主要说明该分子与其同分异构体处于同一结合能水平。</w:t>
      </w:r>
    </w:p>
    <w:p>
      <w:pPr>
        <w:overflowPunct w:val="0"/>
        <w:spacing w:before="0" w:after="120" w:line="300" w:lineRule="auto"/>
        <w:jc w:val="left"/>
      </w:pPr>
      <w:r>
        <w:rPr>
          <w:rFonts w:ascii="Calibri" w:hAnsi="Calibri" w:cs="Calibri" w:eastAsia="微软雅黑"/>
          <w:color w:val="1F2933"/>
          <w:sz w:val="21"/>
        </w:rPr>
        <w:t>从库内定位看, 该分子的结合能位于全库的中偏弱区间: 全库 Q1 / 中位数 / Q3 分别为 -335.7 / -251.0 / -189.4 kJ/mol, 而它有 58.1% 的同类单体结合更强; 按模型预测值排序, 也有 69.2% 的分子比它更负。也就是说, 2-Bromostyrene 既不是“强配位螯合型”单体 (库内 ΔE ≤ −500 kJ/mol 的 15 个分子全部来自含磷酸根、硫酸根、磺酸根、羧酸根或胺基的结构), 也不是库内结合最弱的极端值。因此, 对“希望其结合能较低”这一目标, 需要区分两种口径: 若希望数值更负、与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结合更强 (以在界面竞争中占据优势), 则 2-Bromostyrene 不满足要求, 需引入 −OH / −COOH / 吡啶氮 / 磺酸基等强给体; 若希望该分子仅以弱相互作用在界面富集、不进入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内配位层 (疏水型界面调节剂), 则它 58.1% 的分位水平恰好符合“弱结合 + 高疏水”的设计意图。</w:t>
      </w:r>
    </w:p>
    <w:p>
      <w:pPr>
        <w:overflowPunct w:val="0"/>
        <w:spacing w:before="0" w:after="120" w:line="300" w:lineRule="auto"/>
        <w:jc w:val="left"/>
      </w:pPr>
      <w:r>
        <w:rPr>
          <w:rFonts w:ascii="Calibri" w:hAnsi="Calibri" w:cs="Calibri" w:eastAsia="微软雅黑"/>
          <w:color w:val="1F2933"/>
          <w:sz w:val="21"/>
        </w:rPr>
        <w:t>Shapley 分解 (图 11c) 给出了这一结论的微观来源: 以中位分子为背景 (基线 -289.8 kJ/mol), 使模型预测值向“结合更弱”方向抬升的第一位因素是氢键受体数 HBA (φ = +30.6 kJ/mol, 该分子 HBA = 0), 其次是偶极矩 (φ = +12.1) 与 LUMO 相关项 (φ = +9.0, |LUMO| = +8.3)。换言之, 2-Bromostyrene 结合能偏弱并非因为它的电子结构有特殊之处, 而是因为它缺少极性配位基团——这与 4.6 / 4.7 节“氢键受体与极性描述符主导结合能”的全局结论完全一致。若在该分子骨架上引入一个羧酸根 (−COO⁻) 或羟基 (−OH), 按工作簿的基团贡献参数分别可增加约 520 与 130 kJ/mol 的结合强度, 足以把它推入库内强结合区; 反之, 若保持现有结构, 则应把它定位为“弱配位/界面富集型”候选而非强螯合型添加剂。</w:t>
      </w:r>
    </w:p>
    <w:p>
      <w:pPr>
        <w:pStyle w:val="Heading1"/>
      </w:pPr>
      <w:r>
        <w:rPr>
          <w:rFonts w:ascii="Calibri" w:hAnsi="Calibri" w:cs="Calibri" w:eastAsia="微软雅黑"/>
          <w:b/>
          <w:color w:val="2E74B5"/>
          <w:sz w:val="30"/>
        </w:rPr>
        <w:t>5  讨论</w:t>
      </w:r>
    </w:p>
    <w:p>
      <w:pPr>
        <w:pStyle w:val="Heading2"/>
      </w:pPr>
      <w:r>
        <w:rPr>
          <w:rFonts w:ascii="Calibri" w:hAnsi="Calibri" w:cs="Calibri" w:eastAsia="微软雅黑"/>
          <w:b/>
          <w:color w:val="2E74B5"/>
          <w:sz w:val="25"/>
        </w:rPr>
        <w:t>5.1  主要发现</w:t>
      </w:r>
    </w:p>
    <w:p>
      <w:pPr>
        <w:overflowPunct w:val="0"/>
        <w:spacing w:before="0" w:after="80" w:line="300" w:lineRule="auto"/>
        <w:ind w:left="540" w:hanging="270"/>
        <w:numPr>
          <w:ilvl w:val="0"/>
          <w:numId w:val="10"/>
        </w:numPr>
      </w:pPr>
      <w:r>
        <w:rPr>
          <w:rFonts w:ascii="Calibri" w:hAnsi="Calibri" w:cs="Calibri" w:eastAsia="微软雅黑"/>
          <w:b/>
          <w:color w:val="1F2933"/>
          <w:sz w:val="21"/>
        </w:rPr>
        <w:t>预测能力有上限。</w:t>
      </w:r>
      <w:r>
        <w:rPr>
          <w:rFonts w:ascii="Calibri" w:hAnsi="Calibri" w:cs="Calibri" w:eastAsia="微软雅黑"/>
          <w:color w:val="1F2933"/>
          <w:sz w:val="21"/>
        </w:rPr>
        <w:t>在 14 个分子描述符条件下, 结合能可以被有效预测但尚未达到高精度水平。最优模型 极端随机树 (ET) 的 LOO Q² = 0.779, 平均绝对误差约 37.8 kJ/mol (约为目标值标准差的 28.6%), 可用于同系物之间的相对排序与粗筛, 但不足以替代高精度计算判断结合能绝对值。</w:t>
      </w:r>
    </w:p>
    <w:p>
      <w:pPr>
        <w:overflowPunct w:val="0"/>
        <w:spacing w:before="0" w:after="80" w:line="300" w:lineRule="auto"/>
        <w:ind w:left="540" w:hanging="270"/>
        <w:numPr>
          <w:ilvl w:val="0"/>
          <w:numId w:val="10"/>
        </w:numPr>
      </w:pPr>
      <w:r>
        <w:rPr>
          <w:rFonts w:ascii="Calibri" w:hAnsi="Calibri" w:cs="Calibri" w:eastAsia="微软雅黑"/>
          <w:b/>
          <w:color w:val="1F2933"/>
          <w:sz w:val="21"/>
        </w:rPr>
        <w:t>非线性模型占优。</w:t>
      </w:r>
      <w:r>
        <w:rPr>
          <w:rFonts w:ascii="Calibri" w:hAnsi="Calibri" w:cs="Calibri" w:eastAsia="微软雅黑"/>
          <w:color w:val="1F2933"/>
          <w:sz w:val="21"/>
        </w:rPr>
        <w:t>集成学习 (尤其是极端随机树与随机森林) 明显优于线性、核方法与神经网络, 说明描述符与结合能之间以非线性、含交互项的关系为主。</w:t>
      </w:r>
    </w:p>
    <w:p>
      <w:pPr>
        <w:overflowPunct w:val="0"/>
        <w:spacing w:before="0" w:after="80" w:line="300" w:lineRule="auto"/>
        <w:ind w:left="540" w:hanging="270"/>
        <w:numPr>
          <w:ilvl w:val="0"/>
          <w:numId w:val="10"/>
        </w:numPr>
      </w:pPr>
      <w:r>
        <w:rPr>
          <w:rFonts w:ascii="Calibri" w:hAnsi="Calibri" w:cs="Calibri" w:eastAsia="微软雅黑"/>
          <w:b/>
          <w:color w:val="1F2933"/>
          <w:sz w:val="21"/>
        </w:rPr>
        <w:t>极性/界面描述符主导。</w:t>
      </w:r>
      <w:r>
        <w:rPr>
          <w:rFonts w:ascii="Calibri" w:hAnsi="Calibri" w:cs="Calibri" w:eastAsia="微软雅黑"/>
          <w:color w:val="1F2933"/>
          <w:sz w:val="21"/>
        </w:rPr>
        <w:t>精确 Shapley 分解给出的前四位是 HBA、TPSA、logP 与 N_arom, 即配位能力 (HBA)、极性表面积 (TPSA) 与界面亲和性 (logP) 共同主导, 与配位化学规律一致; 前线轨道能级的边际贡献很小, HOMO 的全局 |φ| 为 5.6 kJ/mol, 仅排在第 12 位 (约为 HBA 的三分之一)。</w:t>
      </w:r>
    </w:p>
    <w:p>
      <w:pPr>
        <w:overflowPunct w:val="0"/>
        <w:spacing w:before="0" w:after="80" w:line="300" w:lineRule="auto"/>
        <w:ind w:left="540" w:hanging="270"/>
        <w:numPr>
          <w:ilvl w:val="0"/>
          <w:numId w:val="10"/>
        </w:numPr>
      </w:pPr>
      <w:r>
        <w:rPr>
          <w:rFonts w:ascii="Calibri" w:hAnsi="Calibri" w:cs="Calibri" w:eastAsia="微软雅黑"/>
          <w:b/>
          <w:color w:val="1F2933"/>
          <w:sz w:val="21"/>
        </w:rPr>
        <w:t>结论稳健。</w:t>
      </w:r>
      <w:r>
        <w:rPr>
          <w:rFonts w:ascii="Calibri" w:hAnsi="Calibri" w:cs="Calibri" w:eastAsia="微软雅黑"/>
          <w:color w:val="1F2933"/>
          <w:sz w:val="21"/>
        </w:rPr>
        <w:t>5 折与 LOO 两套方案的模型排序高度一致, Y-scrambling 检验进一步排除了偶然拟合的可能, 因此本报告的模型比较结论是稳健的。</w:t>
      </w:r>
    </w:p>
    <w:p>
      <w:pPr>
        <w:overflowPunct w:val="0"/>
        <w:spacing w:before="0" w:after="80" w:line="300" w:lineRule="auto"/>
        <w:ind w:left="540" w:hanging="270"/>
        <w:numPr>
          <w:ilvl w:val="0"/>
          <w:numId w:val="10"/>
        </w:numPr>
      </w:pPr>
      <w:r>
        <w:rPr>
          <w:rFonts w:ascii="Calibri" w:hAnsi="Calibri" w:cs="Calibri" w:eastAsia="微软雅黑"/>
          <w:b/>
          <w:color w:val="1F2933"/>
          <w:sz w:val="21"/>
        </w:rPr>
        <w:t>界面性质与配位性质互补。</w:t>
      </w:r>
      <w:r>
        <w:rPr>
          <w:rFonts w:ascii="Calibri" w:hAnsi="Calibri" w:cs="Calibri" w:eastAsia="微软雅黑"/>
          <w:color w:val="1F2933"/>
          <w:sz w:val="21"/>
        </w:rPr>
        <w:t>以 logP 为代表的疏水性描述符与结合能呈正相关 (r = +0.522), 以 HBA / TPSA / HBD 为代表的极性配位描述符呈负相关 (r = -0.499 / -0.509 / -0.409), 两类描述符共同刻画了“分子留在界面还是进入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配位层”的竞争; 而 HOMO / LUMO 能级的单变量解释力不足 5%。</w:t>
      </w:r>
    </w:p>
    <w:p>
      <w:pPr>
        <w:overflowPunct w:val="0"/>
        <w:spacing w:before="0" w:after="80" w:line="300" w:lineRule="auto"/>
        <w:ind w:left="540" w:hanging="270"/>
        <w:numPr>
          <w:ilvl w:val="0"/>
          <w:numId w:val="10"/>
        </w:numPr>
      </w:pPr>
      <w:r>
        <w:rPr>
          <w:rFonts w:ascii="Calibri" w:hAnsi="Calibri" w:cs="Calibri" w:eastAsia="微软雅黑"/>
          <w:b/>
          <w:color w:val="1F2933"/>
          <w:sz w:val="21"/>
        </w:rPr>
        <w:t>目标分子定位明确。</w:t>
      </w:r>
      <w:r>
        <w:rPr>
          <w:rFonts w:ascii="Calibri" w:hAnsi="Calibri" w:cs="Calibri" w:eastAsia="微软雅黑"/>
          <w:color w:val="1F2933"/>
          <w:sz w:val="21"/>
        </w:rPr>
        <w:t>目标分子 2-Bromostyrene 的结合能约为 -228.2 ~ -219.3 kJ/mol, 在 394 个单体中处于中偏弱结合区间 (有 58.1% 的单体结合更强), 属于“疏水、弱配位”型分子; 其结合能偏弱的主导原因是缺少氢键受体等极性配位基团。</w:t>
      </w:r>
    </w:p>
    <w:p>
      <w:pPr>
        <w:pStyle w:val="Heading2"/>
      </w:pPr>
      <w:r>
        <w:rPr>
          <w:rFonts w:ascii="Calibri" w:hAnsi="Calibri" w:cs="Calibri" w:eastAsia="微软雅黑"/>
          <w:b/>
          <w:color w:val="2E74B5"/>
          <w:sz w:val="25"/>
        </w:rPr>
        <w:t>5.2  局限性</w:t>
      </w:r>
    </w:p>
    <w:p>
      <w:pPr>
        <w:overflowPunct w:val="0"/>
        <w:spacing w:before="0" w:after="80" w:line="300" w:lineRule="auto"/>
        <w:ind w:left="540" w:hanging="270"/>
        <w:numPr>
          <w:ilvl w:val="0"/>
          <w:numId w:val="10"/>
        </w:numPr>
      </w:pPr>
      <w:r>
        <w:rPr>
          <w:rFonts w:ascii="Calibri" w:hAnsi="Calibri" w:cs="Calibri" w:eastAsia="微软雅黑"/>
          <w:b/>
          <w:color w:val="1F2933"/>
          <w:sz w:val="21"/>
        </w:rPr>
        <w:t>目标值口径。</w:t>
      </w:r>
      <w:r>
        <w:rPr>
          <w:rFonts w:ascii="Calibri" w:hAnsi="Calibri" w:cs="Calibri" w:eastAsia="微软雅黑"/>
          <w:color w:val="1F2933"/>
          <w:sz w:val="21"/>
        </w:rPr>
        <w:t>目标变量由配位基团加和模型估算得到 (工作簿标注不确定度约 ±25%), 并非逐分子DFT 计算结果。描述符与目标值之间存在方法学同源性, 因此本报告的 R² 反映的是在此数据口径下的可预测性, 不能直接等同于对真实结合能的预测精度。</w:t>
      </w:r>
    </w:p>
    <w:p>
      <w:pPr>
        <w:overflowPunct w:val="0"/>
        <w:spacing w:before="0" w:after="80" w:line="300" w:lineRule="auto"/>
        <w:ind w:left="540" w:hanging="270"/>
        <w:numPr>
          <w:ilvl w:val="0"/>
          <w:numId w:val="10"/>
        </w:numPr>
      </w:pPr>
      <w:r>
        <w:rPr>
          <w:rFonts w:ascii="Calibri" w:hAnsi="Calibri" w:cs="Calibri" w:eastAsia="微软雅黑"/>
          <w:b/>
          <w:color w:val="1F2933"/>
          <w:sz w:val="21"/>
        </w:rPr>
        <w:t>特征冗余。</w:t>
      </w:r>
      <w:r>
        <w:rPr>
          <w:rFonts w:ascii="Calibri" w:hAnsi="Calibri" w:cs="Calibri" w:eastAsia="微软雅黑"/>
          <w:color w:val="1F2933"/>
          <w:sz w:val="21"/>
        </w:rPr>
        <w:t>|HOMO| 与 HOMO 完全共线, |LUMO| 与 LUMO 在大多数样本上共线, 使实际独立信息量下降; 线性模型的系数解释因此受到限制, 而以树模型为主的结论不受影响。</w:t>
      </w:r>
    </w:p>
    <w:p>
      <w:pPr>
        <w:overflowPunct w:val="0"/>
        <w:spacing w:before="0" w:after="80" w:line="300" w:lineRule="auto"/>
        <w:ind w:left="540" w:hanging="270"/>
        <w:numPr>
          <w:ilvl w:val="0"/>
          <w:numId w:val="10"/>
        </w:numPr>
      </w:pPr>
      <w:r>
        <w:rPr>
          <w:rFonts w:ascii="Calibri" w:hAnsi="Calibri" w:cs="Calibri" w:eastAsia="微软雅黑"/>
          <w:b/>
          <w:color w:val="1F2933"/>
          <w:sz w:val="21"/>
        </w:rPr>
        <w:t>超参数未调优。</w:t>
      </w:r>
      <w:r>
        <w:rPr>
          <w:rFonts w:ascii="Calibri" w:hAnsi="Calibri" w:cs="Calibri" w:eastAsia="微软雅黑"/>
          <w:color w:val="1F2933"/>
          <w:sz w:val="21"/>
        </w:rPr>
        <w:t>超参数采用经验设定而未做嵌套式调优, 因此报告中的数值反映的是算法的“默认水平”而非其最优潜力; 不过这也避免了超参数在验证集上的泄漏, 使模型比较更为公平。</w:t>
      </w:r>
    </w:p>
    <w:p>
      <w:pPr>
        <w:overflowPunct w:val="0"/>
        <w:spacing w:before="0" w:after="80" w:line="300" w:lineRule="auto"/>
        <w:ind w:left="540" w:hanging="270"/>
        <w:numPr>
          <w:ilvl w:val="0"/>
          <w:numId w:val="10"/>
        </w:numPr>
      </w:pPr>
      <w:r>
        <w:rPr>
          <w:rFonts w:ascii="Calibri" w:hAnsi="Calibri" w:cs="Calibri" w:eastAsia="微软雅黑"/>
          <w:b/>
          <w:color w:val="1F2933"/>
          <w:sz w:val="21"/>
        </w:rPr>
        <w:t>描述符维度有限。</w:t>
      </w:r>
      <w:r>
        <w:rPr>
          <w:rFonts w:ascii="Calibri" w:hAnsi="Calibri" w:cs="Calibri" w:eastAsia="微软雅黑"/>
          <w:color w:val="1F2933"/>
          <w:sz w:val="21"/>
        </w:rPr>
        <w:t>描述符主要描述单个分子的电子与极性性质, 未显式包含配位几何 (螯合环大小、空间位阻) 与溶剂效应等三维因素, 这可能是强结合区间预测收缩的原因之一。</w:t>
      </w:r>
    </w:p>
    <w:p>
      <w:pPr>
        <w:overflowPunct w:val="0"/>
        <w:spacing w:before="0" w:after="80" w:line="300" w:lineRule="auto"/>
        <w:ind w:left="540" w:hanging="270"/>
        <w:numPr>
          <w:ilvl w:val="0"/>
          <w:numId w:val="10"/>
        </w:numPr>
      </w:pPr>
      <w:r>
        <w:rPr>
          <w:rFonts w:ascii="Calibri" w:hAnsi="Calibri" w:cs="Calibri" w:eastAsia="微软雅黑"/>
          <w:b/>
          <w:color w:val="1F2933"/>
          <w:sz w:val="21"/>
        </w:rPr>
        <w:t>描述符列可信度不均。</w:t>
      </w:r>
      <w:r>
        <w:rPr>
          <w:rFonts w:ascii="Calibri" w:hAnsi="Calibri" w:cs="Calibri" w:eastAsia="微软雅黑"/>
          <w:color w:val="1F2933"/>
          <w:sz w:val="21"/>
        </w:rPr>
        <w:t>描述符表本身存在结构性缺陷: 氢键供体/受体数分别有 19.0% / 9.1% 的行与结构不符, 芳香环数有 73 行被低估, 极化率列两套量纲混用, 并有 5 组 SMILES 重复记录 (2.5 节)。这些噪声直接进入特征矩阵, 既限制精度上限, 也使“哪个描述符更重要”的解释带有不确定性。</w:t>
      </w:r>
    </w:p>
    <w:p>
      <w:pPr>
        <w:pStyle w:val="Heading2"/>
      </w:pPr>
      <w:r>
        <w:rPr>
          <w:rFonts w:ascii="Calibri" w:hAnsi="Calibri" w:cs="Calibri" w:eastAsia="微软雅黑"/>
          <w:b/>
          <w:color w:val="2E74B5"/>
          <w:sz w:val="25"/>
        </w:rPr>
        <w:t>5.3  后续工作建议</w:t>
      </w:r>
    </w:p>
    <w:p>
      <w:pPr>
        <w:overflowPunct w:val="0"/>
        <w:spacing w:before="0" w:after="80" w:line="300" w:lineRule="auto"/>
        <w:ind w:left="540" w:hanging="270"/>
        <w:numPr>
          <w:ilvl w:val="0"/>
          <w:numId w:val="11"/>
        </w:numPr>
      </w:pPr>
      <w:r>
        <w:rPr>
          <w:rFonts w:ascii="Calibri" w:hAnsi="Calibri" w:cs="Calibri" w:eastAsia="微软雅黑"/>
          <w:color w:val="1F2933"/>
          <w:sz w:val="21"/>
        </w:rPr>
        <w:t>补充逐分子 DFT 结合能 (含溶剂化效应), 替换或校验当前的估算目标值, 以提升数据的物理真实性。</w:t>
      </w:r>
    </w:p>
    <w:p>
      <w:pPr>
        <w:overflowPunct w:val="0"/>
        <w:spacing w:before="0" w:after="80" w:line="300" w:lineRule="auto"/>
        <w:ind w:left="540" w:hanging="270"/>
        <w:numPr>
          <w:ilvl w:val="0"/>
          <w:numId w:val="11"/>
        </w:numPr>
      </w:pPr>
      <w:r>
        <w:rPr>
          <w:rFonts w:ascii="Calibri" w:hAnsi="Calibri" w:cs="Calibri" w:eastAsia="微软雅黑"/>
          <w:color w:val="1F2933"/>
          <w:sz w:val="21"/>
        </w:rPr>
        <w:t>用可解释的三维/拓扑描述符 (螯合环数、配位基团类型独热编码、分子体积、Hirshfeld 电荷等) 替换冗余的派生能级特征, 降低共线性。</w:t>
      </w:r>
    </w:p>
    <w:p>
      <w:pPr>
        <w:overflowPunct w:val="0"/>
        <w:spacing w:before="0" w:after="80" w:line="300" w:lineRule="auto"/>
        <w:ind w:left="540" w:hanging="270"/>
        <w:numPr>
          <w:ilvl w:val="0"/>
          <w:numId w:val="11"/>
        </w:numPr>
      </w:pPr>
      <w:r>
        <w:rPr>
          <w:rFonts w:ascii="Calibri" w:hAnsi="Calibri" w:cs="Calibri" w:eastAsia="微软雅黑"/>
          <w:color w:val="1F2933"/>
          <w:sz w:val="21"/>
        </w:rPr>
        <w:t>引入嵌套交叉验证与贝叶斯超参数优化, 在保持评估无偏的前提下释放模型潜力; 并尝试以 RF + GBR + XGBoost 的堆叠 (stacking) 集成。</w:t>
      </w:r>
    </w:p>
    <w:p>
      <w:pPr>
        <w:overflowPunct w:val="0"/>
        <w:spacing w:before="0" w:after="80" w:line="300" w:lineRule="auto"/>
        <w:ind w:left="540" w:hanging="270"/>
        <w:numPr>
          <w:ilvl w:val="0"/>
          <w:numId w:val="11"/>
        </w:numPr>
      </w:pPr>
      <w:r>
        <w:rPr>
          <w:rFonts w:ascii="Calibri" w:hAnsi="Calibri" w:cs="Calibri" w:eastAsia="微软雅黑"/>
          <w:color w:val="1F2933"/>
          <w:sz w:val="21"/>
        </w:rPr>
        <w:t>针对强结合 (ΔE &lt; -600 kJ/mol) 与弱结合样本做分层扩充或加权训练, 改善极端值区间的预测能力。</w:t>
      </w:r>
    </w:p>
    <w:p>
      <w:pPr>
        <w:overflowPunct w:val="0"/>
        <w:spacing w:before="0" w:after="80" w:line="300" w:lineRule="auto"/>
        <w:ind w:left="540" w:hanging="270"/>
        <w:numPr>
          <w:ilvl w:val="0"/>
          <w:numId w:val="11"/>
        </w:numPr>
      </w:pPr>
      <w:r>
        <w:rPr>
          <w:rFonts w:ascii="Calibri" w:hAnsi="Calibri" w:cs="Calibri" w:eastAsia="微软雅黑"/>
          <w:color w:val="1F2933"/>
          <w:sz w:val="21"/>
        </w:rPr>
        <w:t>将回归模型扩展为“强/中/弱结合”的分类模型并给出适用域 (applicability domain) 判别, 以便直接服务于添加剂筛选流程。</w:t>
      </w:r>
    </w:p>
    <w:p>
      <w:pPr>
        <w:overflowPunct w:val="0"/>
        <w:spacing w:before="0" w:after="80" w:line="300" w:lineRule="auto"/>
        <w:ind w:left="540" w:hanging="270"/>
        <w:numPr>
          <w:ilvl w:val="0"/>
          <w:numId w:val="11"/>
        </w:numPr>
      </w:pPr>
      <w:r>
        <w:rPr>
          <w:rFonts w:ascii="Calibri" w:hAnsi="Calibri" w:cs="Calibri" w:eastAsia="微软雅黑"/>
          <w:color w:val="1F2933"/>
          <w:sz w:val="21"/>
        </w:rPr>
        <w:t>按结构重新计算全部描述符 (氢键供体/受体数、芳香环数、统一量纲的极化率), 修正 2-Bromostyrene 等错位行, 并在修正后的数据上重跑本报告的模型比较, 以区分“真实构效关系”与“列噪声”。</w:t>
      </w:r>
    </w:p>
    <w:p>
      <w:pPr>
        <w:overflowPunct w:val="0"/>
        <w:spacing w:before="0" w:after="80" w:line="300" w:lineRule="auto"/>
        <w:ind w:left="540" w:hanging="270"/>
        <w:numPr>
          <w:ilvl w:val="0"/>
          <w:numId w:val="11"/>
        </w:numPr>
      </w:pPr>
      <w:r>
        <w:rPr>
          <w:rFonts w:ascii="Calibri" w:hAnsi="Calibri" w:cs="Calibri" w:eastAsia="微软雅黑"/>
          <w:color w:val="1F2933"/>
          <w:sz w:val="21"/>
        </w:rPr>
        <w:t>对目标分子 2-Bromostyrene 及其改造结构 (引入 −OH / −COOH / 吡啶氮等)开展逐分子 DFT 结合能计算, 用真实数据检验本报告给出的 -219.3 kJ/mol 量级的预测。</w:t>
      </w:r>
    </w:p>
    <w:p>
      <w:pPr>
        <w:pStyle w:val="Heading1"/>
      </w:pPr>
      <w:r>
        <w:rPr>
          <w:rFonts w:ascii="Calibri" w:hAnsi="Calibri" w:cs="Calibri" w:eastAsia="微软雅黑"/>
          <w:b/>
          <w:color w:val="2E74B5"/>
          <w:sz w:val="30"/>
        </w:rPr>
        <w:t>6  结论</w:t>
      </w:r>
    </w:p>
    <w:p>
      <w:pPr>
        <w:overflowPunct w:val="0"/>
        <w:spacing w:before="0" w:after="120" w:line="300" w:lineRule="auto"/>
        <w:jc w:val="left"/>
      </w:pPr>
      <w:r>
        <w:rPr>
          <w:rFonts w:ascii="Calibri" w:hAnsi="Calibri" w:cs="Calibri" w:eastAsia="微软雅黑"/>
          <w:color w:val="1F2933"/>
          <w:sz w:val="21"/>
        </w:rPr>
        <w:t>本工作以 394 个聚合物单体的 14 个分子描述符为输入, 对与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的结合能开展了系统的多模型机器学习评估。5 折交叉验证与留一法交叉验证一致表明, 以决策树为基学习器的集成模型是当前特征体系下的最佳选择: 极端随机树 (ET) 取得 5 折 R² = 0.735 与 LOO Q² = 0.779, 平均绝对误差约 37.8 kJ/mol, 73.6% 的分子预测误差在 50 kJ/mol 以内。</w:t>
      </w:r>
    </w:p>
    <w:p>
      <w:pPr>
        <w:overflowPunct w:val="0"/>
        <w:spacing w:before="0" w:after="120" w:line="300" w:lineRule="auto"/>
        <w:jc w:val="left"/>
      </w:pPr>
      <w:r>
        <w:rPr>
          <w:rFonts w:ascii="Calibri" w:hAnsi="Calibri" w:cs="Calibri" w:eastAsia="微软雅黑"/>
          <w:color w:val="1F2933"/>
          <w:sz w:val="21"/>
        </w:rPr>
        <w:t>描述符重要性分析指出, 氢键受体数、拓扑极性表面积、油水分配系数与芳香环数是决定结合能的关键因素 (精确 Shapley 值排序的前四位), 而 HOMO / LUMO 能级及其派生量贡献有限; 置换重要性与 Shapley 值给出的排序 Spearman 秩相关系数为 +0.754, 说明这一结论不依赖具体的解释方法。结合显著的 Y-scrambling 检验结果, 可以认为在所给数据口径下, 该特征体系已提取到结合能的主要变化来源 (LOO Q² ≈ 0.779)。后续通过引入真实 DFT 数据、补充三维配位描述符并扩大样本规模, 有望将预测精度提升到可用于定量筛选的水平。</w:t>
      </w:r>
    </w:p>
    <w:p>
      <w:pPr>
        <w:overflowPunct w:val="0"/>
        <w:spacing w:before="0" w:after="120" w:line="300" w:lineRule="auto"/>
        <w:jc w:val="left"/>
      </w:pPr>
      <w:r>
        <w:rPr>
          <w:rFonts w:ascii="Calibri" w:hAnsi="Calibri" w:cs="Calibri" w:eastAsia="微软雅黑"/>
          <w:color w:val="1F2933"/>
          <w:sz w:val="21"/>
        </w:rPr>
        <w:t>针对指定目标分子 2-Bromostyrene, 工作簿结构估算 (-228.2 kJ/mol)、结构重建描述符的模型预测 (-219.3 kJ/mol) 与结构最近邻的参考值 (-223.6 ~ -212.9 kJ/mol) 三组独立结果一致, 因此可以给出较可靠的定位: 该分子属于疏水、弱配位型单体, 在本数据集 394 个单体中处于中偏弱结合水平 (58.1% 的单体结合更强)。它的结合能之所以偏弱, 是因为分子中不含氢键供体/受体等极性配位基团, 仅靠芳环 π、C=C π 与卤素弱配位参与 Zn</w:t>
      </w:r>
      <w:r>
        <w:rPr>
          <w:rFonts w:ascii="Calibri" w:hAnsi="Calibri" w:cs="Calibri" w:eastAsia="微软雅黑"/>
          <w:color w:val="1F2933"/>
          <w:sz w:val="21"/>
          <w:vertAlign w:val="superscript"/>
        </w:rPr>
        <w:t>2+</w:t>
      </w:r>
      <w:r>
        <w:rPr>
          <w:rFonts w:ascii="Calibri" w:hAnsi="Calibri" w:cs="Calibri" w:eastAsia="微软雅黑"/>
          <w:color w:val="1F2933"/>
          <w:sz w:val="21"/>
        </w:rPr>
        <w:t xml:space="preserve"> 作用 (Shapley 分解中 HBA 的贡献为 +30.6 kJ/mol)。若筛选目标是“结合能较低 (更负、结合更强) 的添加剂”, 该分子不占优势, 应优先考虑含羧酸根、磺酸根、磷酸根或含氮给体的结构; 若筛选目标是“弱结合、强疏水、以界面富集方式抑制穿梭效应”的辅助型添加剂, 则该分子的描述符特征与设计意图相符。</w:t>
      </w:r>
    </w:p>
    <w:p>
      <w:pPr>
        <w:pStyle w:val="Heading1"/>
      </w:pPr>
      <w:r>
        <w:rPr>
          <w:rFonts w:ascii="Calibri" w:hAnsi="Calibri" w:cs="Calibri" w:eastAsia="微软雅黑"/>
          <w:b/>
          <w:color w:val="2E74B5"/>
          <w:sz w:val="30"/>
        </w:rPr>
        <w:t>附录 A  全部模型的完整评估指标</w:t>
      </w:r>
    </w:p>
    <w:tbl>
      <w:tblPr>
        <w:tblStyle w:val="TableGrid"/>
        <w:tblW w:type="dxa" w:w="9360"/>
        <w:jc w:val="left"/>
        <w:tblLayout w:type="fixed"/>
        <w:tblLook w:firstColumn="1" w:firstRow="1" w:lastColumn="0" w:lastRow="0" w:noHBand="0" w:noVBand="1" w:val="04A0"/>
        <w:tblInd w:type="dxa" w:w="120"/>
      </w:tblPr>
      <w:tblGrid>
        <w:gridCol w:w="453"/>
        <w:gridCol w:w="2265"/>
        <w:gridCol w:w="835"/>
        <w:gridCol w:w="755"/>
        <w:gridCol w:w="876"/>
        <w:gridCol w:w="805"/>
        <w:gridCol w:w="835"/>
        <w:gridCol w:w="876"/>
        <w:gridCol w:w="805"/>
        <w:gridCol w:w="855"/>
      </w:tblGrid>
      <w:tr>
        <w:trPr>
          <w:cantSplit/>
          <w:tblHeader/>
        </w:trPr>
        <w:tc>
          <w:tcPr>
            <w:tcW w:type="dxa" w:w="453"/>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w:t>
            </w:r>
          </w:p>
        </w:tc>
        <w:tc>
          <w:tcPr>
            <w:tcW w:type="dxa" w:w="2265"/>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模型</w:t>
            </w:r>
          </w:p>
        </w:tc>
        <w:tc>
          <w:tcPr>
            <w:tcW w:type="dxa" w:w="835"/>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5折 R²</w:t>
            </w:r>
          </w:p>
        </w:tc>
        <w:tc>
          <w:tcPr>
            <w:tcW w:type="dxa" w:w="755"/>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折间SD</w:t>
            </w:r>
          </w:p>
        </w:tc>
        <w:tc>
          <w:tcPr>
            <w:tcW w:type="dxa" w:w="876"/>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5折 RMSE</w:t>
            </w:r>
          </w:p>
        </w:tc>
        <w:tc>
          <w:tcPr>
            <w:tcW w:type="dxa" w:w="805"/>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5折 MAE</w:t>
            </w:r>
          </w:p>
        </w:tc>
        <w:tc>
          <w:tcPr>
            <w:tcW w:type="dxa" w:w="835"/>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LOO Q²</w:t>
            </w:r>
          </w:p>
        </w:tc>
        <w:tc>
          <w:tcPr>
            <w:tcW w:type="dxa" w:w="876"/>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LOO RMSE</w:t>
            </w:r>
          </w:p>
        </w:tc>
        <w:tc>
          <w:tcPr>
            <w:tcW w:type="dxa" w:w="805"/>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LOO MAE</w:t>
            </w:r>
          </w:p>
        </w:tc>
        <w:tc>
          <w:tcPr>
            <w:tcW w:type="dxa" w:w="855"/>
            <w:vAlign w:val="center"/>
            <w:shd w:val="clear" w:color="auto" w:fill="E8EEF5"/>
            <w:tcMar>
              <w:top w:w="60" w:type="dxa"/>
              <w:bottom w:w="60" w:type="dxa"/>
              <w:start w:w="120" w:type="dxa"/>
              <w:end w:w="80" w:type="dxa"/>
            </w:tcMar>
          </w:tcPr>
          <w:p>
            <w:pPr>
              <w:spacing w:before="40" w:after="40" w:line="264" w:lineRule="auto"/>
              <w:jc w:val="center"/>
            </w:pPr>
            <w:r/>
            <w:r>
              <w:rPr>
                <w:rFonts w:ascii="Calibri" w:hAnsi="Calibri" w:cs="Calibri" w:eastAsia="微软雅黑"/>
                <w:b/>
                <w:color w:val="1F4D78"/>
                <w:sz w:val="15"/>
              </w:rPr>
              <w:t>训练 R²</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极端随机树 (ET)</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0.735</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±0.109</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67.9</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43.4</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0.779</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62.0</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37.8</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0.998</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2</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XGBoost</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0.691</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±0.144</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73.4</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49.4</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0.742</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67.0</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45.3</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0.979</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3</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随机森林 (RF)</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0.686</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±0.091</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73.9</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52.3</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0.740</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67.2</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47.6</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0.963</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4</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梯度提升 (GBR)</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0.633</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±0.191</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79.9</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57.1</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0.696</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72.8</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54.6</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0.903</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5</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高斯过程回归 (GPR)</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0.605</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±0.088</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83.0</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52.2</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0.652</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77.9</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46.2</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0.949</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6</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KNN (k=5)</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0.574</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±0.241</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86.2</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54.8</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0.664</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76.5</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47.4</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0.998</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7</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LightGBM</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0.570</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±0.080</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86.6</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56.9</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0.666</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76.3</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49.7</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0.927</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8</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直方图梯度提升 (HGB)</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0.570</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±0.062</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86.6</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56.6</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0.649</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78.2</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50.8</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0.891</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9</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AdaBoost</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0.533</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±0.241</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90.2</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70.3</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0.571</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86.4</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69.3</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0.655</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10</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决策树</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0.437</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±0.408</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99.0</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65.6</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0.541</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89.4</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60.0</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0.849</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11</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ElasticNet</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0.396</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±0.150</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102.6</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76.1</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0.396</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102.5</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75.9</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0.436</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12</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偏最小二乘回归 (PLS)</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0.398</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±0.158</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102.4</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75.5</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0.393</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102.8</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75.8</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0.441</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13</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Lasso 回归</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0.363</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±0.156</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105.3</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76.2</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0.389</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103.2</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75.4</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0.450</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14</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Ridge 回归</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0.363</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±0.155</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105.3</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76.8</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0.363</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105.3</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76.5</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0.445</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15</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SVR (RBF)</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0.189</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±0.049</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118.8</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79.2</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0.204</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117.7</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78.2</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0.244</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16</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Huber 稳健回归</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0.095</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±0.678</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125.5</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76.7</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0.284</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111.6</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75.0</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0.438</w:t>
            </w:r>
          </w:p>
        </w:tc>
      </w:tr>
      <w:tr>
        <w:trPr>
          <w:cantSplit/>
        </w:trPr>
        <w:tc>
          <w:tcPr>
            <w:tcW w:type="dxa" w:w="453"/>
            <w:vAlign w:val="center"/>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17</w:t>
            </w:r>
          </w:p>
        </w:tc>
        <w:tc>
          <w:tcPr>
            <w:tcW w:type="dxa" w:w="226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多层感知机 (MLP)</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0.243</w:t>
            </w:r>
          </w:p>
        </w:tc>
        <w:tc>
          <w:tcPr>
            <w:tcW w:type="dxa" w:w="7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±0.430</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114.8</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78.9</w:t>
            </w:r>
          </w:p>
        </w:tc>
        <w:tc>
          <w:tcPr>
            <w:tcW w:type="dxa" w:w="83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-0.101</w:t>
            </w:r>
          </w:p>
        </w:tc>
        <w:tc>
          <w:tcPr>
            <w:tcW w:type="dxa" w:w="876"/>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138.4</w:t>
            </w:r>
          </w:p>
        </w:tc>
        <w:tc>
          <w:tcPr>
            <w:tcW w:type="dxa" w:w="80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101.7</w:t>
            </w:r>
          </w:p>
        </w:tc>
        <w:tc>
          <w:tcPr>
            <w:tcW w:type="dxa" w:w="855"/>
            <w:vAlign w:val="center"/>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0.673</w:t>
            </w:r>
          </w:p>
        </w:tc>
      </w:tr>
      <w:tr>
        <w:trPr>
          <w:cantSplit/>
        </w:trPr>
        <w:tc>
          <w:tcPr>
            <w:tcW w:type="dxa" w:w="453"/>
            <w:vAlign w:val="center"/>
            <w:shd w:val="clear" w:color="auto" w:fill="F5F8FB"/>
            <w:tcMar>
              <w:top w:w="60" w:type="dxa"/>
              <w:bottom w:w="60" w:type="dxa"/>
              <w:start w:w="120" w:type="dxa"/>
              <w:end w:w="80" w:type="dxa"/>
            </w:tcMar>
          </w:tcPr>
          <w:p>
            <w:pPr>
              <w:spacing w:before="40" w:after="40" w:line="264" w:lineRule="auto"/>
            </w:pPr>
            <w:r/>
            <w:r>
              <w:rPr>
                <w:rFonts w:ascii="Calibri" w:hAnsi="Calibri" w:cs="Calibri" w:eastAsia="微软雅黑"/>
                <w:b/>
                <w:color w:val="1F2933"/>
                <w:sz w:val="15"/>
              </w:rPr>
              <w:t>18</w:t>
            </w:r>
          </w:p>
        </w:tc>
        <w:tc>
          <w:tcPr>
            <w:tcW w:type="dxa" w:w="226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SVR (Poly-3)</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-1.814</w:t>
            </w:r>
          </w:p>
        </w:tc>
        <w:tc>
          <w:tcPr>
            <w:tcW w:type="dxa" w:w="7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±4.150</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221.4</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94.6</w:t>
            </w:r>
          </w:p>
        </w:tc>
        <w:tc>
          <w:tcPr>
            <w:tcW w:type="dxa" w:w="83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-1.732</w:t>
            </w:r>
          </w:p>
        </w:tc>
        <w:tc>
          <w:tcPr>
            <w:tcW w:type="dxa" w:w="876"/>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218.1</w:t>
            </w:r>
          </w:p>
        </w:tc>
        <w:tc>
          <w:tcPr>
            <w:tcW w:type="dxa" w:w="80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93.5</w:t>
            </w:r>
          </w:p>
        </w:tc>
        <w:tc>
          <w:tcPr>
            <w:tcW w:type="dxa" w:w="855"/>
            <w:vAlign w:val="center"/>
            <w:shd w:val="clear" w:color="auto" w:fill="F5F8FB"/>
            <w:tcMar>
              <w:top w:w="60" w:type="dxa"/>
              <w:bottom w:w="60" w:type="dxa"/>
              <w:start w:w="120" w:type="dxa"/>
              <w:end w:w="80" w:type="dxa"/>
            </w:tcMar>
          </w:tcPr>
          <w:p>
            <w:pPr>
              <w:spacing w:before="40" w:after="40" w:line="264" w:lineRule="auto"/>
              <w:jc w:val="center"/>
            </w:pPr>
            <w:r/>
            <w:r>
              <w:rPr>
                <w:rFonts w:ascii="Calibri" w:hAnsi="Calibri" w:cs="Calibri" w:eastAsia="微软雅黑"/>
                <w:b w:val="0"/>
                <w:color w:val="1F2933"/>
                <w:sz w:val="15"/>
              </w:rPr>
              <w:t>0.318</w:t>
            </w:r>
          </w:p>
        </w:tc>
      </w:tr>
    </w:tbl>
    <w:p>
      <w:pPr>
        <w:spacing w:before="40" w:after="200" w:line="276" w:lineRule="auto"/>
      </w:pPr>
      <w:r>
        <w:rPr>
          <w:rFonts w:ascii="Calibri" w:hAnsi="Calibri" w:cs="Calibri" w:eastAsia="微软雅黑"/>
          <w:color w:val="5A6672"/>
          <w:sz w:val="17"/>
        </w:rPr>
        <w:t>表 A1  18 种模型在 5 折交叉验证与留一法交叉验证下的完整性能指标 (误差单位: kJ/mol)。训练 R² 为模型在全数据上拟合后的表现, 用于评估过拟合程度。</w:t>
      </w:r>
    </w:p>
    <w:p>
      <w:pPr>
        <w:pStyle w:val="Heading1"/>
      </w:pPr>
      <w:r>
        <w:rPr>
          <w:rFonts w:ascii="Calibri" w:hAnsi="Calibri" w:cs="Calibri" w:eastAsia="微软雅黑"/>
          <w:b/>
          <w:color w:val="2E74B5"/>
          <w:sz w:val="30"/>
        </w:rPr>
        <w:t>附录 B  计算流程与可复现性</w:t>
      </w:r>
    </w:p>
    <w:p>
      <w:pPr>
        <w:overflowPunct w:val="0"/>
        <w:spacing w:before="0" w:after="80" w:line="300" w:lineRule="auto"/>
        <w:jc w:val="left"/>
      </w:pPr>
      <w:r>
        <w:rPr>
          <w:rFonts w:ascii="Calibri" w:hAnsi="Calibri" w:cs="Calibri" w:eastAsia="微软雅黑"/>
          <w:color w:val="1F2933"/>
          <w:sz w:val="21"/>
        </w:rPr>
        <w:t>全部计算在 Python 3.13 + scikit-learn 1.9 + XGBoost / LightGBM 环境下完成, 随机种子统一固定为 42。主要步骤与对应脚本如下:</w:t>
      </w:r>
    </w:p>
    <w:p>
      <w:pPr>
        <w:overflowPunct w:val="0"/>
        <w:spacing w:before="0" w:after="80" w:line="300" w:lineRule="auto"/>
        <w:ind w:left="540" w:hanging="270"/>
        <w:numPr>
          <w:ilvl w:val="0"/>
          <w:numId w:val="10"/>
        </w:numPr>
      </w:pPr>
      <w:r>
        <w:rPr>
          <w:rFonts w:ascii="Calibri" w:hAnsi="Calibri" w:cs="Calibri" w:eastAsia="微软雅黑"/>
          <w:color w:val="1F2933"/>
          <w:sz w:val="21"/>
        </w:rPr>
        <w:t>数据读取与合并、描述符构造、5 折交叉验证、留一法交叉验证、特征重要性与 Y-scrambling 检验 —— run_ml.py</w:t>
      </w:r>
    </w:p>
    <w:p>
      <w:pPr>
        <w:overflowPunct w:val="0"/>
        <w:spacing w:before="0" w:after="80" w:line="300" w:lineRule="auto"/>
        <w:ind w:left="540" w:hanging="270"/>
        <w:numPr>
          <w:ilvl w:val="0"/>
          <w:numId w:val="10"/>
        </w:numPr>
      </w:pPr>
      <w:r>
        <w:rPr>
          <w:rFonts w:ascii="Calibri" w:hAnsi="Calibri" w:cs="Calibri" w:eastAsia="微软雅黑"/>
          <w:color w:val="1F2933"/>
          <w:sz w:val="21"/>
        </w:rPr>
        <w:t>描述符表数据质量核查 (以 SMILES 结构重建值为参照) —— run_quality.py</w:t>
      </w:r>
    </w:p>
    <w:p>
      <w:pPr>
        <w:overflowPunct w:val="0"/>
        <w:spacing w:before="0" w:after="80" w:line="300" w:lineRule="auto"/>
        <w:ind w:left="540" w:hanging="270"/>
        <w:numPr>
          <w:ilvl w:val="0"/>
          <w:numId w:val="10"/>
        </w:numPr>
      </w:pPr>
      <w:r>
        <w:rPr>
          <w:rFonts w:ascii="Calibri" w:hAnsi="Calibri" w:cs="Calibri" w:eastAsia="微软雅黑"/>
          <w:color w:val="1F2933"/>
          <w:sz w:val="21"/>
        </w:rPr>
        <w:t>目标分子核验与精确 Shapley 值 (KernelSHAP, 2</w:t>
      </w:r>
      <w:r>
        <w:rPr>
          <w:rFonts w:ascii="Calibri" w:hAnsi="Calibri" w:cs="Calibri" w:eastAsia="微软雅黑"/>
          <w:color w:val="1F2933"/>
          <w:sz w:val="21"/>
          <w:vertAlign w:val="superscript"/>
        </w:rPr>
        <w:t>14</w:t>
      </w:r>
      <w:r>
        <w:rPr>
          <w:rFonts w:ascii="Calibri" w:hAnsi="Calibri" w:cs="Calibri" w:eastAsia="微软雅黑"/>
          <w:color w:val="1F2933"/>
          <w:sz w:val="21"/>
        </w:rPr>
        <w:t xml:space="preserve"> 子集枚举) —— run_target.py</w:t>
      </w:r>
    </w:p>
    <w:p>
      <w:pPr>
        <w:overflowPunct w:val="0"/>
        <w:spacing w:before="0" w:after="80" w:line="300" w:lineRule="auto"/>
        <w:ind w:left="540" w:hanging="270"/>
        <w:numPr>
          <w:ilvl w:val="0"/>
          <w:numId w:val="10"/>
        </w:numPr>
      </w:pPr>
      <w:r>
        <w:rPr>
          <w:rFonts w:ascii="Calibri" w:hAnsi="Calibri" w:cs="Calibri" w:eastAsia="微软雅黑"/>
          <w:color w:val="1F2933"/>
          <w:sz w:val="21"/>
        </w:rPr>
        <w:t>相关性矩阵、数据质量、流程图、模型对比、预测精度、描述符拟合、重要性、Shapley、稳健性、学习曲线与目标分子定位图表 —— make_figures.py</w:t>
      </w:r>
    </w:p>
    <w:p>
      <w:pPr>
        <w:overflowPunct w:val="0"/>
        <w:spacing w:before="0" w:after="80" w:line="300" w:lineRule="auto"/>
        <w:ind w:left="540" w:hanging="270"/>
        <w:numPr>
          <w:ilvl w:val="0"/>
          <w:numId w:val="10"/>
        </w:numPr>
      </w:pPr>
      <w:r>
        <w:rPr>
          <w:rFonts w:ascii="Calibri" w:hAnsi="Calibri" w:cs="Calibri" w:eastAsia="微软雅黑"/>
          <w:color w:val="1F2933"/>
          <w:sz w:val="21"/>
        </w:rPr>
        <w:t>报告排版与数据驱动撰写 —— build_report.py</w:t>
      </w:r>
    </w:p>
    <w:p>
      <w:pPr>
        <w:overflowPunct w:val="0"/>
        <w:spacing w:before="0" w:after="80" w:line="300" w:lineRule="auto"/>
        <w:jc w:val="left"/>
      </w:pPr>
      <w:r>
        <w:rPr>
          <w:rFonts w:ascii="Calibri" w:hAnsi="Calibri" w:cs="Calibri" w:eastAsia="微软雅黑"/>
          <w:color w:val="1F2933"/>
          <w:sz w:val="21"/>
        </w:rPr>
        <w:t>中间结果 (合并数据表、模型指标 CSV、逐分子 LOO 预测值与图表 PNG) 均已落盘于 work 文件夹, 重跑上述脚本即可复现本报告全部数值与图形。</w:t>
      </w:r>
    </w:p>
    <w:p>
      <w:pPr>
        <w:overflowPunct w:val="0"/>
        <w:spacing w:before="0" w:after="120" w:line="300" w:lineRule="auto"/>
        <w:jc w:val="left"/>
      </w:pPr>
      <w:r>
        <w:rPr>
          <w:rFonts w:ascii="Calibri" w:hAnsi="Calibri" w:cs="Calibri" w:eastAsia="微软雅黑"/>
          <w:color w:val="1F2933"/>
          <w:sz w:val="21"/>
        </w:rPr>
        <w:t>数据来源说明: 描述符、分子信息与目标列“与锌离子的结合能”均取自 聚合物单体计算21.xlsx (394 行, 无缺失值), 目标列由工作簿的配位基团加和模型估算, 并已与完整计算版本逐行核对一致。</w:t>
      </w:r>
    </w:p>
    <w:p>
      <w:pPr>
        <w:overflowPunct w:val="0"/>
        <w:spacing w:before="0" w:after="120" w:line="300" w:lineRule="auto"/>
        <w:jc w:val="left"/>
      </w:pPr>
      <w:r>
        <w:rPr>
          <w:rFonts w:ascii="Calibri" w:hAnsi="Calibri" w:cs="Calibri" w:eastAsia="微软雅黑"/>
          <w:color w:val="1F2933"/>
          <w:sz w:val="21"/>
        </w:rPr>
        <w:t>图表设计参照: 本报告的分析图版式参照 Han 等, Adv. Mater. 2025, 37, e11814 (Data-Driven Additive Discovery with HOMO-Descriptor …) 一文的机器学习图 (图 1) 各面板组织: 面板 b (描述符-性能拟合) → 图 6, 面板 c (流程示意) → 图 3, 面板 d (预测值 vs 参考值) → 图 5, 面板 e (分子按预测值排序) → 图 11a, 面板 f (Pearson 相关矩阵) → 图 1, 面板 g (SHAP 重要性) → 图 8; 另按本数据集需要补充了模型横向对比、稳健性检验、学习曲线与数据质量核查等图表。</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微软雅黑"/>
        <w:color w:val="5A6672"/>
        <w:sz w:val="17"/>
      </w:rPr>
      <w:t xml:space="preserve">第 </w:t>
    </w:r>
    <w:r>
      <w:rPr>
        <w:rFonts w:ascii="Calibri" w:hAnsi="Calibri" w:cs="Calibri" w:eastAsia="微软雅黑"/>
        <w:color w:val="5A6672"/>
        <w:sz w:val="17"/>
      </w:rPr>
      <w:fldChar w:fldCharType="begin"/>
      <w:instrText xml:space="preserve">PAGE</w:instrText>
      <w:fldChar w:fldCharType="separate"/>
    </w:r>
    <w:r>
      <w:rPr>
        <w:rFonts w:ascii="Calibri" w:hAnsi="Calibri" w:cs="Calibri" w:eastAsia="微软雅黑"/>
        <w:color w:val="5A6672"/>
        <w:sz w:val="17"/>
      </w:rPr>
      <w:t>1</w:t>
    </w:r>
    <w:r>
      <w:rPr>
        <w:rFonts w:ascii="Calibri" w:hAnsi="Calibri" w:cs="Calibri" w:eastAsia="微软雅黑"/>
        <w:color w:val="5A6672"/>
        <w:sz w:val="17"/>
      </w:rPr>
      <w:fldChar w:fldCharType="end"/>
    </w:r>
    <w:r>
      <w:rPr>
        <w:rFonts w:ascii="Calibri" w:hAnsi="Calibri" w:cs="Calibri" w:eastAsia="微软雅黑"/>
        <w:color w:val="5A6672"/>
        <w:sz w:val="17"/>
      </w:rPr>
      <w:t xml:space="preserve"> 页 / 共 </w:t>
    </w:r>
    <w:r>
      <w:rPr>
        <w:rFonts w:ascii="Calibri" w:hAnsi="Calibri" w:cs="Calibri" w:eastAsia="微软雅黑"/>
        <w:color w:val="5A6672"/>
        <w:sz w:val="17"/>
      </w:rPr>
      <w:fldChar w:fldCharType="begin"/>
      <w:instrText xml:space="preserve">NUMPAGES</w:instrText>
      <w:fldChar w:fldCharType="separate"/>
    </w:r>
    <w:r>
      <w:rPr>
        <w:rFonts w:ascii="Calibri" w:hAnsi="Calibri" w:cs="Calibri" w:eastAsia="微软雅黑"/>
        <w:color w:val="5A6672"/>
        <w:sz w:val="17"/>
      </w:rPr>
      <w:t>1</w:t>
    </w:r>
    <w:r>
      <w:rPr>
        <w:rFonts w:ascii="Calibri" w:hAnsi="Calibri" w:cs="Calibri" w:eastAsia="微软雅黑"/>
        <w:color w:val="5A6672"/>
        <w:sz w:val="17"/>
      </w:rPr>
      <w:fldChar w:fldCharType="end"/>
    </w:r>
    <w:r>
      <w:rPr>
        <w:rFonts w:ascii="Calibri" w:hAnsi="Calibri" w:cs="Calibri" w:eastAsia="微软雅黑"/>
        <w:color w:val="5A6672"/>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C6D4E4"/>
      </w:pBdr>
    </w:pPr>
    <w:r>
      <w:rPr>
        <w:rFonts w:ascii="Calibri" w:hAnsi="Calibri" w:cs="Calibri" w:eastAsia="微软雅黑"/>
        <w:color w:val="5A6672"/>
        <w:sz w:val="17"/>
      </w:rPr>
      <w:t>聚合物单体结合能机器学习建模  |  模型性能分析报告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ind w:left="540" w:hanging="270"/>
        <w:spacing w:before="0" w:after="80" w:line="300" w:lineRule="auto"/>
      </w:pPr>
      <w:rPr>
        <w:rFonts w:ascii="微软雅黑" w:hAnsi="微软雅黑" w:eastAsia="微软雅黑"/>
      </w:rPr>
    </w:lvl>
  </w:abstractNum>
  <w:abstractNum w:abstractNumId="10">
    <w:multiLevelType w:val="singleLevel"/>
    <w:lvl w:ilvl="0">
      <w:start w:val="1"/>
      <w:numFmt w:val="decimal"/>
      <w:lvlText w:val="%1."/>
      <w:lvlJc w:val="left"/>
      <w:pPr>
        <w:ind w:left="540" w:hanging="270"/>
        <w:spacing w:before="0" w:after="80" w:line="300" w:lineRule="auto"/>
      </w:pPr>
      <w:rPr>
        <w:rFonts w:ascii="微软雅黑" w:hAnsi="微软雅黑" w:eastAsia="微软雅黑"/>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overflowPunct w:val="0"/>
  <w:topLinePunct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s="Calibri" w:eastAsia="微软雅黑"/>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cs="Calibri" w:eastAsia="微软雅黑"/>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libri" w:hAnsi="Calibri" w:cs="Calibri" w:eastAsia="微软雅黑"/>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cs="Calibri" w:eastAsia="微软雅黑"/>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