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32"/>
          <w:szCs w:val="32"/>
        </w:rPr>
        <w:t xml:space="preserve">URAB-AI · Legal Strategy Lab 2026</w:t>
      </w:r>
    </w:p>
    <w:p>
      <w:pPr>
        <w:spacing w:after="80"/>
      </w:pPr>
      <w:r>
        <w:rPr>
          <w:rFonts w:ascii="Arial" w:cs="Arial" w:eastAsia="Arial" w:hAnsi="Arial"/>
          <w:color w:val="555555"/>
          <w:sz w:val="26"/>
          <w:szCs w:val="26"/>
        </w:rPr>
        <w:t xml:space="preserve">Ajustes Sprint A — Secciones de Gobernanza, Costos y Módulos</w:t>
      </w:r>
    </w:p>
    <w:p>
      <w:pPr>
        <w:spacing w:after="80"/>
      </w:pPr>
      <w:r>
        <w:rPr>
          <w:rFonts w:ascii="Arial" w:cs="Arial" w:eastAsia="Arial" w:hAnsi="Arial"/>
          <w:color w:val="888888"/>
          <w:sz w:val="22"/>
          <w:szCs w:val="22"/>
        </w:rPr>
        <w:t xml:space="preserve">Incorporación de comentarios · Revisión Laura</w:t>
      </w:r>
    </w:p>
    <w:p>
      <w:pPr>
        <w:spacing w:after="80"/>
      </w:pPr>
      <w:r>
        <w:rPr>
          <w:rFonts w:ascii="Arial" w:cs="Arial" w:eastAsia="Arial" w:hAnsi="Arial"/>
          <w:i/>
          <w:iCs/>
          <w:color w:val="888888"/>
          <w:sz w:val="20"/>
          <w:szCs w:val="20"/>
        </w:rPr>
        <w:t xml:space="preserve">Estado: Sprint A completado — listo para integrar a propuesta principal</w:t>
      </w:r>
    </w:p>
    <w:p>
      <w:pPr>
        <w:pBdr>
          <w:bottom w:val="single" w:color="2E75B6" w:sz="6" w:space="1"/>
        </w:pBd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A1 · </w:t>
            </w:r>
            <w:r>
              <w:rPr>
                <w:rFonts w:ascii="Arial" w:cs="Arial" w:eastAsia="Arial" w:hAnsi="Arial"/>
                <w:b/>
                <w:bCs/>
                <w:color w:val="FFFFFF"/>
                <w:sz w:val="24"/>
                <w:szCs w:val="24"/>
              </w:rPr>
              <w:t xml:space="preserve">Inventario de Algoritmos — Fichas M2 y M4 (Directiva 007/2025)</w:t>
            </w:r>
          </w:p>
          <w:p>
            <w:pPr>
              <w:spacing w:after="0"/>
            </w:pPr>
            <w:r>
              <w:rPr>
                <w:rFonts w:ascii="Arial" w:cs="Arial" w:eastAsia="Arial" w:hAnsi="Arial"/>
                <w:color w:val="D9D9D9"/>
                <w:sz w:val="18"/>
                <w:szCs w:val="18"/>
              </w:rPr>
              <w:t xml:space="preserve">Referencia RFP: §5.1 RFP · Directiva 007 · CONPES 4144 Eje 6</w:t>
            </w:r>
          </w:p>
        </w:tc>
      </w:tr>
    </w:tbl>
    <w:p>
      <w:pPr>
        <w:spacing w:after="120"/>
      </w:pPr>
      <w:r>
        <w:t xml:space="preserve"/>
      </w:r>
    </w:p>
    <w:p>
      <w:pPr>
        <w:pStyle w:val="Heading2"/>
      </w:pPr>
      <w:r>
        <w:rPr>
          <w:rFonts w:ascii="Arial" w:cs="Arial" w:eastAsia="Arial" w:hAnsi="Arial"/>
          <w:b/>
          <w:bCs/>
          <w:color w:val="2E75B6"/>
          <w:sz w:val="24"/>
          <w:szCs w:val="24"/>
        </w:rPr>
        <w:t xml:space="preserve">Contexto normativo</w:t>
      </w:r>
    </w:p>
    <w:p>
      <w:pPr>
        <w:spacing w:after="120"/>
        <w:jc w:val="both"/>
      </w:pPr>
      <w:r>
        <w:rPr>
          <w:rFonts w:ascii="Arial" w:cs="Arial" w:eastAsia="Arial" w:hAnsi="Arial"/>
          <w:sz w:val="22"/>
          <w:szCs w:val="22"/>
        </w:rPr>
        <w:t xml:space="preserve">La Directiva Conjunta 007 de 2025 clasifica los módulos M2 (Clasificación y triage) y M4 (Anti-duplicidad) como Sistemas de Toma de Decisiones Automatizadas (SDA), en tanto condicionan el orden de atención y la conexidad de expedientes de peticionarios. Esta clasificación activa la obligación de publicar un inventario de algoritmos antes del go-live del sistema, en el portal de transparencia de la Defensoría del Pueblo, con los campos que se detallan a continuación.</w:t>
      </w:r>
    </w:p>
    <w:p>
      <w:pPr>
        <w:spacing w:after="120"/>
      </w:pPr>
      <w:r>
        <w:t xml:space="preserve"/>
      </w:r>
    </w:p>
    <w:p>
      <w:pPr>
        <w:pStyle w:val="Heading3"/>
      </w:pPr>
      <w:r>
        <w:rPr>
          <w:rFonts w:ascii="Arial" w:cs="Arial" w:eastAsia="Arial" w:hAnsi="Arial"/>
          <w:b/>
          <w:bCs/>
          <w:color w:val="404040"/>
          <w:sz w:val="22"/>
          <w:szCs w:val="22"/>
        </w:rPr>
        <w:t xml:space="preserve">Ficha 1 — Módulo M2: Clasificador de urgencia y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Campo</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sz w:val="20"/>
                <w:szCs w:val="20"/>
              </w:rPr>
              <w:t xml:space="preserve">Contenido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Nombre funcional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URAB-AI · Módulo M2 · Clasificador de urgencia y triage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Objetivo institucional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Analizar automáticamente el texto de cada petición ciudadana para sugerir su nivel de urgencia (crítica, alta, media, baja) y su categoría temática (salud, desaparición, VBG, NNA, conflicto armado, otros), con el fin de priorizar la atención de casos que involucren riesgo inminente para la vida o integridad.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Datos que ingiere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Texto narrativo de la petición; metadatos de canal (web, correo, presencial, terreno); indicadores de sujeto de especial protección (NNA, discapacidad, VBG, etnia, migrante) capturados en M1; histórico de tiempos de radicados similares.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Lógica en lenguaje ciudadano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sistema lee la descripción de su caso y compara su contenido con patrones de urgencia definidos por la Defensoría. Si detecta palabras o situaciones asociadas a amenaza vital, desaparición, niñez en riesgo o violencia, lo marca como caso de atención prioritaria y activa una alerta para que un funcionario lo revise de inmediato. La clasificación final siempre la confirma o corrige un profesional humano.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Proveedor / modelo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Anthropic · Claude Sonnet 4.6 (API) — sin entrenamiento sobre datos de la Defensoría; inferencia vía prompts estructurados con RAG institucional.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Estado de desarrollo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Prototipo funcional (Fase 2). Validación en piloto URAB prevista durante 90 días antes del go-live. Meta: precisión ≥ 88% validada por muestra de 500 casos revisados por experto.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Canal de impugnación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ciudadano puede solicitar revisión de la clasificación asignada a su caso mediante derecho de petición dirigido al profesional designado. La respuesta se emite en ≤ 5 días hábiles conforme al Art. 29 de la Constitución Política.</w:t>
            </w:r>
          </w:p>
        </w:tc>
      </w:tr>
    </w:tbl>
    <w:p>
      <w:pPr>
        <w:spacing w:after="120"/>
      </w:pPr>
      <w:r>
        <w:t xml:space="preserve"/>
      </w:r>
    </w:p>
    <w:p>
      <w:pPr>
        <w:pStyle w:val="Heading3"/>
      </w:pPr>
      <w:r>
        <w:rPr>
          <w:rFonts w:ascii="Arial" w:cs="Arial" w:eastAsia="Arial" w:hAnsi="Arial"/>
          <w:b/>
          <w:bCs/>
          <w:color w:val="404040"/>
          <w:sz w:val="22"/>
          <w:szCs w:val="22"/>
        </w:rPr>
        <w:t xml:space="preserve">Ficha 2 — Módulo M4: Detector de duplicados (anti-duplicidad)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Campo</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sz w:val="20"/>
                <w:szCs w:val="20"/>
              </w:rPr>
              <w:t xml:space="preserve">Contenido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Nombre funcional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URAB-AI · Módulo M4 · Detector de duplicados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Objetivo institucional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Identificar si una petición entrante es sustancialmente similar a otra ya radicada por el mismo ciudadano o sobre los mismos hechos, para sugerir la acumulación de expedientes y evitar investigaciones paralelas sobre una misma situación.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Datos que ingiere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Representación vectorial (embedding) del texto narrativo de la petición nueva y de los radicados existentes en el repositorio URAB-AI; número de identificación del peticionario; fechas de radicación; entidad denunciada.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Lógica en lenguaje ciudadano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sistema convierte el texto de su petición en una representación matemática y la compara con las peticiones ya registradas. Si encuentra una coincidencia superior al 85% de similitud con otro radicado —especialmente si es del mismo ciudadano y sobre la misma entidad— le sugiere al funcionario que los casos podrían referirse a la misma situación. El funcionario decide si acumularlos o tramitarlos por separado.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Proveedor / modelo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Embeddings: Claude API (Anthropic). Almacenamiento y búsqueda vectorial: pgvector (PostgreSQL). Umbral de similitud configurable por la Defensoría (valor inicial: 85%).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Estado de desarrollo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Prototipo funcional (Fase 2). Meta piloto: recall ≥ 85% sobre conjunto de 200 pares conocidos; falsos positivos ≤ 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Canal de impugnación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funcionario responsable del caso puede rechazar la sugerencia de acumulación con justificación registrada en la bitácora. La decisión de acumular es siempre humana; M4 solo sugiere.</w:t>
            </w:r>
          </w:p>
        </w:tc>
      </w:tr>
    </w:tbl>
    <w:p>
      <w:pPr>
        <w:spacing w:after="120"/>
      </w:pPr>
      <w:r>
        <w:t xml:space="preserve"/>
      </w:r>
    </w:p>
    <w:p>
      <w:pPr>
        <w:pBdr>
          <w:left w:val="single" w:color="2E75B6" w:sz="12" w:space="8"/>
        </w:pBdr>
        <w:spacing w:after="120"/>
        <w:ind w:left="400"/>
      </w:pPr>
      <w:r>
        <w:rPr>
          <w:rFonts w:ascii="Arial" w:cs="Arial" w:eastAsia="Arial" w:hAnsi="Arial"/>
          <w:i/>
          <w:iCs/>
          <w:color w:val="404040"/>
          <w:sz w:val="20"/>
          <w:szCs w:val="20"/>
        </w:rPr>
        <w:t xml:space="preserve">Nota de publicación: Estas fichas se publicarán en el portal de transparencia de la Defensoría del Pueblo antes del go-live del sistema, en cumplimiento del plazo máximo de 6 meses establecido por la Directiva Conjunta 007/2025. La Defensoría designará un punto de contacto ciudadano para solicitudes de información sobre el funcionamiento de los algoritmos.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A2 · </w:t>
            </w:r>
            <w:r>
              <w:rPr>
                <w:rFonts w:ascii="Arial" w:cs="Arial" w:eastAsia="Arial" w:hAnsi="Arial"/>
                <w:b/>
                <w:bCs/>
                <w:color w:val="FFFFFF"/>
                <w:sz w:val="24"/>
                <w:szCs w:val="24"/>
              </w:rPr>
              <w:t xml:space="preserve">Justificación de la Tasa Horaria — Trazabilidad del Modelo de ROI</w:t>
            </w:r>
          </w:p>
          <w:p>
            <w:pPr>
              <w:spacing w:after="0"/>
            </w:pPr>
            <w:r>
              <w:rPr>
                <w:rFonts w:ascii="Arial" w:cs="Arial" w:eastAsia="Arial" w:hAnsi="Arial"/>
                <w:color w:val="D9D9D9"/>
                <w:sz w:val="18"/>
                <w:szCs w:val="18"/>
              </w:rPr>
              <w:t xml:space="preserve">Referencia RFP: §7 RFP · Consistencia y trazabilidad del modelo financiero</w:t>
            </w:r>
          </w:p>
        </w:tc>
      </w:tr>
    </w:tbl>
    <w:p>
      <w:pPr>
        <w:spacing w:after="120"/>
      </w:pPr>
      <w:r>
        <w:t xml:space="preserve"/>
      </w:r>
    </w:p>
    <w:p>
      <w:pPr>
        <w:pStyle w:val="Heading2"/>
      </w:pPr>
      <w:r>
        <w:rPr>
          <w:rFonts w:ascii="Arial" w:cs="Arial" w:eastAsia="Arial" w:hAnsi="Arial"/>
          <w:b/>
          <w:bCs/>
          <w:color w:val="2E75B6"/>
          <w:sz w:val="24"/>
          <w:szCs w:val="24"/>
        </w:rPr>
        <w:t xml:space="preserve">Desagregación del costo horario — Profesional de atención URAB</w:t>
      </w:r>
    </w:p>
    <w:p>
      <w:pPr>
        <w:spacing w:after="120"/>
        <w:jc w:val="both"/>
      </w:pPr>
      <w:r>
        <w:rPr>
          <w:rFonts w:ascii="Arial" w:cs="Arial" w:eastAsia="Arial" w:hAnsi="Arial"/>
          <w:sz w:val="22"/>
          <w:szCs w:val="22"/>
        </w:rPr>
        <w:t xml:space="preserve">El argumento de ahorro de 13.320 horas/año liberadas por la eliminación del doble registro descansa en la valoración del costo de esas horas. A continuación se desagrega la cifra para garantizar la consistencia y trazabilidad exigidas por el RFP §7.</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mensual</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 / supuesto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Salario base profesional URAB (grado 11–13 Defensoría)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$2.800.000</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 salarial Defensoría / MinHacienda 2025</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Carga prestacional legal (seguridad social + parafiscales + prima + vacaciones + cesantías ≈ 52%)</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sz w:val="20"/>
                <w:szCs w:val="20"/>
              </w:rPr>
              <w:t xml:space="preserve">$1.456.000</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Liquidación estándar Colombia · Ley 100/1993</w:t>
            </w:r>
          </w:p>
        </w:tc>
      </w:tr>
      <w:tr>
        <w:tc>
          <w:tcPr>
            <w:tcW w:type="dxa" w:w="4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Costo empresa total / mes</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rPr>
                <w:rFonts w:ascii="Arial" w:cs="Arial" w:eastAsia="Arial" w:hAnsi="Arial"/>
                <w:b/>
                <w:bCs/>
                <w:sz w:val="20"/>
                <w:szCs w:val="20"/>
              </w:rPr>
              <w:t xml:space="preserve">$4.256.000</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 xml:space="preserve">Suma de componentes anteriores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Horas laborales efectivas / mes (22 días × 8 h)</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176 h</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Jornada laboral estándar Colombia</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Costo directo por hora (costo empresa ÷ 176 h)</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 $24.200 / hora</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t xml:space="preserve">Costo mínimo trazable — usado como piso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Costos indirectos institucionales (arrendamiento sede, servicios TI, infraestructura)</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sz w:val="20"/>
                <w:szCs w:val="20"/>
              </w:rPr>
              <w:t xml:space="preserve">≈ $8.000–12.000 / hora</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Estimación proporcional — sujeta a auditoría URAB en Fase 0</w:t>
            </w:r>
          </w:p>
        </w:tc>
      </w:tr>
      <w:tr>
        <w:tc>
          <w:tcPr>
            <w:tcW w:type="dxa" w:w="4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Costo de oportunidad jurídico: vencimiento de términos por caso urgente no atendido a tiempo (daño antijurídico potencial)</w:t>
            </w:r>
          </w:p>
        </w:tc>
        <w:tc>
          <w:tcPr>
            <w:tcW w:type="dxa" w:w="2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rPr>
                <w:rFonts w:ascii="Arial" w:cs="Arial" w:eastAsia="Arial" w:hAnsi="Arial"/>
                <w:i/>
                <w:iCs/>
                <w:sz w:val="20"/>
                <w:szCs w:val="20"/>
              </w:rPr>
              <w:t xml:space="preserve">No cuantificado</w:t>
            </w:r>
          </w:p>
        </w:tc>
        <w:tc>
          <w:tcPr>
            <w:tcW w:type="dxa" w:w="2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Riesgo jurídico real — incluye posible condena en tutela</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Tasa de referencia usada en el ROI (costo empresa + estimación indirectos)</w:t>
            </w:r>
          </w:p>
        </w:tc>
        <w:tc>
          <w:tcPr>
            <w:tcW w:type="dxa" w:w="2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 $35.000 / hora</w:t>
            </w:r>
          </w:p>
        </w:tc>
        <w:tc>
          <w:tcPr>
            <w:tcW w:type="dxa" w:w="2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Cifra conservadora y trazable — ver nota</w:t>
            </w:r>
          </w:p>
        </w:tc>
      </w:tr>
    </w:tbl>
    <w:p>
      <w:pPr>
        <w:spacing w:after="120"/>
      </w:pPr>
      <w:r>
        <w:t xml:space="preserve"/>
      </w:r>
    </w:p>
    <w:p>
      <w:pPr>
        <w:pBdr>
          <w:left w:val="single" w:color="2E75B6" w:sz="12" w:space="8"/>
        </w:pBdr>
        <w:spacing w:after="120"/>
        <w:ind w:left="400"/>
      </w:pPr>
      <w:r>
        <w:rPr>
          <w:rFonts w:ascii="Arial" w:cs="Arial" w:eastAsia="Arial" w:hAnsi="Arial"/>
          <w:i/>
          <w:iCs/>
          <w:color w:val="404040"/>
          <w:sz w:val="20"/>
          <w:szCs w:val="20"/>
        </w:rPr>
        <w:t xml:space="preserve">Nota sobre la cifra de $150.000/hora: Si se usa esta cifra en el pitch, debe presentarse como 'costo de oportunidad total institucional', que suma el costo empresa del profesional, los costos indirectos de la Defensoría y una valoración parcial del riesgo jurídico por caso urgente demorado. Esta cifra es más impactante pero requiere mayor fundamentación ante la junta. La cifra de $35.000/hora es más conservadora, completamente trazable y suficiente para sustentar el argumento de ahorro: 13.320 h × $35.000 = $466 millones/año, no $2.000 millones. Ambas posiciones son defendibles con premisas distintas — definir cuál usa el equipo en el pitch.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A3 · </w:t>
            </w:r>
            <w:r>
              <w:rPr>
                <w:rFonts w:ascii="Arial" w:cs="Arial" w:eastAsia="Arial" w:hAnsi="Arial"/>
                <w:b/>
                <w:bCs/>
                <w:color w:val="FFFFFF"/>
                <w:sz w:val="24"/>
                <w:szCs w:val="24"/>
              </w:rPr>
              <w:t xml:space="preserve">Curva de Costos Año 2–3 — Infraestructura vs. Soporte</w:t>
            </w:r>
          </w:p>
          <w:p>
            <w:pPr>
              <w:spacing w:after="0"/>
            </w:pPr>
            <w:r>
              <w:rPr>
                <w:rFonts w:ascii="Arial" w:cs="Arial" w:eastAsia="Arial" w:hAnsi="Arial"/>
                <w:color w:val="D9D9D9"/>
                <w:sz w:val="18"/>
                <w:szCs w:val="18"/>
              </w:rPr>
              <w:t xml:space="preserve">Referencia RFP: §7 RFP · Modelo de costos 3 años</w:t>
            </w:r>
          </w:p>
        </w:tc>
      </w:tr>
    </w:tbl>
    <w:p>
      <w:pPr>
        <w:spacing w:after="120"/>
      </w:pPr>
      <w:r>
        <w:t xml:space="preserve"/>
      </w:r>
    </w:p>
    <w:p>
      <w:pPr>
        <w:pStyle w:val="Heading2"/>
      </w:pPr>
      <w:r>
        <w:rPr>
          <w:rFonts w:ascii="Arial" w:cs="Arial" w:eastAsia="Arial" w:hAnsi="Arial"/>
          <w:b/>
          <w:bCs/>
          <w:color w:val="2E75B6"/>
          <w:sz w:val="24"/>
          <w:szCs w:val="24"/>
        </w:rPr>
        <w:t xml:space="preserve">Argumento de negocio: por qué la infraestructura sube y el soporte baja</w:t>
      </w:r>
    </w:p>
    <w:p>
      <w:pPr>
        <w:spacing w:after="120"/>
        <w:jc w:val="both"/>
      </w:pPr>
      <w:r>
        <w:rPr>
          <w:rFonts w:ascii="Arial" w:cs="Arial" w:eastAsia="Arial" w:hAnsi="Arial"/>
          <w:sz w:val="22"/>
          <w:szCs w:val="22"/>
        </w:rPr>
        <w:t xml:space="preserve">La tabla de costos muestra una trayectoria aparentemente contraintuitiva: el costo de infraestructura aumenta en los años 2 y 3, mientras el costo de soporte disminuye. Ambas tendencias son coherentes y tienen una explicación específica que el equipo debe presentar activamente si el jurado la cuestiona.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Tendencia año 2–3</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Explicación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Infraestructura (API Claude, pgvector, servidores, almacenamiento)</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 Sube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Escalamiento progresivo de URAB-Bogotá (17 profesionales, ~300 peticiones/día) a las ~25 regionales de la Defensoría (potencialmente 300+ profesionales, ~7.500 peticiones/día). La infraestructura escala sub-linealmente gracias a las economías de escala de la API de Claude y la centralización de pgvector.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Soporte y mantenimiento (help desk, gestión de incidentes, actualizaciones de prompts)</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 Baja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Curva de maduración del equipo MLOps de la Defensoría. En Fase 3–4 el equipo ya conoce los patrones de fallo del sistema, reduciéndose los tickets de incidentes. Adicionalmente, la capacitación por roles (Fase 3) reduce el error de usuario, que es la principal fuente de solicitudes de soporte en la etapa inicial.</w:t>
            </w:r>
          </w:p>
        </w:tc>
      </w:tr>
    </w:tbl>
    <w:p>
      <w:pPr>
        <w:spacing w:after="120"/>
      </w:pPr>
      <w:r>
        <w:t xml:space="preserve"/>
      </w:r>
    </w:p>
    <w:p>
      <w:pPr>
        <w:pBdr>
          <w:left w:val="single" w:color="2E75B6" w:sz="16" w:space="6"/>
        </w:pBdr>
        <w:shd w:fill="D6E4F0" w:val="clear"/>
        <w:spacing w:after="120"/>
        <w:ind w:left="300" w:right="300"/>
      </w:pPr>
      <w:r>
        <w:rPr>
          <w:rFonts w:ascii="Arial" w:cs="Arial" w:eastAsia="Arial" w:hAnsi="Arial"/>
          <w:b/>
          <w:bCs/>
          <w:color w:val="1F4E79"/>
          <w:sz w:val="20"/>
          <w:szCs w:val="20"/>
        </w:rPr>
        <w:t xml:space="preserve">Frase para el pitch: </w:t>
      </w:r>
      <w:r>
        <w:rPr>
          <w:rFonts w:ascii="Arial" w:cs="Arial" w:eastAsia="Arial" w:hAnsi="Arial"/>
          <w:i/>
          <w:iCs/>
          <w:color w:val="1a1a1a"/>
          <w:sz w:val="20"/>
          <w:szCs w:val="20"/>
        </w:rPr>
        <w:t xml:space="preserve">El costo de infraestructura no sube porque el sistema falle — sube porque la Defensoría crece. Año 1 pagamos el piloto de 17 personas en Bogotá. Año 3 pagamos la red que protege derechos en todo el país. Y mientras la red crece, el equipo que la opera ya no necesita el mismo nivel de acompañamiento externo.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A4 · </w:t>
            </w:r>
            <w:r>
              <w:rPr>
                <w:rFonts w:ascii="Arial" w:cs="Arial" w:eastAsia="Arial" w:hAnsi="Arial"/>
                <w:b/>
                <w:bCs/>
                <w:color w:val="FFFFFF"/>
                <w:sz w:val="24"/>
                <w:szCs w:val="24"/>
              </w:rPr>
              <w:t xml:space="preserve">Carpeta Ciudadana Digital gov.co — Decisión Argumentada (§6.2)</w:t>
            </w:r>
          </w:p>
          <w:p>
            <w:pPr>
              <w:spacing w:after="0"/>
            </w:pPr>
            <w:r>
              <w:rPr>
                <w:rFonts w:ascii="Arial" w:cs="Arial" w:eastAsia="Arial" w:hAnsi="Arial"/>
                <w:color w:val="D9D9D9"/>
                <w:sz w:val="18"/>
                <w:szCs w:val="18"/>
              </w:rPr>
              <w:t xml:space="preserve">Referencia RFP: RFP §6.2 Fase 1 · Ley 1581/2012 · Interoperabilidad M7</w:t>
            </w:r>
          </w:p>
        </w:tc>
      </w:tr>
    </w:tbl>
    <w:p>
      <w:pPr>
        <w:spacing w:after="120"/>
      </w:pPr>
      <w:r>
        <w:t xml:space="preserve"/>
      </w:r>
    </w:p>
    <w:p>
      <w:pPr>
        <w:pStyle w:val="Heading2"/>
      </w:pPr>
      <w:r>
        <w:rPr>
          <w:rFonts w:ascii="Arial" w:cs="Arial" w:eastAsia="Arial" w:hAnsi="Arial"/>
          <w:b/>
          <w:bCs/>
          <w:color w:val="2E75B6"/>
          <w:sz w:val="24"/>
          <w:szCs w:val="24"/>
        </w:rPr>
        <w:t xml:space="preserve">Posición del equipo: integración diferida a Fase 4</w:t>
      </w:r>
    </w:p>
    <w:p>
      <w:pPr>
        <w:spacing w:after="120"/>
        <w:jc w:val="both"/>
      </w:pPr>
      <w:r>
        <w:rPr>
          <w:rFonts w:ascii="Arial" w:cs="Arial" w:eastAsia="Arial" w:hAnsi="Arial"/>
          <w:sz w:val="22"/>
          <w:szCs w:val="22"/>
        </w:rPr>
        <w:t xml:space="preserve">El RFP §6.2 exige que la propuesta incluya el 'diseño de interoperabilidad con gov.co (opcional, con decisión argumentada)'. A continuación se presenta la posición del equipo y sus fundamentos.</w:t>
      </w:r>
    </w:p>
    <w:p>
      <w:pPr>
        <w:spacing w:after="120"/>
      </w:pPr>
      <w:r>
        <w:t xml:space="preserve"/>
      </w:r>
    </w:p>
    <w:p>
      <w:pPr>
        <w:pStyle w:val="Heading3"/>
      </w:pPr>
      <w:r>
        <w:rPr>
          <w:rFonts w:ascii="Arial" w:cs="Arial" w:eastAsia="Arial" w:hAnsi="Arial"/>
          <w:b/>
          <w:bCs/>
          <w:color w:val="404040"/>
          <w:sz w:val="22"/>
          <w:szCs w:val="22"/>
        </w:rPr>
        <w:t xml:space="preserve">Decisión: No integrar en Fase 1. Diferir a Fase 4, condicionado.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Razón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Riesgo de privacidad de datos sensibles</w:t>
            </w:r>
          </w:p>
          <w:p>
            <w:pPr>
              <w:spacing w:after="0"/>
            </w:pPr>
            <w:r>
              <w:rPr>
                <w:rFonts w:ascii="Arial" w:cs="Arial" w:eastAsia="Arial" w:hAnsi="Arial"/>
                <w:sz w:val="20"/>
                <w:szCs w:val="20"/>
              </w:rPr>
              <w:t xml:space="preserve">La Carpeta Ciudadana Digital agrega datos de múltiples entidades del Estado en un perfil unificado por ciudadano. Compartir radicados de la Defensoría —que pueden contener información sobre amenazas de muerte, desaparición forzada, violencia basada en género o conflicto armado— en ese perfil consolidado amplía la superficie de exposición de datos sensibles protegidos por la Ley 1581/2012, sin que exista aún un protocolo interoperable de clasificación de confidencialidad entre la plataforma gov.co y las políticas de datos de la Defensoría.</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Razón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Valor marginal bajo en Fase 1</w:t>
            </w:r>
          </w:p>
          <w:p>
            <w:pPr>
              <w:spacing w:after="0"/>
            </w:pPr>
            <w:r>
              <w:rPr>
                <w:rFonts w:ascii="Arial" w:cs="Arial" w:eastAsia="Arial" w:hAnsi="Arial"/>
                <w:sz w:val="20"/>
                <w:szCs w:val="20"/>
              </w:rPr>
              <w:t xml:space="preserve">Las funciones de notificación al ciudadano (acuse de recibo, estado del trámite, respuesta) pueden cubrirse en Fase 1 mediante SMS y correo electrónico, canales ya integrados en M1 y con adopción probada en la población objetivo. La Carpeta Ciudadana añadiría un canal adicional redundante sin resolver los cuellos de botella prioritarios de triage y doble registro.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Condición de habilitación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 integración se propone para Fase 4 (gobernanza y mejora continua), sujeta a que gov.co habilite un mecanismo de etiquetado de sensibilidad de datos compatible con la Ley 1581/2012 y con la política interna de datos de la Defensoría, y a que el Comité de IA apruebe el flujo de compartición.</w:t>
            </w:r>
          </w:p>
        </w:tc>
      </w:tr>
    </w:tbl>
    <w:p>
      <w:pPr>
        <w:spacing w:after="120"/>
      </w:pPr>
      <w:r>
        <w:t xml:space="preserve"/>
      </w:r>
    </w:p>
    <w:p>
      <w:pPr>
        <w:pBdr>
          <w:left w:val="single" w:color="2E75B6" w:sz="16" w:space="6"/>
        </w:pBdr>
        <w:shd w:fill="D6E4F0" w:val="clear"/>
        <w:spacing w:after="120"/>
        <w:ind w:left="300" w:right="300"/>
      </w:pPr>
      <w:r>
        <w:rPr>
          <w:rFonts w:ascii="Arial" w:cs="Arial" w:eastAsia="Arial" w:hAnsi="Arial"/>
          <w:b/>
          <w:bCs/>
          <w:color w:val="1F4E79"/>
          <w:sz w:val="20"/>
          <w:szCs w:val="20"/>
        </w:rPr>
        <w:t xml:space="preserve">Frase para el pitch: </w:t>
      </w:r>
      <w:r>
        <w:rPr>
          <w:rFonts w:ascii="Arial" w:cs="Arial" w:eastAsia="Arial" w:hAnsi="Arial"/>
          <w:i/>
          <w:iCs/>
          <w:color w:val="1a1a1a"/>
          <w:sz w:val="20"/>
          <w:szCs w:val="20"/>
        </w:rPr>
        <w:t xml:space="preserve">No es un no a gov.co — es un sí condicionado a que la plataforma esté lista para manejar información de personas en riesgo de violencia con los controles que exige la Ley 1581. En Fase 1 priorizamos que el sistema funcione bien para la URAB; en Fase 4, lo conectamos con el ecosistema estatal cuando los controles de privacidad estén maduros.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A5 · </w:t>
            </w:r>
            <w:r>
              <w:rPr>
                <w:rFonts w:ascii="Arial" w:cs="Arial" w:eastAsia="Arial" w:hAnsi="Arial"/>
                <w:b/>
                <w:bCs/>
                <w:color w:val="FFFFFF"/>
                <w:sz w:val="24"/>
                <w:szCs w:val="24"/>
              </w:rPr>
              <w:t xml:space="preserve">Corrección Meta M3 — Ratio de Carga ≤ 2.1x (no 1.0x)</w:t>
            </w:r>
          </w:p>
          <w:p>
            <w:pPr>
              <w:spacing w:after="0"/>
            </w:pPr>
            <w:r>
              <w:rPr>
                <w:rFonts w:ascii="Arial" w:cs="Arial" w:eastAsia="Arial" w:hAnsi="Arial"/>
                <w:color w:val="D9D9D9"/>
                <w:sz w:val="18"/>
                <w:szCs w:val="18"/>
              </w:rPr>
              <w:t xml:space="preserve">Referencia RFP: §3 RFP M3 · Datos sintéticos LSL2026</w:t>
            </w:r>
          </w:p>
        </w:tc>
      </w:tr>
    </w:tbl>
    <w:p>
      <w:pPr>
        <w:spacing w:after="120"/>
      </w:pPr>
      <w:r>
        <w:t xml:space="preserve"/>
      </w:r>
    </w:p>
    <w:p>
      <w:pPr>
        <w:pStyle w:val="Heading2"/>
      </w:pPr>
      <w:r>
        <w:rPr>
          <w:rFonts w:ascii="Arial" w:cs="Arial" w:eastAsia="Arial" w:hAnsi="Arial"/>
          <w:b/>
          <w:bCs/>
          <w:color w:val="2E75B6"/>
          <w:sz w:val="24"/>
          <w:szCs w:val="24"/>
        </w:rPr>
        <w:t xml:space="preserve">Corrección y argumento</w:t>
      </w:r>
    </w:p>
    <w:p>
      <w:pPr>
        <w:spacing w:after="120"/>
        <w:jc w:val="both"/>
      </w:pPr>
      <w:r>
        <w:rPr>
          <w:rFonts w:ascii="Arial" w:cs="Arial" w:eastAsia="Arial" w:hAnsi="Arial"/>
          <w:sz w:val="22"/>
          <w:szCs w:val="22"/>
        </w:rPr>
        <w:t xml:space="preserve">En algunos documentos del proyecto aparece la meta de M3 como 'ratio 1.0x', lo que implicaría distribución perfectamente igualitaria de carga entre los 17 profesionales. Esta cifra es técnicamente irreal y jurídicamente problemática, porque un reparto perfectamente homogéneo ignoraría la competencia temática de cada profesional (especialistas en VBG, NNA, desaparición). La meta correcta es ≤ 2.1x, que representa una reducción drástica respecto al AS-IS de 7.7x pero preserva la flexibilidad para asignaciones por especialidad.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AS-IS</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 CORRECTA TO-BE</w:t>
            </w:r>
          </w:p>
        </w:tc>
        <w:tc>
          <w:tcPr>
            <w:tcW w:type="dxa" w:w="3120"/>
            <w:tcBorders>
              <w:top w:val="single" w:color="CCCCCC" w:sz="1"/>
              <w:left w:val="single" w:color="CCCCCC" w:sz="1"/>
              <w:bottom w:val="single" w:color="CCCCCC" w:sz="1"/>
              <w:right w:val="single" w:color="CCCCCC" w:sz="1"/>
            </w:tcBorders>
            <w:shd w:fill="7F7F7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 INCORRECTA (eliminar)</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36"/>
                <w:szCs w:val="36"/>
              </w:rPr>
              <w:t xml:space="preserve">7.7x</w:t>
            </w:r>
          </w:p>
          <w:p>
            <w:pPr>
              <w:jc w:val="center"/>
            </w:pPr>
            <w:r>
              <w:rPr>
                <w:rFonts w:ascii="Arial" w:cs="Arial" w:eastAsia="Arial" w:hAnsi="Arial"/>
                <w:i/>
                <w:iCs/>
                <w:sz w:val="18"/>
                <w:szCs w:val="18"/>
              </w:rPr>
              <w:t xml:space="preserve">Carga máx/mín entre profesionales (274 vs 2.103 casos)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36"/>
                <w:szCs w:val="36"/>
              </w:rPr>
              <w:t xml:space="preserve">≤ 2.1x</w:t>
            </w:r>
          </w:p>
          <w:p>
            <w:pPr>
              <w:jc w:val="center"/>
            </w:pPr>
            <w:r>
              <w:rPr>
                <w:rFonts w:ascii="Arial" w:cs="Arial" w:eastAsia="Arial" w:hAnsi="Arial"/>
                <w:i/>
                <w:iCs/>
                <w:sz w:val="18"/>
                <w:szCs w:val="18"/>
              </w:rPr>
              <w:t xml:space="preserve">Reducción del 73% · Preserva especialidades · Trazable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F7F7F"/>
                <w:sz w:val="36"/>
                <w:szCs w:val="36"/>
              </w:rPr>
              <w:t xml:space="preserve">1.0x</w:t>
            </w:r>
          </w:p>
          <w:p>
            <w:pPr>
              <w:jc w:val="center"/>
            </w:pPr>
            <w:r>
              <w:rPr>
                <w:rFonts w:ascii="Arial" w:cs="Arial" w:eastAsia="Arial" w:hAnsi="Arial"/>
                <w:i/>
                <w:iCs/>
                <w:sz w:val="18"/>
                <w:szCs w:val="18"/>
              </w:rPr>
              <w:t xml:space="preserve">Irreal · Ignoraría competencias · Indefendible ante jurado</w:t>
            </w:r>
          </w:p>
        </w:tc>
      </w:tr>
    </w:tbl>
    <w:p>
      <w:pPr>
        <w:spacing w:after="120"/>
      </w:pPr>
      <w:r>
        <w:t xml:space="preserve"/>
      </w:r>
    </w:p>
    <w:p>
      <w:pPr>
        <w:pStyle w:val="Heading3"/>
      </w:pPr>
      <w:r>
        <w:rPr>
          <w:rFonts w:ascii="Arial" w:cs="Arial" w:eastAsia="Arial" w:hAnsi="Arial"/>
          <w:b/>
          <w:bCs/>
          <w:color w:val="404040"/>
          <w:sz w:val="22"/>
          <w:szCs w:val="22"/>
        </w:rPr>
        <w:t xml:space="preserve">Criterio tri-dimensional de M3 (argumento complementario para el jurado)</w:t>
      </w:r>
    </w:p>
    <w:p>
      <w:pPr>
        <w:spacing w:after="120"/>
        <w:jc w:val="both"/>
      </w:pPr>
      <w:r>
        <w:rPr>
          <w:rFonts w:ascii="Arial" w:cs="Arial" w:eastAsia="Arial" w:hAnsi="Arial"/>
          <w:sz w:val="22"/>
          <w:szCs w:val="22"/>
        </w:rPr>
        <w:t xml:space="preserve">El criterio de reparto de M3 no es solo cuantitativo. El sistema pondera tres dimensiones en orden de prioridad:</w:t>
      </w:r>
    </w:p>
    <w:p>
      <w:pPr>
        <w:pStyle w:val="ListParagraph"/>
        <w:numPr>
          <w:ilvl w:val="0"/>
          <w:numId w:val="2"/>
        </w:numPr>
        <w:spacing w:after="80"/>
      </w:pPr>
      <w:r>
        <w:rPr>
          <w:rFonts w:ascii="Arial" w:cs="Arial" w:eastAsia="Arial" w:hAnsi="Arial"/>
          <w:sz w:val="22"/>
          <w:szCs w:val="22"/>
        </w:rPr>
        <w:t xml:space="preserve">Competencia temática declarada: cada profesional tiene un perfil de especialidad registrado en el sistema (VBG, NNA, desaparición, salud, conflicto armado). Las peticiones con categoría crítica de M2 se asignan prioritariamente a profesionales con perfil coincidente, independientemente de la carga.</w:t>
      </w:r>
    </w:p>
    <w:p>
      <w:pPr>
        <w:pStyle w:val="ListParagraph"/>
        <w:numPr>
          <w:ilvl w:val="0"/>
          <w:numId w:val="2"/>
        </w:numPr>
        <w:spacing w:after="80"/>
      </w:pPr>
      <w:r>
        <w:rPr>
          <w:rFonts w:ascii="Arial" w:cs="Arial" w:eastAsia="Arial" w:hAnsi="Arial"/>
          <w:sz w:val="22"/>
          <w:szCs w:val="22"/>
        </w:rPr>
        <w:t xml:space="preserve">Carga actual equilibrada: entre los profesionales con perfil compatible, el sistema asigna al que tiene menor carga activa (casos en triage + casos en gestión), con el objetivo de mantener el ratio ≤ 2.1x.</w:t>
      </w:r>
    </w:p>
    <w:p>
      <w:pPr>
        <w:pStyle w:val="ListParagraph"/>
        <w:numPr>
          <w:ilvl w:val="0"/>
          <w:numId w:val="2"/>
        </w:numPr>
        <w:spacing w:after="80"/>
      </w:pPr>
      <w:r>
        <w:rPr>
          <w:rFonts w:ascii="Arial" w:cs="Arial" w:eastAsia="Arial" w:hAnsi="Arial"/>
          <w:sz w:val="22"/>
          <w:szCs w:val="22"/>
        </w:rPr>
        <w:t xml:space="preserve">Continuidad con el peticionario: si M5 detecta que el ciudadano tiene un radicado anterior con un profesional específico, ese profesional recibe el nuevo caso de manera preferente para garantizar coherencia institucional y continuidad.</w:t>
      </w:r>
    </w:p>
    <w:p>
      <w:pPr>
        <w:spacing w:after="120"/>
      </w:pPr>
      <w:r>
        <w:t xml:space="preserve"/>
      </w:r>
    </w:p>
    <w:p>
      <w:pPr>
        <w:spacing w:after="120"/>
        <w:jc w:val="both"/>
      </w:pPr>
      <w:r>
        <w:rPr>
          <w:rFonts w:ascii="Arial" w:cs="Arial" w:eastAsia="Arial" w:hAnsi="Arial"/>
          <w:sz w:val="22"/>
          <w:szCs w:val="22"/>
        </w:rPr>
        <w:t xml:space="preserve">La trazabilidad del 'por qué' del reparto queda registrada en el log del caso con texto legible: 'Asignado a [Profesional X] — razón: perfil VBG coincidente, carga 847 casos (bajo umbral 1.200), peticionario recurrente con historial en este profesional'.</w:t>
      </w:r>
    </w:p>
    <w:p>
      <w:pPr>
        <w:spacing w:after="120"/>
      </w:pPr>
      <w:r>
        <w:t xml:space="preserve"/>
      </w:r>
    </w:p>
    <w:p>
      <w:pPr>
        <w:pBdr>
          <w:left w:val="single" w:color="2E75B6" w:sz="12" w:space="8"/>
        </w:pBdr>
        <w:spacing w:after="120"/>
        <w:ind w:left="400"/>
      </w:pPr>
      <w:r>
        <w:rPr>
          <w:rFonts w:ascii="Arial" w:cs="Arial" w:eastAsia="Arial" w:hAnsi="Arial"/>
          <w:i/>
          <w:iCs/>
          <w:color w:val="404040"/>
          <w:sz w:val="20"/>
          <w:szCs w:val="20"/>
        </w:rPr>
        <w:t xml:space="preserve">Acción para el equipo: Revisar y corregir toda referencia a '1.0x' en los documentos de la propuesta (Propuesta_Plan_Trabajo.docx y presentación) y reemplazarla por '≤ 2.1x'. Verificar también que la tabla de métricas AS-IS/TO-BE principal diga ≤ 2.1x y no 1.0x.</w:t>
      </w:r>
    </w:p>
    <w:p>
      <w:pPr>
        <w:spacing w:after="120"/>
      </w:pPr>
      <w:r>
        <w:t xml:space="preserve"/>
      </w:r>
    </w:p>
    <w:p>
      <w:pPr>
        <w:pBdr>
          <w:top w:val="single" w:color="2E75B6" w:sz="4" w:space="1"/>
        </w:pBdr>
        <w:spacing w:before="400"/>
      </w:pPr>
    </w:p>
    <w:p>
      <w:pPr>
        <w:spacing w:after="80"/>
      </w:pPr>
      <w:r>
        <w:rPr>
          <w:rFonts w:ascii="Arial" w:cs="Arial" w:eastAsia="Arial" w:hAnsi="Arial"/>
          <w:color w:val="888888"/>
          <w:sz w:val="18"/>
          <w:szCs w:val="18"/>
        </w:rPr>
        <w:t xml:space="preserve">Sprint A completado · LSL2026 · URAB-AI</w:t>
      </w:r>
    </w:p>
    <w:p>
      <w:r>
        <w:rPr>
          <w:rFonts w:ascii="Arial" w:cs="Arial" w:eastAsia="Arial" w:hAnsi="Arial"/>
          <w:i/>
          <w:iCs/>
          <w:color w:val="888888"/>
          <w:sz w:val="18"/>
          <w:szCs w:val="18"/>
        </w:rPr>
        <w:t xml:space="preserve">Siguiente: Sprint B (B1–B4) — secciones técnicas de M1, M3, M7 y §4.6 MLOps.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2026-06-14T13:29:15.793Z</dcterms:created>
  <dcterms:modified xsi:type="dcterms:W3CDTF">2026-06-14T13:29:15.794Z</dcterms:modified>
</cp:coreProperties>
</file>

<file path=docProps/custom.xml><?xml version="1.0" encoding="utf-8"?>
<Properties xmlns="http://schemas.openxmlformats.org/officeDocument/2006/custom-properties" xmlns:vt="http://schemas.openxmlformats.org/officeDocument/2006/docPropsVTypes"/>
</file>