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4E79"/>
          <w:sz w:val="32"/>
          <w:szCs w:val="32"/>
        </w:rPr>
        <w:t xml:space="preserve">URAB-AI · Legal Strategy Lab 2026</w:t>
      </w:r>
    </w:p>
    <w:p>
      <w:pPr>
        <w:spacing w:after="80"/>
      </w:pPr>
      <w:r>
        <w:rPr>
          <w:rFonts w:ascii="Arial" w:cs="Arial" w:eastAsia="Arial" w:hAnsi="Arial"/>
          <w:color w:val="555555"/>
          <w:sz w:val="26"/>
          <w:szCs w:val="26"/>
        </w:rPr>
        <w:t xml:space="preserve">Ajustes Sprint B — Secciones Técnicas de Módulos y MLOps</w:t>
      </w:r>
    </w:p>
    <w:p>
      <w:pPr>
        <w:spacing w:after="80"/>
      </w:pPr>
      <w:r>
        <w:rPr>
          <w:rFonts w:ascii="Arial" w:cs="Arial" w:eastAsia="Arial" w:hAnsi="Arial"/>
          <w:color w:val="888888"/>
          <w:sz w:val="20"/>
          <w:szCs w:val="20"/>
        </w:rPr>
        <w:t xml:space="preserve">B1 · Cierre documental M7  ·  B2 · Cadena de custodia M1  ·  B3 · Protocolo drift §4.6  ·  B4 · Reparto tri-dimensional M3</w:t>
      </w:r>
    </w:p>
    <w:p>
      <w:pPr>
        <w:pBdr>
          <w:bottom w:val="single" w:color="2E75B6" w:sz="6" w:space="1"/>
        </w:pBd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B1 · Gestión Documental y Cierre — Submódulo M7 (Fase D del Macroproceso)</w:t>
            </w:r>
          </w:p>
          <w:p>
            <w:pPr>
              <w:spacing w:after="0"/>
            </w:pPr>
            <w:r>
              <w:rPr>
                <w:rFonts w:ascii="Arial" w:cs="Arial" w:eastAsia="Arial" w:hAnsi="Arial"/>
                <w:color w:val="D9D9D9"/>
                <w:sz w:val="18"/>
                <w:szCs w:val="18"/>
              </w:rPr>
              <w:t xml:space="preserve">Referencia RFP: §2.3-D RFP · §4.5 · AGN · Gestión documental y conservación de evidencia</w:t>
            </w:r>
          </w:p>
        </w:tc>
      </w:tr>
    </w:tbl>
    <w:p>
      <w:pPr>
        <w:spacing w:after="100"/>
      </w:pPr>
      <w:r>
        <w:t xml:space="preserve"/>
      </w:r>
    </w:p>
    <w:p>
      <w:pPr>
        <w:pStyle w:val="Heading2"/>
      </w:pPr>
      <w:r>
        <w:rPr>
          <w:rFonts w:ascii="Arial" w:cs="Arial" w:eastAsia="Arial" w:hAnsi="Arial"/>
          <w:b/>
          <w:bCs/>
          <w:color w:val="2E75B6"/>
          <w:sz w:val="24"/>
          <w:szCs w:val="24"/>
        </w:rPr>
        <w:t xml:space="preserve">Contexto: la Fase D no estaba cubierta</w:t>
      </w:r>
    </w:p>
    <w:p>
      <w:pPr>
        <w:spacing w:after="120"/>
        <w:jc w:val="both"/>
      </w:pPr>
      <w:r>
        <w:rPr>
          <w:rFonts w:ascii="Arial" w:cs="Arial" w:eastAsia="Arial" w:hAnsi="Arial"/>
          <w:b w:val="false"/>
          <w:bCs w:val="false"/>
          <w:i w:val="false"/>
          <w:iCs w:val="false"/>
          <w:sz w:val="22"/>
          <w:szCs w:val="22"/>
        </w:rPr>
        <w:t xml:space="preserve">El macroproceso URAB tiene cuatro fases: Recepción (M1), Revisión y triage (M2–M4), Gestión defensorial (M5–M6) y Cierre (Fase D). La propuesta original detallaba con precisión las tres primeras fases pero no especificaba cómo el sistema asegura la consistencia del expediente al cerrar el caso en ambas plataformas institucionales. Este ajuste cubre ese vacío.</w:t>
      </w:r>
    </w:p>
    <w:p>
      <w:pPr>
        <w:spacing w:after="100"/>
      </w:pPr>
      <w:r>
        <w:t xml:space="preserve"/>
      </w:r>
    </w:p>
    <w:p>
      <w:pPr>
        <w:pStyle w:val="Heading2"/>
      </w:pPr>
      <w:r>
        <w:rPr>
          <w:rFonts w:ascii="Arial" w:cs="Arial" w:eastAsia="Arial" w:hAnsi="Arial"/>
          <w:b/>
          <w:bCs/>
          <w:color w:val="2E75B6"/>
          <w:sz w:val="24"/>
          <w:szCs w:val="24"/>
        </w:rPr>
        <w:t xml:space="preserve">Submódulo M7-C: Cierre coordinado y archivo de expedientes</w:t>
      </w:r>
    </w:p>
    <w:p>
      <w:pPr>
        <w:spacing w:after="120"/>
        <w:jc w:val="both"/>
      </w:pPr>
      <w:r>
        <w:rPr>
          <w:rFonts w:ascii="Arial" w:cs="Arial" w:eastAsia="Arial" w:hAnsi="Arial"/>
          <w:b w:val="false"/>
          <w:bCs w:val="false"/>
          <w:i w:val="false"/>
          <w:iCs w:val="false"/>
          <w:sz w:val="22"/>
          <w:szCs w:val="22"/>
        </w:rPr>
        <w:t xml:space="preserve">El módulo M7 se amplía con un submódulo de cierre (M7-C) que opera cuando el profesional marca un caso como 'cerrado' en URAB-AI. El flujo es el siguiente: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3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sz w:val="20"/>
                <w:szCs w:val="20"/>
              </w:rPr>
              <w:t xml:space="preserve">Paso</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sz w:val="20"/>
                <w:szCs w:val="20"/>
              </w:rPr>
              <w:t xml:space="preserve">Responsable</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sz w:val="20"/>
                <w:szCs w:val="20"/>
              </w:rPr>
              <w:t xml:space="preserve">Acción del sistema</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Profesional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 funcionario registra el cierre en URAB-AI: resultado del trámite, respuesta enviada al ciudadano, constancia de respuesta (PDF) y fecha de cierre.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Sistema M7-C</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M7-C genera un hash SHA-256 del acto de cierre (incluyendo el PDF de respuesta y los metadatos del caso) y lo registra en la bitácora de trazabilidad con timestamp, número de radicado e identificación del funcionario que cerró.</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RPA / API M7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 sistema actualiza simultáneamente el estado del caso en IRIS y VisionWeb mediante la integración API (o RPA como fallback) con el mismo número de acto de cierre, fecha, resultado y constancia. La actualización es atómica: si falla en una plataforma, se genera una alerta y queda en cola de reintento con log de error.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4</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Sistema M7-C</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 documento físico original (si existe — correspondencia 4-72, petición presencial) se archiva en la carpeta física del caso conforme a la Tabla de Retención Documental (TRD) aprobada por el AGN. URAB-AI registra en el expediente digital la ubicación del archivo físico y el funcionario responsable.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M8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 caso pasa a estado 'archivado' en el tablero M8 con indicadores de tiempo total recepción→cierre, resultado (favorable, parcial, remisión, no competencia) y conformidad con los términos legales. Estos datos alimentan el aprendizaje institucional y las métricas de derechos.</w:t>
            </w:r>
          </w:p>
        </w:tc>
      </w:tr>
    </w:tbl>
    <w:p>
      <w:pPr>
        <w:spacing w:after="100"/>
      </w:pPr>
      <w:r>
        <w:t xml:space="preserve"/>
      </w:r>
    </w:p>
    <w:p>
      <w:pPr>
        <w:pStyle w:val="Heading3"/>
      </w:pPr>
      <w:r>
        <w:rPr>
          <w:rFonts w:ascii="Arial" w:cs="Arial" w:eastAsia="Arial" w:hAnsi="Arial"/>
          <w:b/>
          <w:bCs/>
          <w:color w:val="2F4F4F"/>
          <w:sz w:val="22"/>
          <w:szCs w:val="22"/>
        </w:rPr>
        <w:t xml:space="preserve">Integridad del expediente y previsión de auditorías</w:t>
      </w:r>
    </w:p>
    <w:p>
      <w:pPr>
        <w:spacing w:after="120"/>
        <w:jc w:val="both"/>
      </w:pPr>
      <w:r>
        <w:rPr>
          <w:rFonts w:ascii="Arial" w:cs="Arial" w:eastAsia="Arial" w:hAnsi="Arial"/>
          <w:b w:val="false"/>
          <w:bCs w:val="false"/>
          <w:i w:val="false"/>
          <w:iCs w:val="false"/>
          <w:sz w:val="22"/>
          <w:szCs w:val="22"/>
        </w:rPr>
        <w:t xml:space="preserve">La clave del submódulo M7-C es la verificabilidad post-hoc: cualquier auditor interno o externo puede comprobar, a partir del hash registrado en la bitácora, que el acto de cierre que aparece en IRIS y en VisionWeb corresponde exactamente al documento firmado en URAB-AI. Si existe divergencia entre las tres fuentes, el sistema emite una alerta de inconsistencia que activa una revisión manual. Esto elimina la observación de auditoría más frecuente en sistemas de doble registro: la inconsistencia de estados entre plataformas al momento del cierre.</w:t>
      </w:r>
    </w:p>
    <w:p>
      <w:pPr>
        <w:spacing w:after="100"/>
      </w:pPr>
      <w:r>
        <w:t xml:space="preserve"/>
      </w:r>
    </w:p>
    <w:p>
      <w:pPr>
        <w:pBdr>
          <w:left w:val="single" w:color="2E75B6" w:sz="12" w:space="8"/>
        </w:pBdr>
        <w:spacing w:after="120"/>
        <w:ind w:left="400"/>
      </w:pPr>
      <w:r>
        <w:rPr>
          <w:rFonts w:ascii="Arial" w:cs="Arial" w:eastAsia="Arial" w:hAnsi="Arial"/>
          <w:i/>
          <w:iCs/>
          <w:color w:val="404040"/>
          <w:sz w:val="20"/>
          <w:szCs w:val="20"/>
        </w:rPr>
        <w:t xml:space="preserve">Marco normativo: Acuerdo AGN 003/2015 (gestión documental electrónica en entidades públicas), Ley 527/1999 (validez de los mensajes de datos), Acuerdo AGN 006/2014 (digitalización de documentos con valor probatorio). La TRD debe ser aprobada por el Comité de Gestión Documental de la Defensoría antes del go-live.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B2 · Cadena de Custodia de Anexos Físicos — Flujo Jurídico-Técnico M1</w:t>
            </w:r>
          </w:p>
          <w:p>
            <w:pPr>
              <w:spacing w:after="0"/>
            </w:pPr>
            <w:r>
              <w:rPr>
                <w:rFonts w:ascii="Arial" w:cs="Arial" w:eastAsia="Arial" w:hAnsi="Arial"/>
                <w:color w:val="D9D9D9"/>
                <w:sz w:val="18"/>
                <w:szCs w:val="18"/>
              </w:rPr>
              <w:t xml:space="preserve">Referencia RFP: §2.3-A RFP · §4.3 · AGN Acuerdo 006/2014 · Ley 527/1999</w:t>
            </w:r>
          </w:p>
        </w:tc>
      </w:tr>
    </w:tbl>
    <w:p>
      <w:pPr>
        <w:spacing w:after="100"/>
      </w:pPr>
      <w:r>
        <w:t xml:space="preserve"/>
      </w:r>
    </w:p>
    <w:p>
      <w:pPr>
        <w:pStyle w:val="Heading2"/>
      </w:pPr>
      <w:r>
        <w:rPr>
          <w:rFonts w:ascii="Arial" w:cs="Arial" w:eastAsia="Arial" w:hAnsi="Arial"/>
          <w:b/>
          <w:bCs/>
          <w:color w:val="2E75B6"/>
          <w:sz w:val="24"/>
          <w:szCs w:val="24"/>
        </w:rPr>
        <w:t xml:space="preserve">El problema: integridad del documento escaneado frente al original físico</w:t>
      </w:r>
    </w:p>
    <w:p>
      <w:pPr>
        <w:spacing w:after="120"/>
        <w:jc w:val="both"/>
      </w:pPr>
      <w:r>
        <w:rPr>
          <w:rFonts w:ascii="Arial" w:cs="Arial" w:eastAsia="Arial" w:hAnsi="Arial"/>
          <w:b w:val="false"/>
          <w:bCs w:val="false"/>
          <w:i w:val="false"/>
          <w:iCs w:val="false"/>
          <w:sz w:val="22"/>
          <w:szCs w:val="22"/>
        </w:rPr>
        <w:t xml:space="preserve">La URAB recibe peticiones con anexos físicos —documentos de identidad, historias clínicas, oficios de entidades, correspondencia enviada por operador 4-72— que deben ser digitalizados para su procesamiento en URAB-AI. El módulo M1 describía 'OCR semántico' como técnica de extracción de texto, pero no especificaba el flujo jurídico-técnico que garantiza que el texto extraído corresponde fielmente al documento original y que esa correspondencia es verificable por terceros. Esta sección cierra ese vacío.</w:t>
      </w:r>
    </w:p>
    <w:p>
      <w:pPr>
        <w:spacing w:after="100"/>
      </w:pPr>
      <w:r>
        <w:t xml:space="preserve"/>
      </w:r>
    </w:p>
    <w:p>
      <w:pPr>
        <w:pStyle w:val="Heading2"/>
      </w:pPr>
      <w:r>
        <w:rPr>
          <w:rFonts w:ascii="Arial" w:cs="Arial" w:eastAsia="Arial" w:hAnsi="Arial"/>
          <w:b/>
          <w:bCs/>
          <w:color w:val="2E75B6"/>
          <w:sz w:val="24"/>
          <w:szCs w:val="24"/>
        </w:rPr>
        <w:t xml:space="preserve">Flujo de cadena de custodia digital — M1 (canal presencial y 4-72)</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Paso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Acción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Detalle técnico y jurídico</w:t>
            </w:r>
          </w:p>
        </w:tc>
      </w:tr>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Recepción física y registro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 funcionario de ventanilla recibe el documento físico y registra en URAB-AI: tipo de documento, número de folios, fecha de recepción y su identificación. Este registro queda como primer eslabón de la cadena.</w:t>
            </w:r>
          </w:p>
        </w:tc>
      </w:tr>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Digitalización con escáner certificado</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 documento se digitaliza en el escáner institucional (resolución mínima 300 dpi, color o escala de grises según tipo). El sistema genera el PDF/A (formato de archivo de larga duración, estándar ISO 19005), que preserva fuentes, colores y metadatos sin dependencia de software propietario.</w:t>
            </w:r>
          </w:p>
        </w:tc>
      </w:tr>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Generación del hash de integridad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M1 calcula automáticamente el hash SHA-256 del PDF/A generado. Este valor se registra en la bitácora de radicación junto con: número de radicado, timestamp UTC, identificación del funcionario que digitalizó y número de serie del escáner. El hash es el 'sello de cera digital' que permite verificar en cualquier momento que el archivo no fue alterado.</w:t>
            </w:r>
          </w:p>
        </w:tc>
      </w:tr>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Extracción de texto (OCR semántico)</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M1 aplica OCR sobre el PDF/A para extraer el texto que alimenta los módulos de triage (M2) y deduplicación (M4). El texto extraído se almacena separado del PDF/A original — el OCR es un derivado de análisis, no reemplaza el documento fuente. Si el OCR detecta baja confianza en alguna región (documentos deteriorados, letra manuscrita), señala los campos no extraídos para revisión manual.</w:t>
            </w:r>
          </w:p>
        </w:tc>
      </w:tr>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Archivo del original físico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 documento físico se archiva en la carpeta del caso conforme a la TRD (Tabla de Retención Documental) aprobada por el AGN. URAB-AI registra en el expediente digital la ubicación del archivo físico (edificio, sala, caja, carpeta) y el funcionario responsable de la custodia.</w:t>
            </w:r>
          </w:p>
        </w:tc>
      </w:tr>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Verificación post-hoc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Cualquier funcionario o auditor autorizado puede verificar la integridad del documento en cualquier momento: recalcula el SHA-256 del PDF/A almacenado y lo compara con el hash en la bitácora. Si coinciden, el documento no fue alterado desde la digitalización. Si difieren, el sistema emite alerta de integridad comprometida.</w:t>
            </w:r>
          </w:p>
        </w:tc>
      </w:tr>
    </w:tbl>
    <w:p>
      <w:pPr>
        <w:spacing w:after="100"/>
      </w:pPr>
      <w:r>
        <w:t xml:space="preserve"/>
      </w:r>
    </w:p>
    <w:p>
      <w:pPr>
        <w:pStyle w:val="Heading3"/>
      </w:pPr>
      <w:r>
        <w:rPr>
          <w:rFonts w:ascii="Arial" w:cs="Arial" w:eastAsia="Arial" w:hAnsi="Arial"/>
          <w:b/>
          <w:bCs/>
          <w:color w:val="2F4F4F"/>
          <w:sz w:val="22"/>
          <w:szCs w:val="22"/>
        </w:rPr>
        <w:t xml:space="preserve">Manejo del operador 4-72</w:t>
      </w:r>
    </w:p>
    <w:p>
      <w:pPr>
        <w:spacing w:after="120"/>
        <w:jc w:val="both"/>
      </w:pPr>
      <w:r>
        <w:rPr>
          <w:rFonts w:ascii="Arial" w:cs="Arial" w:eastAsia="Arial" w:hAnsi="Arial"/>
          <w:b w:val="false"/>
          <w:bCs w:val="false"/>
          <w:i w:val="false"/>
          <w:iCs w:val="false"/>
          <w:sz w:val="22"/>
          <w:szCs w:val="22"/>
        </w:rPr>
        <w:t xml:space="preserve">La correspondencia enviada por operador 4-72 sigue el mismo flujo, con un paso adicional: antes de la digitalización, el funcionario registra el número de guía 4-72, la fecha de recepción en la oficina de correspondencia y la fecha en que el documento llega a la ventanilla URAB. Este registro crea la trazabilidad de custodia desde el ingreso físico al edificio hasta la digitalización, cerrando la cadena completa.</w:t>
      </w:r>
    </w:p>
    <w:p>
      <w:pPr>
        <w:spacing w:after="100"/>
      </w:pPr>
      <w:r>
        <w:t xml:space="preserve"/>
      </w:r>
    </w:p>
    <w:p>
      <w:pPr>
        <w:pBdr>
          <w:left w:val="single" w:color="2E75B6" w:sz="12" w:space="8"/>
        </w:pBdr>
        <w:spacing w:after="120"/>
        <w:ind w:left="400"/>
      </w:pPr>
      <w:r>
        <w:rPr>
          <w:rFonts w:ascii="Arial" w:cs="Arial" w:eastAsia="Arial" w:hAnsi="Arial"/>
          <w:i/>
          <w:iCs/>
          <w:color w:val="404040"/>
          <w:sz w:val="20"/>
          <w:szCs w:val="20"/>
        </w:rPr>
        <w:t xml:space="preserve">Fundamento jurídico: Acuerdo AGN 006/2014 establece las condiciones técnicas para que una digitalización tenga valor probatorio equivalente al original. Ley 527/1999 Art. 11 reconoce la integridad de los mensajes de datos mediante mecanismos como el hash. El PDF/A como formato de conservación está definido por la norma ISO 19005.</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B3 · Protocolo de Deriva (Drift) — MLOps y Operación §4.6</w:t>
            </w:r>
          </w:p>
          <w:p>
            <w:pPr>
              <w:spacing w:after="0"/>
            </w:pPr>
            <w:r>
              <w:rPr>
                <w:rFonts w:ascii="Arial" w:cs="Arial" w:eastAsia="Arial" w:hAnsi="Arial"/>
                <w:color w:val="D9D9D9"/>
                <w:sz w:val="18"/>
                <w:szCs w:val="18"/>
              </w:rPr>
              <w:t xml:space="preserve">Referencia RFP: §4.6 RFP · NIST AI RMF (MANAGE) · ISO/IEC 42001 §9.1</w:t>
            </w:r>
          </w:p>
        </w:tc>
      </w:tr>
    </w:tbl>
    <w:p>
      <w:pPr>
        <w:spacing w:after="100"/>
      </w:pPr>
      <w:r>
        <w:t xml:space="preserve"/>
      </w:r>
    </w:p>
    <w:p>
      <w:pPr>
        <w:pStyle w:val="Heading2"/>
      </w:pPr>
      <w:r>
        <w:rPr>
          <w:rFonts w:ascii="Arial" w:cs="Arial" w:eastAsia="Arial" w:hAnsi="Arial"/>
          <w:b/>
          <w:bCs/>
          <w:color w:val="2E75B6"/>
          <w:sz w:val="24"/>
          <w:szCs w:val="24"/>
        </w:rPr>
        <w:t xml:space="preserve">El vacío: ¿qué pasa si el modelo se degrada antes de la auditoría semestral?</w:t>
      </w:r>
    </w:p>
    <w:p>
      <w:pPr>
        <w:spacing w:after="120"/>
        <w:jc w:val="both"/>
      </w:pPr>
      <w:r>
        <w:rPr>
          <w:rFonts w:ascii="Arial" w:cs="Arial" w:eastAsia="Arial" w:hAnsi="Arial"/>
          <w:b w:val="false"/>
          <w:bCs w:val="false"/>
          <w:i w:val="false"/>
          <w:iCs w:val="false"/>
          <w:sz w:val="22"/>
          <w:szCs w:val="22"/>
        </w:rPr>
        <w:t xml:space="preserve">La propuesta contemplaba auditorías algorítmicas semestrales externas. El RFP §4.6 exige adicionalmente una 'evaluación periódica por deriva y degradación' y una 'política de actualización controlada'. Este protocolo establece el proceso de detección continua y respuesta escalonada ante la degradación del modelo entre auditorías.</w:t>
      </w:r>
    </w:p>
    <w:p>
      <w:pPr>
        <w:spacing w:after="100"/>
      </w:pPr>
      <w:r>
        <w:t xml:space="preserve"/>
      </w:r>
    </w:p>
    <w:p>
      <w:pPr>
        <w:pStyle w:val="Heading2"/>
      </w:pPr>
      <w:r>
        <w:rPr>
          <w:rFonts w:ascii="Arial" w:cs="Arial" w:eastAsia="Arial" w:hAnsi="Arial"/>
          <w:b/>
          <w:bCs/>
          <w:color w:val="2E75B6"/>
          <w:sz w:val="24"/>
          <w:szCs w:val="24"/>
        </w:rPr>
        <w:t xml:space="preserve">Definición operativa de deriva en URAB-AI</w:t>
      </w:r>
    </w:p>
    <w:p>
      <w:pPr>
        <w:spacing w:after="120"/>
        <w:jc w:val="both"/>
      </w:pPr>
      <w:r>
        <w:rPr>
          <w:rFonts w:ascii="Arial" w:cs="Arial" w:eastAsia="Arial" w:hAnsi="Arial"/>
          <w:b w:val="false"/>
          <w:bCs w:val="false"/>
          <w:i w:val="false"/>
          <w:iCs w:val="false"/>
          <w:sz w:val="22"/>
          <w:szCs w:val="22"/>
        </w:rPr>
        <w:t xml:space="preserve">Se entiende por deriva (drift) cualquier degradación estadísticamente significativa en el desempeño de los módulos M2 (clasificador de urgencia) y M4 (detector de duplicados) respecto a la línea base establecida en el piloto de 90 días. La métrica primaria de seguimiento es el HITL recall en casos urgentes: la proporción de casos con urgencia real que el sistema identifica correctamente para intervención humana prioritaria.</w:t>
      </w:r>
    </w:p>
    <w:p>
      <w:pPr>
        <w:spacing w:after="100"/>
      </w:pPr>
      <w:r>
        <w:t xml:space="preserve"/>
      </w:r>
    </w:p>
    <w:p>
      <w:pPr>
        <w:pStyle w:val="Heading3"/>
      </w:pPr>
      <w:r>
        <w:rPr>
          <w:rFonts w:ascii="Arial" w:cs="Arial" w:eastAsia="Arial" w:hAnsi="Arial"/>
          <w:b/>
          <w:bCs/>
          <w:color w:val="2F4F4F"/>
          <w:sz w:val="22"/>
          <w:szCs w:val="22"/>
        </w:rPr>
        <w:t xml:space="preserve">Sistema de alertas escalonadas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80"/>
        <w:gridCol w:w="25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Nivel de alerta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Umbral de activación</w:t>
            </w:r>
          </w:p>
        </w:tc>
        <w:tc>
          <w:tcPr>
            <w:tcW w:type="dxa" w:w="2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Acción inmediata (≤ 48 h)</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Acción estructural (≤ 2 semanas)</w:t>
            </w:r>
          </w:p>
        </w:tc>
      </w:tr>
      <w:tr>
        <w:tc>
          <w:tcPr>
            <w:tcW w:type="dxa" w:w="14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AMARILLA</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Precisión M2 cae &gt; 3 pp vs. línea base en muestra mensual (n = 100 casos revisados por experto), o HITL recall cae &gt; 2 pp</w:t>
            </w:r>
          </w:p>
        </w:tc>
        <w:tc>
          <w:tcPr>
            <w:tcW w:type="dxa" w:w="2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Notificación automática al Comité de IA URAB. Revisión de prompts y corpus RAG por equipo técnico. Análisis de los 20 casos más divergentes para identificar patrón.</w:t>
            </w:r>
          </w:p>
        </w:tc>
        <w:tc>
          <w:tcPr>
            <w:tcW w:type="dxa" w:w="2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Ajuste de prompts o actualización de corpus RAG sin cambio de modelo. Registro en bitácora de cambios con versión, fecha y responsable.</w:t>
            </w:r>
          </w:p>
        </w:tc>
      </w:tr>
      <w:tr>
        <w:tc>
          <w:tcPr>
            <w:tcW w:type="dxa" w:w="14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NARANJA</w:t>
            </w:r>
          </w:p>
        </w:tc>
        <w:tc>
          <w:tcPr>
            <w:tcW w:type="dxa" w:w="26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r>
              <w:rPr>
                <w:rFonts w:ascii="Arial" w:cs="Arial" w:eastAsia="Arial" w:hAnsi="Arial"/>
                <w:b w:val="false"/>
                <w:bCs w:val="false"/>
                <w:sz w:val="20"/>
                <w:szCs w:val="20"/>
              </w:rPr>
              <w:t xml:space="preserve">Precisión M2 cae &gt; 5 pp, o HITL recall cae &gt; 4 pp, o tasa de falsos negativos en urgentes supera 3% en cualquier semana</w:t>
            </w:r>
          </w:p>
        </w:tc>
        <w:tc>
          <w:tcPr>
            <w:tcW w:type="dxa" w:w="278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r>
              <w:rPr>
                <w:rFonts w:ascii="Arial" w:cs="Arial" w:eastAsia="Arial" w:hAnsi="Arial"/>
                <w:b w:val="false"/>
                <w:bCs w:val="false"/>
                <w:sz w:val="20"/>
                <w:szCs w:val="20"/>
              </w:rPr>
              <w:t xml:space="preserve">Congelamiento inmediato de actualizaciones automáticas de prompts. Revisión manual del 100% de casos clasificados como urgentes por 2 semanas. Notificación a jefe de la URAB.</w:t>
            </w:r>
          </w:p>
        </w:tc>
        <w:tc>
          <w:tcPr>
            <w:tcW w:type="dxa" w:w="258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r>
              <w:rPr>
                <w:rFonts w:ascii="Arial" w:cs="Arial" w:eastAsia="Arial" w:hAnsi="Arial"/>
                <w:b w:val="false"/>
                <w:bCs w:val="false"/>
                <w:sz w:val="20"/>
                <w:szCs w:val="20"/>
              </w:rPr>
              <w:t xml:space="preserve">Convocatoria de revisión técnica con Anthropic (soporte). Evaluación de si el drift se debe a cambio en el lenguaje de las peticiones (nuevos patrones) o degradación del modelo. Plan de remediación en 10 días.</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ROJA</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Precisión M2 cae &gt; 8 pp, o HITL recall cae &gt; 6 pp, o se detecta un caso urgente clasificado erróneamente que causó daño documentable (vencimiento de término, no atención de amenaza vital)</w:t>
            </w:r>
          </w:p>
        </w:tc>
        <w:tc>
          <w:tcPr>
            <w:tcW w:type="dxa" w:w="27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Suspensión del módulo afectado. Activación del modo manual URAB: todos los casos son clasificados manualmente por funcionarios hasta estabilización. Notificación inmediata al Director de la Defensoría Regional.</w:t>
            </w:r>
          </w:p>
        </w:tc>
        <w:tc>
          <w:tcPr>
            <w:tcW w:type="dxa" w:w="2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Convocatoria de auditoría extraordinaria (no espera al ciclo semestral). Post-mortem del incidente. Revisión de si el umbral de confianza mínimo de M2 debe aumentarse. Informe público de incidente conforme Directiva 007.</w:t>
            </w:r>
          </w:p>
        </w:tc>
      </w:tr>
    </w:tbl>
    <w:p>
      <w:pPr>
        <w:spacing w:after="100"/>
      </w:pPr>
      <w:r>
        <w:t xml:space="preserve"/>
      </w:r>
    </w:p>
    <w:p>
      <w:pPr>
        <w:pStyle w:val="Heading3"/>
      </w:pPr>
      <w:r>
        <w:rPr>
          <w:rFonts w:ascii="Arial" w:cs="Arial" w:eastAsia="Arial" w:hAnsi="Arial"/>
          <w:b/>
          <w:bCs/>
          <w:color w:val="2F4F4F"/>
          <w:sz w:val="22"/>
          <w:szCs w:val="22"/>
        </w:rPr>
        <w:t xml:space="preserve">Mecanismo de medición mensual</w:t>
      </w:r>
    </w:p>
    <w:p>
      <w:pPr>
        <w:spacing w:after="120"/>
        <w:jc w:val="both"/>
      </w:pPr>
      <w:r>
        <w:rPr>
          <w:rFonts w:ascii="Arial" w:cs="Arial" w:eastAsia="Arial" w:hAnsi="Arial"/>
          <w:b w:val="false"/>
          <w:bCs w:val="false"/>
          <w:i w:val="false"/>
          <w:iCs w:val="false"/>
          <w:sz w:val="22"/>
          <w:szCs w:val="22"/>
        </w:rPr>
        <w:t xml:space="preserve">La evaluación de deriva no requiere etiquetar manualmente todos los casos cada mes. Se usa un muestreo estratificado:</w:t>
      </w:r>
    </w:p>
    <w:p>
      <w:pPr>
        <w:pStyle w:val="ListParagraph"/>
        <w:numPr>
          <w:ilvl w:val="0"/>
          <w:numId w:val="2"/>
        </w:numPr>
        <w:spacing w:after="80"/>
      </w:pPr>
      <w:r>
        <w:rPr>
          <w:rFonts w:ascii="Arial" w:cs="Arial" w:eastAsia="Arial" w:hAnsi="Arial"/>
          <w:b w:val="false"/>
          <w:bCs w:val="false"/>
          <w:i w:val="false"/>
          <w:iCs w:val="false"/>
          <w:sz w:val="22"/>
          <w:szCs w:val="22"/>
        </w:rPr>
        <w:t xml:space="preserve">Muestra aleatoria de 100 casos cerrados del mes anterior, estratificada por categoría (urgente, alta, media, baja) para garantizar representación de casos críticos.</w:t>
      </w:r>
    </w:p>
    <w:p>
      <w:pPr>
        <w:pStyle w:val="ListParagraph"/>
        <w:numPr>
          <w:ilvl w:val="0"/>
          <w:numId w:val="2"/>
        </w:numPr>
        <w:spacing w:after="80"/>
      </w:pPr>
      <w:r>
        <w:rPr>
          <w:rFonts w:ascii="Arial" w:cs="Arial" w:eastAsia="Arial" w:hAnsi="Arial"/>
          <w:b w:val="false"/>
          <w:bCs w:val="false"/>
          <w:i w:val="false"/>
          <w:iCs w:val="false"/>
          <w:sz w:val="22"/>
          <w:szCs w:val="22"/>
        </w:rPr>
        <w:t xml:space="preserve">Dos revisores humanos independientes (profesionales URAB) reclasifican los 100 casos sin ver la clasificación de M2.</w:t>
      </w:r>
    </w:p>
    <w:p>
      <w:pPr>
        <w:pStyle w:val="ListParagraph"/>
        <w:numPr>
          <w:ilvl w:val="0"/>
          <w:numId w:val="2"/>
        </w:numPr>
        <w:spacing w:after="80"/>
      </w:pPr>
      <w:r>
        <w:rPr>
          <w:rFonts w:ascii="Arial" w:cs="Arial" w:eastAsia="Arial" w:hAnsi="Arial"/>
          <w:b w:val="false"/>
          <w:bCs w:val="false"/>
          <w:i w:val="false"/>
          <w:iCs w:val="false"/>
          <w:sz w:val="22"/>
          <w:szCs w:val="22"/>
        </w:rPr>
        <w:t xml:space="preserve">Se calcula la tasa de acuerdo entre M2 y los revisores. La discrepancia en casos urgentes tiene peso doble en el índice final.</w:t>
      </w:r>
    </w:p>
    <w:p>
      <w:pPr>
        <w:pStyle w:val="ListParagraph"/>
        <w:numPr>
          <w:ilvl w:val="0"/>
          <w:numId w:val="2"/>
        </w:numPr>
        <w:spacing w:after="80"/>
      </w:pPr>
      <w:r>
        <w:rPr>
          <w:rFonts w:ascii="Arial" w:cs="Arial" w:eastAsia="Arial" w:hAnsi="Arial"/>
          <w:b w:val="false"/>
          <w:bCs w:val="false"/>
          <w:i w:val="false"/>
          <w:iCs w:val="false"/>
          <w:sz w:val="22"/>
          <w:szCs w:val="22"/>
        </w:rPr>
        <w:t xml:space="preserve">El resultado se registra en el tablero M8 con tendencia mensual. El Comité de IA recibe el reporte en los primeros 5 días hábiles de cada mes.</w:t>
      </w:r>
    </w:p>
    <w:p>
      <w:pPr>
        <w:spacing w:after="100"/>
      </w:pPr>
      <w:r>
        <w:t xml:space="preserve"/>
      </w:r>
    </w:p>
    <w:p>
      <w:pPr>
        <w:pStyle w:val="Heading3"/>
      </w:pPr>
      <w:r>
        <w:rPr>
          <w:rFonts w:ascii="Arial" w:cs="Arial" w:eastAsia="Arial" w:hAnsi="Arial"/>
          <w:b/>
          <w:bCs/>
          <w:color w:val="2F4F4F"/>
          <w:sz w:val="22"/>
          <w:szCs w:val="22"/>
        </w:rPr>
        <w:t xml:space="preserve">Política de actualización controlada</w:t>
      </w:r>
    </w:p>
    <w:p>
      <w:pPr>
        <w:spacing w:after="120"/>
        <w:jc w:val="both"/>
      </w:pPr>
      <w:r>
        <w:rPr>
          <w:rFonts w:ascii="Arial" w:cs="Arial" w:eastAsia="Arial" w:hAnsi="Arial"/>
          <w:b w:val="false"/>
          <w:bCs w:val="false"/>
          <w:i w:val="false"/>
          <w:iCs w:val="false"/>
          <w:sz w:val="22"/>
          <w:szCs w:val="22"/>
        </w:rPr>
        <w:t xml:space="preserve">Ningún cambio al modelo o a los prompts de producción se implementa sin pasar por el siguiente proceso:</w:t>
      </w:r>
    </w:p>
    <w:p>
      <w:pPr>
        <w:pStyle w:val="ListParagraph"/>
        <w:numPr>
          <w:ilvl w:val="0"/>
          <w:numId w:val="3"/>
        </w:numPr>
        <w:spacing w:after="80"/>
      </w:pPr>
      <w:r>
        <w:rPr>
          <w:rFonts w:ascii="Arial" w:cs="Arial" w:eastAsia="Arial" w:hAnsi="Arial"/>
          <w:sz w:val="22"/>
          <w:szCs w:val="22"/>
        </w:rPr>
        <w:t xml:space="preserve">Propuesta de cambio documentada (qué cambia, por qué, evidencia de mejora esperada).</w:t>
      </w:r>
    </w:p>
    <w:p>
      <w:pPr>
        <w:pStyle w:val="ListParagraph"/>
        <w:numPr>
          <w:ilvl w:val="0"/>
          <w:numId w:val="3"/>
        </w:numPr>
        <w:spacing w:after="80"/>
      </w:pPr>
      <w:r>
        <w:rPr>
          <w:rFonts w:ascii="Arial" w:cs="Arial" w:eastAsia="Arial" w:hAnsi="Arial"/>
          <w:sz w:val="22"/>
          <w:szCs w:val="22"/>
        </w:rPr>
        <w:t xml:space="preserve">Prueba en entorno de staging sobre el corpus sintético (N=20.417) y el conjunto de validación del piloto.</w:t>
      </w:r>
    </w:p>
    <w:p>
      <w:pPr>
        <w:pStyle w:val="ListParagraph"/>
        <w:numPr>
          <w:ilvl w:val="0"/>
          <w:numId w:val="3"/>
        </w:numPr>
        <w:spacing w:after="80"/>
      </w:pPr>
      <w:r>
        <w:rPr>
          <w:rFonts w:ascii="Arial" w:cs="Arial" w:eastAsia="Arial" w:hAnsi="Arial"/>
          <w:sz w:val="22"/>
          <w:szCs w:val="22"/>
        </w:rPr>
        <w:t xml:space="preserve">Aprobación del Comité de IA (quórum: jefe URAB + responsable técnico + DPO).</w:t>
      </w:r>
    </w:p>
    <w:p>
      <w:pPr>
        <w:pStyle w:val="ListParagraph"/>
        <w:numPr>
          <w:ilvl w:val="0"/>
          <w:numId w:val="3"/>
        </w:numPr>
        <w:spacing w:after="80"/>
      </w:pPr>
      <w:r>
        <w:rPr>
          <w:rFonts w:ascii="Arial" w:cs="Arial" w:eastAsia="Arial" w:hAnsi="Arial"/>
          <w:sz w:val="22"/>
          <w:szCs w:val="22"/>
        </w:rPr>
        <w:t xml:space="preserve">Despliegue en producción con registro de versión en el repositorio de cambios.</w:t>
      </w:r>
    </w:p>
    <w:p>
      <w:pPr>
        <w:pStyle w:val="ListParagraph"/>
        <w:numPr>
          <w:ilvl w:val="0"/>
          <w:numId w:val="3"/>
        </w:numPr>
        <w:spacing w:after="80"/>
      </w:pPr>
      <w:r>
        <w:rPr>
          <w:rFonts w:ascii="Arial" w:cs="Arial" w:eastAsia="Arial" w:hAnsi="Arial"/>
          <w:sz w:val="22"/>
          <w:szCs w:val="22"/>
        </w:rPr>
        <w:t xml:space="preserve">Monitoreo reforzado (alerta amarilla activada por defecto) durante los 15 días posteriores al cambio.</w:t>
      </w:r>
    </w:p>
    <w:p>
      <w:pPr>
        <w:spacing w:after="100"/>
      </w:pPr>
      <w:r>
        <w:t xml:space="preserve"/>
      </w:r>
    </w:p>
    <w:p>
      <w:pPr>
        <w:pBdr>
          <w:left w:val="single" w:color="2E75B6" w:sz="12" w:space="8"/>
        </w:pBdr>
        <w:spacing w:after="120"/>
        <w:ind w:left="400"/>
      </w:pPr>
      <w:r>
        <w:rPr>
          <w:rFonts w:ascii="Arial" w:cs="Arial" w:eastAsia="Arial" w:hAnsi="Arial"/>
          <w:i/>
          <w:iCs/>
          <w:color w:val="404040"/>
          <w:sz w:val="20"/>
          <w:szCs w:val="20"/>
        </w:rPr>
        <w:t xml:space="preserve">Integración con el verificador NIST/ISO: el script verificador_nist_iso.py puede extenderse para incluir las métricas de drift como indicadores del dominio MANAGE del NIST AI RMF. Las alertas amarilla/naranja/roja mapean a los niveles de riesgo bajo/medio/alto del GOVERN framework.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B4 · M3 Reparto Inteligente — Criterio Tri-Dimensional y Trazabilidad del 'Por Qué'</w:t>
            </w:r>
          </w:p>
          <w:p>
            <w:pPr>
              <w:spacing w:after="0"/>
            </w:pPr>
            <w:r>
              <w:rPr>
                <w:rFonts w:ascii="Arial" w:cs="Arial" w:eastAsia="Arial" w:hAnsi="Arial"/>
                <w:color w:val="D9D9D9"/>
                <w:sz w:val="18"/>
                <w:szCs w:val="18"/>
              </w:rPr>
              <w:t xml:space="preserve">Referencia RFP: §3 RFP M3 · §4.4 Requerimientos de desempeño · §5.4 Gobernanza</w:t>
            </w:r>
          </w:p>
        </w:tc>
      </w:tr>
    </w:tbl>
    <w:p>
      <w:pPr>
        <w:spacing w:after="100"/>
      </w:pPr>
      <w:r>
        <w:t xml:space="preserve"/>
      </w:r>
    </w:p>
    <w:p>
      <w:pPr>
        <w:pStyle w:val="Heading2"/>
      </w:pPr>
      <w:r>
        <w:rPr>
          <w:rFonts w:ascii="Arial" w:cs="Arial" w:eastAsia="Arial" w:hAnsi="Arial"/>
          <w:b/>
          <w:bCs/>
          <w:color w:val="2E75B6"/>
          <w:sz w:val="24"/>
          <w:szCs w:val="24"/>
        </w:rPr>
        <w:t xml:space="preserve">El ajuste: reparto por especialidad, no solo por carga</w:t>
      </w:r>
    </w:p>
    <w:p>
      <w:pPr>
        <w:spacing w:after="120"/>
        <w:jc w:val="both"/>
      </w:pPr>
      <w:r>
        <w:rPr>
          <w:rFonts w:ascii="Arial" w:cs="Arial" w:eastAsia="Arial" w:hAnsi="Arial"/>
          <w:b w:val="false"/>
          <w:bCs w:val="false"/>
          <w:i w:val="false"/>
          <w:iCs w:val="false"/>
          <w:sz w:val="22"/>
          <w:szCs w:val="22"/>
        </w:rPr>
        <w:t xml:space="preserve">La descripción original de M3 se centraba en el equilibrio de carga como criterio de asignación. El RFP §3 exige explícitamente 'trazabilidad del a quién y el por qué' del reparto. La revisión de Laura señala correctamente que el criterio no puede ser solo 'quién tiene menos trabajo': debe incorporar la competencia temática del profesional, especialmente para casos que involucren VBG, NNA o desaparición, donde la especialización es una salvaguarda de derechos.</w:t>
      </w:r>
    </w:p>
    <w:p>
      <w:pPr>
        <w:spacing w:after="100"/>
      </w:pPr>
      <w:r>
        <w:t xml:space="preserve"/>
      </w:r>
    </w:p>
    <w:p>
      <w:pPr>
        <w:pStyle w:val="Heading2"/>
      </w:pPr>
      <w:r>
        <w:rPr>
          <w:rFonts w:ascii="Arial" w:cs="Arial" w:eastAsia="Arial" w:hAnsi="Arial"/>
          <w:b/>
          <w:bCs/>
          <w:color w:val="2E75B6"/>
          <w:sz w:val="24"/>
          <w:szCs w:val="24"/>
        </w:rPr>
        <w:t xml:space="preserve">Criterio tri-dimensional de asignación</w:t>
      </w:r>
    </w:p>
    <w:p>
      <w:pPr>
        <w:spacing w:after="120"/>
        <w:jc w:val="both"/>
      </w:pPr>
      <w:r>
        <w:rPr>
          <w:rFonts w:ascii="Arial" w:cs="Arial" w:eastAsia="Arial" w:hAnsi="Arial"/>
          <w:b w:val="false"/>
          <w:bCs w:val="false"/>
          <w:i w:val="false"/>
          <w:iCs w:val="false"/>
          <w:sz w:val="22"/>
          <w:szCs w:val="22"/>
        </w:rPr>
        <w:t xml:space="preserve">M3 pondera tres dimensiones en el siguiente orden de prioridad: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160"/>
        <w:gridCol w:w="24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Dimensión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Ejemplo</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2"/>
                <w:szCs w:val="22"/>
              </w:rPr>
              <w:t xml:space="preserve">1°</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Competencia temática declarada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Cada profesional tiene un perfil de especialidad registrado en URAB-AI (asignable y actualizable por el jefe de unidad): VBG, NNA, desaparición forzada, salud, conflicto armado, privación de libertad, general. Las peticiones clasificadas por M2 como urgentes o de categoría crítica se asignan prioritariamente a profesionales con perfil coincidente, independientemente de la carga actual.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Caso de VBG urgente → asignado a profesional con perfil VBG aunque tenga 10% más carga que otro sin ese perfil.</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C55A11"/>
                <w:sz w:val="22"/>
                <w:szCs w:val="22"/>
              </w:rPr>
              <w:t xml:space="preserve">2°</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Carga equilibrada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Entre los profesionales con perfil compatible (o para casos no urgentes donde cualquier profesional puede atender), M3 asigna al que tiene menor carga activa: número de casos en triage + casos en gestión + peso estimado de cierre pendiente. El objetivo es mantener el ratio máx/mín ≤ 2.1x (vs. AS-IS de 7.7x). El umbral de carga máxima por profesional es configurable por el jefe de unidad.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Entre dos profesionales con perfil salud, asignar al que tiene 847 casos activos vs. el que tiene 1.103.</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2"/>
                <w:szCs w:val="22"/>
              </w:rPr>
              <w:t xml:space="preserve">3°</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Continuidad con el peticionario (M5)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 M5 detecta que el ciudadano tiene un radicado anterior activo o cerrado con un profesional específico, ese profesional recibe el nuevo caso de forma preferente. Esto garantiza coherencia institucional: el profesional ya conoce el historial del peticionario, evita que el ciudadano tenga que repetir su situación y permite detectar patrones de recurrencia que pueden indicar una vulneración sistemática.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Ciudadano con radicado previo sobre la misma entidad → asignado al mismo profesional de su caso anterior.</w:t>
            </w:r>
          </w:p>
        </w:tc>
      </w:tr>
    </w:tbl>
    <w:p>
      <w:pPr>
        <w:spacing w:after="100"/>
      </w:pPr>
      <w:r>
        <w:t xml:space="preserve"/>
      </w:r>
    </w:p>
    <w:p>
      <w:pPr>
        <w:pStyle w:val="Heading2"/>
      </w:pPr>
      <w:r>
        <w:rPr>
          <w:rFonts w:ascii="Arial" w:cs="Arial" w:eastAsia="Arial" w:hAnsi="Arial"/>
          <w:b/>
          <w:bCs/>
          <w:color w:val="2E75B6"/>
          <w:sz w:val="24"/>
          <w:szCs w:val="24"/>
        </w:rPr>
        <w:t xml:space="preserve">Trazabilidad del 'por qué': log de asignación legible</w:t>
      </w:r>
    </w:p>
    <w:p>
      <w:pPr>
        <w:spacing w:after="120"/>
        <w:jc w:val="both"/>
      </w:pPr>
      <w:r>
        <w:rPr>
          <w:rFonts w:ascii="Arial" w:cs="Arial" w:eastAsia="Arial" w:hAnsi="Arial"/>
          <w:b w:val="false"/>
          <w:bCs w:val="false"/>
          <w:i w:val="false"/>
          <w:iCs w:val="false"/>
          <w:sz w:val="22"/>
          <w:szCs w:val="22"/>
        </w:rPr>
        <w:t xml:space="preserve">Cada asignación genera un registro en el log del caso con texto legible por el profesional, el jefe de unidad y el auditor. Ejemplos de entradas en el log: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Caso asignado por competencia temática (criterio 1°)</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Caso asignado por carga + continuidad (criterios 2° y 3°)</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Radicado DP-2026-004821 asignado a: </w:t>
            </w:r>
            <w:r>
              <w:rPr>
                <w:rFonts w:ascii="Arial" w:cs="Arial" w:eastAsia="Arial" w:hAnsi="Arial"/>
                <w:b/>
                <w:bCs/>
                <w:sz w:val="20"/>
                <w:szCs w:val="20"/>
              </w:rPr>
              <w:t xml:space="preserve">Profesional [ID-07]</w:t>
            </w:r>
            <w:r>
              <w:rPr>
                <w:rFonts w:ascii="Arial" w:cs="Arial" w:eastAsia="Arial" w:hAnsi="Arial"/>
                <w:sz w:val="20"/>
                <w:szCs w:val="20"/>
              </w:rPr>
              <w:t xml:space="preserve">
Razón: Categoría M2 = VBG urgente | Perfil coincidente: VBG (perfil activo desde 2025-03-01) | Carga actual: 912 casos (dentro del umbral 1.200) | No hay historial previo del peticionario en URAB.
Criterio aplicado: Prioridad 1° — Competencia temática.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Radicado DP-2026-004822 asignado a: </w:t>
            </w:r>
            <w:r>
              <w:rPr>
                <w:rFonts w:ascii="Arial" w:cs="Arial" w:eastAsia="Arial" w:hAnsi="Arial"/>
                <w:b/>
                <w:bCs/>
                <w:sz w:val="20"/>
                <w:szCs w:val="20"/>
              </w:rPr>
              <w:t xml:space="preserve">Profesional [ID-12]</w:t>
            </w:r>
            <w:r>
              <w:rPr>
                <w:rFonts w:ascii="Arial" w:cs="Arial" w:eastAsia="Arial" w:hAnsi="Arial"/>
                <w:sz w:val="20"/>
                <w:szCs w:val="20"/>
              </w:rPr>
              <w:t xml:space="preserve">
Razón: Categoría M2 = salud / media urgencia | Perfil [ID-12]: general | Carga [ID-12]: 784 casos (mínima entre 17 profesionales) | M5 detectó radicado DP-2025-009341 previo con [ID-12].
Criterio aplicado: Prioridad 2° (carga mínima) + Prioridad 3° (continuidad) — coincidentes.</w:t>
            </w:r>
          </w:p>
        </w:tc>
      </w:tr>
    </w:tbl>
    <w:p>
      <w:pPr>
        <w:spacing w:after="100"/>
      </w:pPr>
      <w:r>
        <w:t xml:space="preserve"/>
      </w:r>
    </w:p>
    <w:p>
      <w:pPr>
        <w:pStyle w:val="Heading3"/>
      </w:pPr>
      <w:r>
        <w:rPr>
          <w:rFonts w:ascii="Arial" w:cs="Arial" w:eastAsia="Arial" w:hAnsi="Arial"/>
          <w:b/>
          <w:bCs/>
          <w:color w:val="2F4F4F"/>
          <w:sz w:val="22"/>
          <w:szCs w:val="22"/>
        </w:rPr>
        <w:t xml:space="preserve">Configurabilidad y supervisión humana</w:t>
      </w:r>
    </w:p>
    <w:p>
      <w:pPr>
        <w:spacing w:after="120"/>
        <w:jc w:val="both"/>
      </w:pPr>
      <w:r>
        <w:rPr>
          <w:rFonts w:ascii="Arial" w:cs="Arial" w:eastAsia="Arial" w:hAnsi="Arial"/>
          <w:b w:val="false"/>
          <w:bCs w:val="false"/>
          <w:i w:val="false"/>
          <w:iCs w:val="false"/>
          <w:sz w:val="22"/>
          <w:szCs w:val="22"/>
        </w:rPr>
        <w:t xml:space="preserve">El jefe de la URAB puede, en cualquier momento:</w:t>
      </w:r>
    </w:p>
    <w:p>
      <w:pPr>
        <w:pStyle w:val="ListParagraph"/>
        <w:numPr>
          <w:ilvl w:val="0"/>
          <w:numId w:val="2"/>
        </w:numPr>
        <w:spacing w:after="80"/>
      </w:pPr>
      <w:r>
        <w:rPr>
          <w:rFonts w:ascii="Arial" w:cs="Arial" w:eastAsia="Arial" w:hAnsi="Arial"/>
          <w:b w:val="false"/>
          <w:bCs w:val="false"/>
          <w:i w:val="false"/>
          <w:iCs w:val="false"/>
          <w:sz w:val="22"/>
          <w:szCs w:val="22"/>
        </w:rPr>
        <w:t xml:space="preserve">Reasignar manualmente un caso con justificación registrada en el log.</w:t>
      </w:r>
    </w:p>
    <w:p>
      <w:pPr>
        <w:pStyle w:val="ListParagraph"/>
        <w:numPr>
          <w:ilvl w:val="0"/>
          <w:numId w:val="2"/>
        </w:numPr>
        <w:spacing w:after="80"/>
      </w:pPr>
      <w:r>
        <w:rPr>
          <w:rFonts w:ascii="Arial" w:cs="Arial" w:eastAsia="Arial" w:hAnsi="Arial"/>
          <w:b w:val="false"/>
          <w:bCs w:val="false"/>
          <w:i w:val="false"/>
          <w:iCs w:val="false"/>
          <w:sz w:val="22"/>
          <w:szCs w:val="22"/>
        </w:rPr>
        <w:t xml:space="preserve">Actualizar los perfiles de especialidad de los profesionales.</w:t>
      </w:r>
    </w:p>
    <w:p>
      <w:pPr>
        <w:pStyle w:val="ListParagraph"/>
        <w:numPr>
          <w:ilvl w:val="0"/>
          <w:numId w:val="2"/>
        </w:numPr>
        <w:spacing w:after="80"/>
      </w:pPr>
      <w:r>
        <w:rPr>
          <w:rFonts w:ascii="Arial" w:cs="Arial" w:eastAsia="Arial" w:hAnsi="Arial"/>
          <w:b w:val="false"/>
          <w:bCs w:val="false"/>
          <w:i w:val="false"/>
          <w:iCs w:val="false"/>
          <w:sz w:val="22"/>
          <w:szCs w:val="22"/>
        </w:rPr>
        <w:t xml:space="preserve">Ajustar los umbrales de carga máxima por profesional según temporadas de mayor volumen.</w:t>
      </w:r>
    </w:p>
    <w:p>
      <w:pPr>
        <w:pStyle w:val="ListParagraph"/>
        <w:numPr>
          <w:ilvl w:val="0"/>
          <w:numId w:val="2"/>
        </w:numPr>
        <w:spacing w:after="80"/>
      </w:pPr>
      <w:r>
        <w:rPr>
          <w:rFonts w:ascii="Arial" w:cs="Arial" w:eastAsia="Arial" w:hAnsi="Arial"/>
          <w:b w:val="false"/>
          <w:bCs w:val="false"/>
          <w:i w:val="false"/>
          <w:iCs w:val="false"/>
          <w:sz w:val="22"/>
          <w:szCs w:val="22"/>
        </w:rPr>
        <w:t xml:space="preserve">Consultar el historial de asignaciones por profesional, por categoría y por período para detectar desequilibrios sistémicos.</w:t>
      </w:r>
    </w:p>
    <w:p>
      <w:pPr>
        <w:spacing w:after="100"/>
      </w:pPr>
      <w:r>
        <w:t xml:space="preserve"/>
      </w:r>
    </w:p>
    <w:p>
      <w:pPr>
        <w:pBdr>
          <w:left w:val="single" w:color="2E75B6" w:sz="16" w:space="6"/>
        </w:pBdr>
        <w:shd w:fill="D6E4F0" w:val="clear"/>
        <w:spacing w:after="160"/>
        <w:ind w:left="300" w:right="300"/>
      </w:pPr>
      <w:r>
        <w:rPr>
          <w:rFonts w:ascii="Arial" w:cs="Arial" w:eastAsia="Arial" w:hAnsi="Arial"/>
          <w:b/>
          <w:bCs/>
          <w:color w:val="1F4E79"/>
          <w:sz w:val="20"/>
          <w:szCs w:val="20"/>
        </w:rPr>
        <w:t xml:space="preserve">Respuesta para el jurado: </w:t>
      </w:r>
      <w:r>
        <w:rPr>
          <w:rFonts w:ascii="Arial" w:cs="Arial" w:eastAsia="Arial" w:hAnsi="Arial"/>
          <w:i/>
          <w:iCs/>
          <w:color w:val="1a1a1a"/>
          <w:sz w:val="20"/>
          <w:szCs w:val="20"/>
        </w:rPr>
        <w:t xml:space="preserve">M3 no es un algoritmo de reparto ciega — es un sistema que primero pregunta '¿quién puede atender mejor este caso?' y luego '¿quién tiene capacidad para hacerlo?'. La trazabilidad del log garantiza que ninguna asignación sea opaca: el profesional sabe por qué le llegó el caso, y el auditor puede revisarlo.</w:t>
      </w:r>
    </w:p>
    <w:p>
      <w:pPr>
        <w:spacing w:after="100"/>
      </w:pPr>
      <w:r>
        <w:t xml:space="preserve"/>
      </w:r>
    </w:p>
    <w:p>
      <w:pPr>
        <w:pBdr>
          <w:top w:val="single" w:color="2E75B6" w:sz="4" w:space="1"/>
        </w:pBdr>
        <w:spacing w:before="400"/>
      </w:pPr>
    </w:p>
    <w:p>
      <w:pPr>
        <w:spacing w:after="80"/>
      </w:pPr>
      <w:r>
        <w:rPr>
          <w:rFonts w:ascii="Arial" w:cs="Arial" w:eastAsia="Arial" w:hAnsi="Arial"/>
          <w:color w:val="888888"/>
          <w:sz w:val="18"/>
          <w:szCs w:val="18"/>
        </w:rPr>
        <w:t xml:space="preserve">Sprint B completado · LSL2026 · URAB-AI</w:t>
      </w:r>
    </w:p>
    <w:p>
      <w:r>
        <w:rPr>
          <w:rFonts w:ascii="Arial" w:cs="Arial" w:eastAsia="Arial" w:hAnsi="Arial"/>
          <w:i/>
          <w:iCs/>
          <w:color w:val="888888"/>
          <w:sz w:val="18"/>
          <w:szCs w:val="18"/>
        </w:rPr>
        <w:t xml:space="preserve">Siguiente: Sprint C (C1 · responsabilidad disciplinaria M6 / C2 · seguridad física en terreno) — requiere confirmación de posición del equipo.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6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2F4F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2026-06-14T13:33:41.719Z</dcterms:created>
  <dcterms:modified xsi:type="dcterms:W3CDTF">2026-06-14T13:33:41.720Z</dcterms:modified>
</cp:coreProperties>
</file>

<file path=docProps/custom.xml><?xml version="1.0" encoding="utf-8"?>
<Properties xmlns="http://schemas.openxmlformats.org/officeDocument/2006/custom-properties" xmlns:vt="http://schemas.openxmlformats.org/officeDocument/2006/docPropsVTypes"/>
</file>