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F4E79"/>
          <w:sz w:val="32"/>
          <w:szCs w:val="32"/>
        </w:rPr>
        <w:t xml:space="preserve">URAB-AI · Legal Strategy Lab 2026</w:t>
      </w:r>
    </w:p>
    <w:p>
      <w:pPr>
        <w:spacing w:after="80"/>
      </w:pPr>
      <w:r>
        <w:rPr>
          <w:rFonts w:ascii="Arial" w:cs="Arial" w:eastAsia="Arial" w:hAnsi="Arial"/>
          <w:color w:val="555555"/>
          <w:sz w:val="26"/>
          <w:szCs w:val="26"/>
        </w:rPr>
        <w:t xml:space="preserve">Ajustes Sprint C — Gobernanza de Riesgos Críticos</w:t>
      </w:r>
    </w:p>
    <w:p>
      <w:pPr>
        <w:spacing w:after="80"/>
      </w:pPr>
      <w:r>
        <w:rPr>
          <w:rFonts w:ascii="Arial" w:cs="Arial" w:eastAsia="Arial" w:hAnsi="Arial"/>
          <w:color w:val="888888"/>
          <w:sz w:val="20"/>
          <w:szCs w:val="20"/>
        </w:rPr>
        <w:t xml:space="preserve">C1 · Responsabilidad disciplinaria por alucinaciones de M6  ·  C2 · Seguridad física en terreno</w:t>
      </w:r>
    </w:p>
    <w:p>
      <w:pPr>
        <w:pBdr>
          <w:bottom w:val="single" w:color="2E75B6" w:sz="6" w:space="1"/>
        </w:pBd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C1 · Responsabilidad Disciplinaria — Alucinaciones de M6 y Protección del Funcionario</w:t>
            </w:r>
          </w:p>
          <w:p>
            <w:pPr>
              <w:spacing w:after="0"/>
            </w:pPr>
            <w:r>
              <w:rPr>
                <w:rFonts w:ascii="Arial" w:cs="Arial" w:eastAsia="Arial" w:hAnsi="Arial"/>
                <w:color w:val="D9D9D9"/>
                <w:sz w:val="18"/>
                <w:szCs w:val="18"/>
              </w:rPr>
              <w:t xml:space="preserve">Referencia RFP: §5.3 RFP (cambio sociotécnico) · §5.4 Gobernanza · §5.5 Riesgo de daño antijurídico · Código Disciplinario Único (Ley 734/2002)</w:t>
            </w:r>
          </w:p>
        </w:tc>
      </w:tr>
    </w:tbl>
    <w:p>
      <w:pPr>
        <w:spacing w:after="100"/>
      </w:pPr>
      <w:r>
        <w:t xml:space="preserve"/>
      </w:r>
    </w:p>
    <w:p>
      <w:pPr>
        <w:pStyle w:val="Heading2"/>
      </w:pPr>
      <w:r>
        <w:rPr>
          <w:rFonts w:ascii="Arial" w:cs="Arial" w:eastAsia="Arial" w:hAnsi="Arial"/>
          <w:b/>
          <w:bCs/>
          <w:color w:val="2E75B6"/>
          <w:sz w:val="24"/>
          <w:szCs w:val="24"/>
        </w:rPr>
        <w:t xml:space="preserve">El riesgo concreto</w:t>
      </w:r>
    </w:p>
    <w:p>
      <w:pPr>
        <w:spacing w:after="120"/>
        <w:jc w:val="both"/>
      </w:pPr>
      <w:r>
        <w:rPr>
          <w:rFonts w:ascii="Arial" w:cs="Arial" w:eastAsia="Arial" w:hAnsi="Arial"/>
          <w:b w:val="false"/>
          <w:bCs w:val="false"/>
          <w:i w:val="false"/>
          <w:iCs w:val="false"/>
          <w:sz w:val="22"/>
          <w:szCs w:val="22"/>
        </w:rPr>
        <w:t xml:space="preserve">El módulo M6 genera borradores de respuesta jurídica mediante IA generativa con RAG institucional. El profesional de la URAB revisa, edita y firma cada borrador antes de enviarlo al ciudadano. El riesgo identificado es el siguiente: si el borrador contiene un error jurídico —jurisprudencia desactualizada, plazo incorrecto, entidad destinataria equivocada, argumento contradictorio con decisiones previas de la Defensoría— y el funcionario lo firma sin detectarlo ni corregirlo, ¿quién responde disciplinariamente?</w:t>
      </w:r>
    </w:p>
    <w:p>
      <w:pPr>
        <w:spacing w:after="100"/>
      </w:pPr>
      <w:r>
        <w:t xml:space="preserve"/>
      </w:r>
    </w:p>
    <w:p>
      <w:pPr>
        <w:spacing w:after="120"/>
        <w:jc w:val="both"/>
      </w:pPr>
      <w:r>
        <w:rPr>
          <w:rFonts w:ascii="Arial" w:cs="Arial" w:eastAsia="Arial" w:hAnsi="Arial"/>
          <w:b w:val="false"/>
          <w:bCs w:val="false"/>
          <w:i w:val="false"/>
          <w:iCs w:val="false"/>
          <w:sz w:val="22"/>
          <w:szCs w:val="22"/>
        </w:rPr>
        <w:t xml:space="preserve">La IA generativa no tiene personalidad jurídica ni puede ser sujeto de responsabilidad disciplinaria. La respuesta a esta pregunta es inequívoca en el ordenamiento jurídico colombiano: el funcionario que firma responde. La tarea del diseño institucional no es eliminar esa responsabilidad —lo cual sería jurídicamente imposible e institucionalmente indeseable— sino construir las salvaguardas que protegen al funcionario de buena fe y hacen visible el deber de revisión independiente antes de la firma.</w:t>
      </w:r>
    </w:p>
    <w:p>
      <w:pPr>
        <w:spacing w:after="100"/>
      </w:pPr>
      <w:r>
        <w:t xml:space="preserve"/>
      </w:r>
    </w:p>
    <w:p>
      <w:pPr>
        <w:pStyle w:val="Heading2"/>
      </w:pPr>
      <w:r>
        <w:rPr>
          <w:rFonts w:ascii="Arial" w:cs="Arial" w:eastAsia="Arial" w:hAnsi="Arial"/>
          <w:b/>
          <w:bCs/>
          <w:color w:val="2E75B6"/>
          <w:sz w:val="24"/>
          <w:szCs w:val="24"/>
        </w:rPr>
        <w:t xml:space="preserve">Posición adoptada: responsabilidad del funcionario con salvaguarda institucional</w:t>
      </w:r>
    </w:p>
    <w:p>
      <w:pPr>
        <w:spacing w:after="120"/>
        <w:jc w:val="both"/>
      </w:pPr>
      <w:r>
        <w:rPr>
          <w:rFonts w:ascii="Arial" w:cs="Arial" w:eastAsia="Arial" w:hAnsi="Arial"/>
          <w:b w:val="false"/>
          <w:bCs w:val="false"/>
          <w:i w:val="false"/>
          <w:iCs w:val="false"/>
          <w:sz w:val="22"/>
          <w:szCs w:val="22"/>
        </w:rPr>
        <w:t xml:space="preserve">La Defensoría del Pueblo adoptará la siguiente arquitectura de responsabilidad para el módulo M6, formalizada en una circular interna antes del go-live del sistema:</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Principio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Contenido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M6 es asistente, no decisor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módulo M6 tiene rol exclusivo de asistente de redacción (copilot jurídico). No emite respuestas institucionales. Solo genera borradores para revisión del profesional. Esta distinción es estructural, no cosmética: el sistema técnicamente no puede enviar ninguna comunicación al ciudadano sin una acción afirmativa del funcionario.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Sello visible obligatorio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Todo borrador generado por M6 lleva en la interfaz del funcionario un sello permanente e inamovible: 'BORRADOR GENERADO POR IA — REQUIERE REVISIÓN Y APROBACIÓN DEL PROFESIONAL RESPONSABLE'. Este sello no puede ser ocultado ni minimizado por el usuario. Su función es activar explícitamente el deber de cuidado del funcionario antes de la firma.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Bitácora de ediciones previa a la firma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sistema registra automáticamente: (a) el borrador original generado por M6, (b) cada edición realizada por el funcionario antes de firmar, (c) el texto final aprobado, y (d) la marca temporal y la identificación del funcionario que aprobó. Este registro es inmutable y queda en la bitácora de trazabilidad del caso.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La firma certifica la revisión independiente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La circular interna de la Defensoría establecerá que la firma del funcionario sobre una respuesta generada con apoyo de M6 certifica que el profesional realizó una revisión independiente del contenido, verificó su exactitud jurídica y asume la responsabilidad de fondo. Si el funcionario firma sin cambios un borrador con error, la bitácora demuestra que recibió el aviso del sello y procedió a firmar: eso activa su deber de cuidado, no lo exime.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XAI obligatorio: el sistema explica su razonamiento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Cada borrador de M6 incluye, en sección colapsable pero visible, las fuentes RAG que utilizó: número de radicados anteriores consultados, fragmentos de jurisprudencia recuperados, plantillas institucionales aplicadas. El funcionario puede verificar la calidad de las fuentes antes de aprobar. Si M6 cita una norma derogada o una sentencia que no existe, el funcionario entrenado puede detectarlo.</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bCs/>
                <w:sz w:val="20"/>
                <w:szCs w:val="20"/>
              </w:rPr>
              <w:t xml:space="preserve">Casos de alta complejidad: doble revisión obligatoria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Para los casos clasificados por M2 como urgentes o de especial protección (NNA, VBG, desaparición, privación de libertad), el flujo exige la revisión de un segundo profesional o del coordinador de la unidad antes de que la respuesta pueda enviarse. Esto es un HITL de doble revisión que opera como salvaguarda adicional para los casos de mayor riesgo de daño antijurídico.</w:t>
            </w:r>
          </w:p>
        </w:tc>
      </w:tr>
    </w:tbl>
    <w:p>
      <w:pPr>
        <w:spacing w:after="100"/>
      </w:pPr>
      <w:r>
        <w:t xml:space="preserve"/>
      </w:r>
    </w:p>
    <w:p>
      <w:pPr>
        <w:pStyle w:val="Heading3"/>
      </w:pPr>
      <w:r>
        <w:rPr>
          <w:rFonts w:ascii="Arial" w:cs="Arial" w:eastAsia="Arial" w:hAnsi="Arial"/>
          <w:b/>
          <w:bCs/>
          <w:color w:val="2F4F4F"/>
          <w:sz w:val="22"/>
          <w:szCs w:val="22"/>
        </w:rPr>
        <w:t xml:space="preserve">Protocolo ante error detectado post-envío</w:t>
      </w:r>
    </w:p>
    <w:p>
      <w:pPr>
        <w:spacing w:after="120"/>
        <w:jc w:val="both"/>
      </w:pPr>
      <w:r>
        <w:rPr>
          <w:rFonts w:ascii="Arial" w:cs="Arial" w:eastAsia="Arial" w:hAnsi="Arial"/>
          <w:b w:val="false"/>
          <w:bCs w:val="false"/>
          <w:i w:val="false"/>
          <w:iCs w:val="false"/>
          <w:sz w:val="22"/>
          <w:szCs w:val="22"/>
        </w:rPr>
        <w:t xml:space="preserve">Si se detecta un error jurídico en una respuesta ya enviada al ciudadano que fue generada con apoyo de M6:</w:t>
      </w:r>
    </w:p>
    <w:p>
      <w:pPr>
        <w:pStyle w:val="ListParagraph"/>
        <w:numPr>
          <w:ilvl w:val="0"/>
          <w:numId w:val="2"/>
        </w:numPr>
        <w:spacing w:after="80"/>
      </w:pPr>
      <w:r>
        <w:rPr>
          <w:rFonts w:ascii="Arial" w:cs="Arial" w:eastAsia="Arial" w:hAnsi="Arial"/>
          <w:sz w:val="22"/>
          <w:szCs w:val="22"/>
        </w:rPr>
        <w:t xml:space="preserve">El profesional o el coordinador que detecta el error lo reporta al jefe de la URAB dentro de las 24 horas siguientes al hallazgo.</w:t>
      </w:r>
    </w:p>
    <w:p>
      <w:pPr>
        <w:pStyle w:val="ListParagraph"/>
        <w:numPr>
          <w:ilvl w:val="0"/>
          <w:numId w:val="2"/>
        </w:numPr>
        <w:spacing w:after="80"/>
      </w:pPr>
      <w:r>
        <w:rPr>
          <w:rFonts w:ascii="Arial" w:cs="Arial" w:eastAsia="Arial" w:hAnsi="Arial"/>
          <w:sz w:val="22"/>
          <w:szCs w:val="22"/>
        </w:rPr>
        <w:t xml:space="preserve">Se activa el protocolo de corrección institucional: comunicación al ciudadano reconociendo el error y emitiendo la respuesta correcta en el menor tiempo posible.</w:t>
      </w:r>
    </w:p>
    <w:p>
      <w:pPr>
        <w:pStyle w:val="ListParagraph"/>
        <w:numPr>
          <w:ilvl w:val="0"/>
          <w:numId w:val="2"/>
        </w:numPr>
        <w:spacing w:after="80"/>
      </w:pPr>
      <w:r>
        <w:rPr>
          <w:rFonts w:ascii="Arial" w:cs="Arial" w:eastAsia="Arial" w:hAnsi="Arial"/>
          <w:sz w:val="22"/>
          <w:szCs w:val="22"/>
        </w:rPr>
        <w:t xml:space="preserve">Se abre una investigación interna para determinar si el error provino de una alucinación de M6 no detectada o de una revisión insuficiente del funcionario. La bitácora de ediciones es la fuente de evidencia primaria.</w:t>
      </w:r>
    </w:p>
    <w:p>
      <w:pPr>
        <w:pStyle w:val="ListParagraph"/>
        <w:numPr>
          <w:ilvl w:val="0"/>
          <w:numId w:val="2"/>
        </w:numPr>
        <w:spacing w:after="80"/>
      </w:pPr>
      <w:r>
        <w:rPr>
          <w:rFonts w:ascii="Arial" w:cs="Arial" w:eastAsia="Arial" w:hAnsi="Arial"/>
          <w:sz w:val="22"/>
          <w:szCs w:val="22"/>
        </w:rPr>
        <w:t xml:space="preserve">Si la investigación evidencia que el funcionario firmó sin revisión razonable (no realizó ninguna edición en un borrador con errores factuales verificables), el resultado puede derivar en proceso disciplinario conforme a la Ley 734/2002. Si la revisión fue razonable pero el error era de difícil detección (alucinación sobre jurisprudencia existente pero obscura), la institución asume la responsabilidad y activa el protocolo de actualización del corpus RAG para evitar recurrencia.</w:t>
      </w:r>
    </w:p>
    <w:p>
      <w:pPr>
        <w:pStyle w:val="ListParagraph"/>
        <w:numPr>
          <w:ilvl w:val="0"/>
          <w:numId w:val="2"/>
        </w:numPr>
        <w:spacing w:after="80"/>
      </w:pPr>
      <w:r>
        <w:rPr>
          <w:rFonts w:ascii="Arial" w:cs="Arial" w:eastAsia="Arial" w:hAnsi="Arial"/>
          <w:sz w:val="22"/>
          <w:szCs w:val="22"/>
        </w:rPr>
        <w:t xml:space="preserve">El incidente se reporta en el informe semestral de gobernanza del Comité de IA, con análisis de causa raíz y medidas de mitigación adoptadas.</w:t>
      </w:r>
    </w:p>
    <w:p>
      <w:pPr>
        <w:spacing w:after="100"/>
      </w:pPr>
      <w:r>
        <w:t xml:space="preserve"/>
      </w:r>
    </w:p>
    <w:p>
      <w:pPr>
        <w:pBdr>
          <w:left w:val="single" w:color="2E75B6" w:sz="16" w:space="6"/>
        </w:pBdr>
        <w:shd w:fill="D6E4F0" w:val="clear"/>
        <w:spacing w:after="160"/>
        <w:ind w:left="300" w:right="300"/>
      </w:pPr>
      <w:r>
        <w:rPr>
          <w:rFonts w:ascii="Arial" w:cs="Arial" w:eastAsia="Arial" w:hAnsi="Arial"/>
          <w:b/>
          <w:bCs/>
          <w:color w:val="1F4E79"/>
          <w:sz w:val="20"/>
          <w:szCs w:val="20"/>
        </w:rPr>
        <w:t xml:space="preserve">Respuesta para el jurado: </w:t>
      </w:r>
      <w:r>
        <w:rPr>
          <w:rFonts w:ascii="Arial" w:cs="Arial" w:eastAsia="Arial" w:hAnsi="Arial"/>
          <w:i/>
          <w:iCs/>
          <w:color w:val="1a1a1a"/>
          <w:sz w:val="20"/>
          <w:szCs w:val="20"/>
        </w:rPr>
        <w:t xml:space="preserve">M6 no exime al funcionario — lo equipa. El sello de IA en el borrador es precisamente el aviso que activa su deber de revisión. La firma sigue siendo humana y con ella la responsabilidad. Lo que cambia es que el funcionario ya no parte de una hoja en blanco: parte de un borrador con sus fuentes expuestas, que puede verificar, corregir y mejorar. El error de la IA que el profesional no detecta con revisión razonable es un error del profesional. El error que nadie podría haber detectado es un aprendizaje institucional del sistema.</w:t>
      </w:r>
    </w:p>
    <w:p>
      <w:pPr>
        <w:spacing w:after="100"/>
      </w:pPr>
      <w:r>
        <w:t xml:space="preserve"/>
      </w:r>
    </w:p>
    <w:p>
      <w:pPr>
        <w:pBdr>
          <w:left w:val="single" w:color="2E75B6" w:sz="12" w:space="8"/>
        </w:pBdr>
        <w:spacing w:after="120"/>
        <w:ind w:left="400"/>
      </w:pPr>
      <w:r>
        <w:rPr>
          <w:rFonts w:ascii="Arial" w:cs="Arial" w:eastAsia="Arial" w:hAnsi="Arial"/>
          <w:i/>
          <w:iCs/>
          <w:color w:val="404040"/>
          <w:sz w:val="20"/>
          <w:szCs w:val="20"/>
        </w:rPr>
        <w:t xml:space="preserve">Marco normativo aplicable: Ley 734/2002 (Código Disciplinario Único), Art. 23 — deber funcional del servidor público. Ley 80/1993 y jurisprudencia del Consejo de Estado sobre responsabilidad del Estado por error administrativo. Resolución interna de la Defensoría que deberá formalizarse en Fase 0 antes del go-live, con concepto de la Oficina Jurídica de la entidad.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4"/>
                <w:szCs w:val="24"/>
              </w:rPr>
              <w:t xml:space="preserve">Ajuste C2 · Seguridad Física en Terreno — Cárceles, Zonas de Conflicto y Custodia de Datos</w:t>
            </w:r>
          </w:p>
          <w:p>
            <w:pPr>
              <w:spacing w:after="0"/>
            </w:pPr>
            <w:r>
              <w:rPr>
                <w:rFonts w:ascii="Arial" w:cs="Arial" w:eastAsia="Arial" w:hAnsi="Arial"/>
                <w:color w:val="D9D9D9"/>
                <w:sz w:val="18"/>
                <w:szCs w:val="18"/>
              </w:rPr>
              <w:t xml:space="preserve">Referencia RFP: §2.3 RFP (canales de recepción) · §4.5 Seguridad y continuidad · Ley 1581/2012 Art. 17</w:t>
            </w:r>
          </w:p>
        </w:tc>
      </w:tr>
    </w:tbl>
    <w:p>
      <w:pPr>
        <w:spacing w:after="100"/>
      </w:pPr>
      <w:r>
        <w:t xml:space="preserve"/>
      </w:r>
    </w:p>
    <w:p>
      <w:pPr>
        <w:pStyle w:val="Heading2"/>
      </w:pPr>
      <w:r>
        <w:rPr>
          <w:rFonts w:ascii="Arial" w:cs="Arial" w:eastAsia="Arial" w:hAnsi="Arial"/>
          <w:b/>
          <w:bCs/>
          <w:color w:val="2E75B6"/>
          <w:sz w:val="24"/>
          <w:szCs w:val="24"/>
        </w:rPr>
        <w:t xml:space="preserve">El riesgo específico: más allá de la conectividad</w:t>
      </w:r>
    </w:p>
    <w:p>
      <w:pPr>
        <w:spacing w:after="120"/>
        <w:jc w:val="both"/>
      </w:pPr>
      <w:r>
        <w:rPr>
          <w:rFonts w:ascii="Arial" w:cs="Arial" w:eastAsia="Arial" w:hAnsi="Arial"/>
          <w:b w:val="false"/>
          <w:bCs w:val="false"/>
          <w:i w:val="false"/>
          <w:iCs w:val="false"/>
          <w:sz w:val="22"/>
          <w:szCs w:val="22"/>
        </w:rPr>
        <w:t xml:space="preserve">La propuesta original contemplaba una cola de peticiones offline para zonas sin conectividad (cárceles, zonas rurales de conflicto, visitas humanitarias). Este mecanismo resuelve el problema técnico de la conectividad, pero no el riesgo operacional que lo acompaña: el funcionario que opera en una cárcel o zona de conflicto armado puede ser coaccionado para borrar, alterar o entregar el dispositivo con los datos de los peticionarios antes de que la sincronización ocurra.</w:t>
      </w:r>
    </w:p>
    <w:p>
      <w:pPr>
        <w:spacing w:after="100"/>
      </w:pPr>
      <w:r>
        <w:t xml:space="preserve"/>
      </w:r>
    </w:p>
    <w:p>
      <w:pPr>
        <w:spacing w:after="120"/>
        <w:jc w:val="both"/>
      </w:pPr>
      <w:r>
        <w:rPr>
          <w:rFonts w:ascii="Arial" w:cs="Arial" w:eastAsia="Arial" w:hAnsi="Arial"/>
          <w:b w:val="false"/>
          <w:bCs w:val="false"/>
          <w:i w:val="false"/>
          <w:iCs w:val="false"/>
          <w:sz w:val="22"/>
          <w:szCs w:val="22"/>
        </w:rPr>
        <w:t xml:space="preserve">Los peticionarios en estos contextos son frecuentemente personas privadas de la libertad, víctimas del conflicto o testigos de violaciones de derechos humanos — exactamente las poblaciones más vulnerables si sus datos son comprometidos. El protocolo de seguridad física no es un accesorio: es una obligación derivada del Art. 17 de la Ley 1581/2012 (medidas de seguridad para datos sensibles) y del mandato misional de la Defensoría.</w:t>
      </w:r>
    </w:p>
    <w:p>
      <w:pPr>
        <w:spacing w:after="100"/>
      </w:pPr>
      <w:r>
        <w:t xml:space="preserve"/>
      </w:r>
    </w:p>
    <w:p>
      <w:pPr>
        <w:pStyle w:val="Heading2"/>
      </w:pPr>
      <w:r>
        <w:rPr>
          <w:rFonts w:ascii="Arial" w:cs="Arial" w:eastAsia="Arial" w:hAnsi="Arial"/>
          <w:b/>
          <w:bCs/>
          <w:color w:val="2E75B6"/>
          <w:sz w:val="24"/>
          <w:szCs w:val="24"/>
        </w:rPr>
        <w:t xml:space="preserve">Protocolo de seguridad física para operaciones en terreno</w:t>
      </w:r>
    </w:p>
    <w:p>
      <w:pPr>
        <w:spacing w:after="100"/>
      </w:pPr>
      <w:r>
        <w:t xml:space="preserve"/>
      </w:r>
    </w:p>
    <w:p>
      <w:pPr>
        <w:pStyle w:val="Heading3"/>
      </w:pPr>
      <w:r>
        <w:rPr>
          <w:rFonts w:ascii="Arial" w:cs="Arial" w:eastAsia="Arial" w:hAnsi="Arial"/>
          <w:b/>
          <w:bCs/>
          <w:color w:val="2F4F4F"/>
          <w:sz w:val="22"/>
          <w:szCs w:val="22"/>
        </w:rPr>
        <w:t xml:space="preserve">1. Protección del dispositivo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Medida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Especificación técnica e institucional</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Cifrado de dispositivo obligatorio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Todos los dispositivos usados en terreno (tablets o celulares institucionales) deben tener cifrado de almacenamiento activado (AES-256) gestionado mediante MDM institucional (Mobile Device Management). Los datos capturados offline son ilegibles sin el PIN del funcionario, incluso si el dispositivo es incautado o robado.</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Dispositivos institucionales, no personales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El funcionario opera exclusivamente con dispositivos institucionales configurados por el equipo de TI de la Defensoría. No se permiten capturas de peticiones en dispositivos personales. Los dispositivos institucionales tienen perfil MDM que impide la instalación de apps no autorizadas y la transferencia de datos por canales no seguros.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Datos sensibles solo como identificadores temporales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Los campos de mayor sensibilidad (información sobre amenazas, identidad de testigos, detalles de VBG) no se almacenan en texto plano en el dispositivo. URAB-AI los captura con un identificador temporal cifrado que solo se resuelve al sincronizar con el servidor central. Si el dispositivo es comprometido antes de sincronizar, el atacante obtiene metadatos mínimos, no el contenido sensible.</w:t>
            </w:r>
          </w:p>
        </w:tc>
      </w:tr>
    </w:tbl>
    <w:p>
      <w:pPr>
        <w:spacing w:after="100"/>
      </w:pPr>
      <w:r>
        <w:t xml:space="preserve"/>
      </w:r>
    </w:p>
    <w:p>
      <w:pPr>
        <w:pStyle w:val="Heading3"/>
      </w:pPr>
      <w:r>
        <w:rPr>
          <w:rFonts w:ascii="Arial" w:cs="Arial" w:eastAsia="Arial" w:hAnsi="Arial"/>
          <w:b/>
          <w:bCs/>
          <w:color w:val="2F4F4F"/>
          <w:sz w:val="22"/>
          <w:szCs w:val="22"/>
        </w:rPr>
        <w:t xml:space="preserve">2. Sincronización segura e integridad del paquete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Medida</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Especificación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Firma digital del paquete de sincronización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Cuando el funcionario captura una petición offline, URAB-AI genera automáticamente un hash SHA-256 del paquete de datos (petición + metadatos + timestamp de captura) y lo firma con la clave privada del dispositivo institucional. Al sincronizar, el servidor verifica la firma: si el paquete fue alterado entre la captura y la sincronización, la firma no coincide y el servidor rechaza el paquete, genera una alerta y lo marca para revisión manual.</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20"/>
                <w:szCs w:val="20"/>
              </w:rPr>
              <w:t xml:space="preserve">Sincronización automática en background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20"/>
                <w:szCs w:val="20"/>
              </w:rPr>
              <w:t xml:space="preserve">Al recuperar conectividad, la sincronización ocurre automáticamente sin requerir acción del funcionario. Esto reduce la ventana de tiempo en que los datos permanecen solo en el dispositivo y elimina la posibilidad de que el funcionario 'olvide' sincronizar o sea presionado para no hacerlo.</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sz w:val="20"/>
                <w:szCs w:val="20"/>
              </w:rPr>
              <w:t xml:space="preserve">Inmutabilidad post-captura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Una vez capturada una petición offline, el funcionario no puede eliminarla desde el dispositivo. Solo puede añadir notas adicionales, que quedan marcadas como posteriores a la captura original. Esta inmutabilidad técnica es la principal salvaguarda contra la coerción para alterar o borrar registros.</w:t>
            </w:r>
          </w:p>
        </w:tc>
      </w:tr>
    </w:tbl>
    <w:p>
      <w:pPr>
        <w:spacing w:after="100"/>
      </w:pPr>
      <w:r>
        <w:t xml:space="preserve"/>
      </w:r>
    </w:p>
    <w:p>
      <w:pPr>
        <w:pStyle w:val="Heading3"/>
      </w:pPr>
      <w:r>
        <w:rPr>
          <w:rFonts w:ascii="Arial" w:cs="Arial" w:eastAsia="Arial" w:hAnsi="Arial"/>
          <w:b/>
          <w:bCs/>
          <w:color w:val="2F4F4F"/>
          <w:sz w:val="22"/>
          <w:szCs w:val="22"/>
        </w:rPr>
        <w:t xml:space="preserve">3. Protocolo de dispositivo comprometido</w:t>
      </w:r>
    </w:p>
    <w:p>
      <w:pPr>
        <w:spacing w:after="120"/>
        <w:jc w:val="both"/>
      </w:pPr>
      <w:r>
        <w:rPr>
          <w:rFonts w:ascii="Arial" w:cs="Arial" w:eastAsia="Arial" w:hAnsi="Arial"/>
          <w:b w:val="false"/>
          <w:bCs w:val="false"/>
          <w:i w:val="false"/>
          <w:iCs w:val="false"/>
          <w:sz w:val="22"/>
          <w:szCs w:val="22"/>
        </w:rPr>
        <w:t xml:space="preserve">Si el funcionario reporta (o sospecha) que su dispositivo fue incautado, revisado sin consentimiento o que fue coaccionado para borrar información: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Paso</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left"/>
            </w:pPr>
            <w:r>
              <w:rPr>
                <w:rFonts w:ascii="Arial" w:cs="Arial" w:eastAsia="Arial" w:hAnsi="Arial"/>
                <w:b/>
                <w:bCs/>
                <w:sz w:val="20"/>
                <w:szCs w:val="20"/>
              </w:rPr>
              <w:t xml:space="preserve">Acción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funcionario reporta el incidente desde cualquier canal (llamada a la línea de seguridad de la Defensoría, mensaje a coordinador, reporte posterior al salir de la zona) tan pronto como le sea posible hacerlo con seguridad.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equipo de TI de la Defensoría ejecuta inmediatamente un borrado remoto (wipe) del dispositivo vía MDM, anula la sesión activa en URAB-AI y bloquea cualquier sincronización pendiente desde ese dispositivo.</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Si el dispositivo ya sincronizó parcialmente antes del incidente, los datos recibidos por el servidor son válidos (firma digital verificada). Los datos no sincronizados se marcan como perdidos en el sistema y se activa el protocolo de recaptura: el coordinador asigna a otro funcionario para recibir las peticiones afectadas, si los peticionarios están disponibles.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1F4E79"/>
                <w:sz w:val="22"/>
                <w:szCs w:val="22"/>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El incidente queda documentado en la bitácora de seguridad y en el informe semestral del Comité de IA. Si el incidente implica coerción sobre el funcionario, se activa también el protocolo de seguridad del personal de la Defensoría (protocolo separado, fuera del alcance de URAB-AI).</w:t>
            </w:r>
          </w:p>
        </w:tc>
      </w:tr>
    </w:tbl>
    <w:p>
      <w:pPr>
        <w:spacing w:after="100"/>
      </w:pPr>
      <w:r>
        <w:t xml:space="preserve"/>
      </w:r>
    </w:p>
    <w:p>
      <w:pPr>
        <w:pStyle w:val="Heading3"/>
      </w:pPr>
      <w:r>
        <w:rPr>
          <w:rFonts w:ascii="Arial" w:cs="Arial" w:eastAsia="Arial" w:hAnsi="Arial"/>
          <w:b/>
          <w:bCs/>
          <w:color w:val="2F4F4F"/>
          <w:sz w:val="22"/>
          <w:szCs w:val="22"/>
        </w:rPr>
        <w:t xml:space="preserve">4. Capacitación de seguridad operacional para funcionarios en terreno</w:t>
      </w:r>
    </w:p>
    <w:p>
      <w:pPr>
        <w:spacing w:after="120"/>
        <w:jc w:val="both"/>
      </w:pPr>
      <w:r>
        <w:rPr>
          <w:rFonts w:ascii="Arial" w:cs="Arial" w:eastAsia="Arial" w:hAnsi="Arial"/>
          <w:b w:val="false"/>
          <w:bCs w:val="false"/>
          <w:i w:val="false"/>
          <w:iCs w:val="false"/>
          <w:sz w:val="22"/>
          <w:szCs w:val="22"/>
        </w:rPr>
        <w:t xml:space="preserve">Los funcionarios que realizan visitas en terreno (cárceles, zonas de conflicto, operativos humanitarios) reciben capacitación específica en seguridad operacional antes de su primera misión con URAB-AI, que incluye:</w:t>
      </w:r>
    </w:p>
    <w:p>
      <w:pPr>
        <w:pStyle w:val="ListParagraph"/>
        <w:numPr>
          <w:ilvl w:val="0"/>
          <w:numId w:val="3"/>
        </w:numPr>
        <w:spacing w:after="80"/>
      </w:pPr>
      <w:r>
        <w:rPr>
          <w:rFonts w:ascii="Arial" w:cs="Arial" w:eastAsia="Arial" w:hAnsi="Arial"/>
          <w:b w:val="false"/>
          <w:bCs w:val="false"/>
          <w:i w:val="false"/>
          <w:iCs w:val="false"/>
          <w:sz w:val="22"/>
          <w:szCs w:val="22"/>
        </w:rPr>
        <w:t xml:space="preserve">No mencionar el sistema URAB-AI ni sus funcionalidades a personas privadas de la libertad, agentes de custodia no autorizados ni terceros en la zona de visita.</w:t>
      </w:r>
    </w:p>
    <w:p>
      <w:pPr>
        <w:pStyle w:val="ListParagraph"/>
        <w:numPr>
          <w:ilvl w:val="0"/>
          <w:numId w:val="3"/>
        </w:numPr>
        <w:spacing w:after="80"/>
      </w:pPr>
      <w:r>
        <w:rPr>
          <w:rFonts w:ascii="Arial" w:cs="Arial" w:eastAsia="Arial" w:hAnsi="Arial"/>
          <w:b w:val="false"/>
          <w:bCs w:val="false"/>
          <w:i w:val="false"/>
          <w:iCs w:val="false"/>
          <w:sz w:val="22"/>
          <w:szCs w:val="22"/>
        </w:rPr>
        <w:t xml:space="preserve">Operar con el dispositivo con pantalla orientada de forma que no sea legible por personas no autorizadas.</w:t>
      </w:r>
    </w:p>
    <w:p>
      <w:pPr>
        <w:pStyle w:val="ListParagraph"/>
        <w:numPr>
          <w:ilvl w:val="0"/>
          <w:numId w:val="3"/>
        </w:numPr>
        <w:spacing w:after="80"/>
      </w:pPr>
      <w:r>
        <w:rPr>
          <w:rFonts w:ascii="Arial" w:cs="Arial" w:eastAsia="Arial" w:hAnsi="Arial"/>
          <w:b w:val="false"/>
          <w:bCs w:val="false"/>
          <w:i w:val="false"/>
          <w:iCs w:val="false"/>
          <w:sz w:val="22"/>
          <w:szCs w:val="22"/>
        </w:rPr>
        <w:t xml:space="preserve">En caso de solicitud de entrega del dispositivo por parte de agentes no autorizados: no resistir físicamente, pero activar en el menor tiempo posible el reporte de dispositivo comprometido.</w:t>
      </w:r>
    </w:p>
    <w:p>
      <w:pPr>
        <w:pStyle w:val="ListParagraph"/>
        <w:numPr>
          <w:ilvl w:val="0"/>
          <w:numId w:val="3"/>
        </w:numPr>
        <w:spacing w:after="80"/>
      </w:pPr>
      <w:r>
        <w:rPr>
          <w:rFonts w:ascii="Arial" w:cs="Arial" w:eastAsia="Arial" w:hAnsi="Arial"/>
          <w:b w:val="false"/>
          <w:bCs w:val="false"/>
          <w:i w:val="false"/>
          <w:iCs w:val="false"/>
          <w:sz w:val="22"/>
          <w:szCs w:val="22"/>
        </w:rPr>
        <w:t xml:space="preserve">Los dispositivos deben ser devueltos al área de TI al finalizar cada misión en terreno, no deben pernoctar fuera de la sede institucional salvo misiones de múltiples días con protocolo específico aprobado.</w:t>
      </w:r>
    </w:p>
    <w:p>
      <w:pPr>
        <w:spacing w:after="100"/>
      </w:pPr>
      <w:r>
        <w:t xml:space="preserve"/>
      </w:r>
    </w:p>
    <w:p>
      <w:pPr>
        <w:pBdr>
          <w:left w:val="single" w:color="C55A11" w:sz="14" w:space="6"/>
        </w:pBdr>
        <w:shd w:fill="FFF2CC" w:val="clear"/>
        <w:spacing w:after="140"/>
        <w:ind w:left="300" w:right="300"/>
      </w:pPr>
      <w:r>
        <w:rPr>
          <w:rFonts w:ascii="Arial" w:cs="Arial" w:eastAsia="Arial" w:hAnsi="Arial"/>
          <w:color w:val="3F3000"/>
          <w:sz w:val="20"/>
          <w:szCs w:val="20"/>
        </w:rPr>
        <w:t xml:space="preserve">Alcance institucional: Las medidas de seguridad física en terreno descritas en esta sección son parte del diseño de URAB-AI, pero su implementación efectiva requiere la colaboración del área de Seguridad del Personal y de TI de la Defensoría. La Fase 0 (alistamiento) debe incluir la elaboración del protocolo de seguridad operacional por parte de esas áreas, con el apoyo técnico del equipo de URAB-AI.</w:t>
      </w:r>
    </w:p>
    <w:p>
      <w:pPr>
        <w:spacing w:after="100"/>
      </w:pPr>
      <w:r>
        <w:t xml:space="preserve"/>
      </w:r>
    </w:p>
    <w:p>
      <w:pPr>
        <w:pBdr>
          <w:left w:val="single" w:color="2E75B6" w:sz="16" w:space="6"/>
        </w:pBdr>
        <w:shd w:fill="D6E4F0" w:val="clear"/>
        <w:spacing w:after="160"/>
        <w:ind w:left="300" w:right="300"/>
      </w:pPr>
      <w:r>
        <w:rPr>
          <w:rFonts w:ascii="Arial" w:cs="Arial" w:eastAsia="Arial" w:hAnsi="Arial"/>
          <w:b/>
          <w:bCs/>
          <w:color w:val="1F4E79"/>
          <w:sz w:val="20"/>
          <w:szCs w:val="20"/>
        </w:rPr>
        <w:t xml:space="preserve">Respuesta para el jurado: </w:t>
      </w:r>
      <w:r>
        <w:rPr>
          <w:rFonts w:ascii="Arial" w:cs="Arial" w:eastAsia="Arial" w:hAnsi="Arial"/>
          <w:i/>
          <w:iCs/>
          <w:color w:val="1a1a1a"/>
          <w:sz w:val="20"/>
          <w:szCs w:val="20"/>
        </w:rPr>
        <w:t xml:space="preserve">El dispositivo comprometido es el escenario que más nos preocupó en el diseño de la capa offline. Nuestra respuesta tiene tres capas: los datos sensibles nunca viajan completos en el dispositivo — solo identificadores temporales. La inmutabilidad técnica impide que el funcionario borre registros bajo presión. Y la firma digital del paquete garantiza que el servidor rechaza cualquier alteración entre la captura y la sincronización. El funcionario está protegido porque no puede acceder ni a los datos más sensibles ni puede borrarlos — el sistema lo protege de la coerción quitándole esa capacidad técnica.</w:t>
      </w:r>
    </w:p>
    <w:p>
      <w:pPr>
        <w:spacing w:after="100"/>
      </w:pPr>
      <w:r>
        <w:t xml:space="preserve"/>
      </w:r>
    </w:p>
    <w:p>
      <w:pPr>
        <w:pBdr>
          <w:left w:val="single" w:color="2E75B6" w:sz="12" w:space="8"/>
        </w:pBdr>
        <w:spacing w:after="120"/>
        <w:ind w:left="400"/>
      </w:pPr>
      <w:r>
        <w:rPr>
          <w:rFonts w:ascii="Arial" w:cs="Arial" w:eastAsia="Arial" w:hAnsi="Arial"/>
          <w:i/>
          <w:iCs/>
          <w:color w:val="404040"/>
          <w:sz w:val="20"/>
          <w:szCs w:val="20"/>
        </w:rPr>
        <w:t xml:space="preserve">Marco normativo: Ley 1581/2012 Art. 17 (medidas de seguridad para el tratamiento de datos sensibles). Ley 1273/2009 (delitos informáticos en Colombia — aplica a la incautación no autorizada de dispositivos con datos personales). Directriz de seguridad de la información para entidades públicas — MSPI (Modelo de Seguridad y Privacidad de la Información, MinTIC 2023).</w:t>
      </w:r>
    </w:p>
    <w:p>
      <w:pPr>
        <w:spacing w:after="100"/>
      </w:pPr>
      <w:r>
        <w:t xml:space="preserve"/>
      </w:r>
    </w:p>
    <w:p>
      <w:pPr>
        <w:pBdr>
          <w:top w:val="single" w:color="2E75B6" w:sz="4" w:space="1"/>
        </w:pBdr>
        <w:spacing w:before="400"/>
      </w:pPr>
    </w:p>
    <w:p>
      <w:pPr>
        <w:spacing w:after="80"/>
      </w:pPr>
      <w:r>
        <w:rPr>
          <w:rFonts w:ascii="Arial" w:cs="Arial" w:eastAsia="Arial" w:hAnsi="Arial"/>
          <w:color w:val="888888"/>
          <w:sz w:val="18"/>
          <w:szCs w:val="18"/>
        </w:rPr>
        <w:t xml:space="preserve">Sprint C completado · LSL2026 · URAB-AI</w:t>
      </w:r>
    </w:p>
    <w:p>
      <w:r>
        <w:rPr>
          <w:rFonts w:ascii="Arial" w:cs="Arial" w:eastAsia="Arial" w:hAnsi="Arial"/>
          <w:i/>
          <w:iCs/>
          <w:color w:val="888888"/>
          <w:sz w:val="18"/>
          <w:szCs w:val="18"/>
        </w:rPr>
        <w:t xml:space="preserve">Sprints A + B + C completos. Siguiente: Sprint D — ajustes en la aplicación Vercel (vista funcionario, dashboard M8, cierre flujo ciudadano, detección de urgencia).</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40" w:before="26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2F4F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2026-06-14T13:37:44.424Z</dcterms:created>
  <dcterms:modified xsi:type="dcterms:W3CDTF">2026-06-14T13:37:44.424Z</dcterms:modified>
</cp:coreProperties>
</file>

<file path=docProps/custom.xml><?xml version="1.0" encoding="utf-8"?>
<Properties xmlns="http://schemas.openxmlformats.org/officeDocument/2006/custom-properties" xmlns:vt="http://schemas.openxmlformats.org/officeDocument/2006/docPropsVTypes"/>
</file>