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60"/>
              <w:left w:type="dxa" w:w="360"/>
              <w:bottom w:type="dxa" w:w="360"/>
              <w:right w:type="dxa" w:w="360"/>
            </w:tcMar>
          </w:tcPr>
          <w:p>
            <w:pPr>
              <w:spacing w:after="120" w:before="0"/>
              <w:jc w:val="center"/>
            </w:pPr>
            <w:r>
              <w:rPr>
                <w:rFonts w:ascii="Arial" w:cs="Arial" w:eastAsia="Arial" w:hAnsi="Arial"/>
                <w:b/>
                <w:bCs/>
                <w:color w:val="FFFFFF"/>
                <w:sz w:val="34"/>
                <w:szCs w:val="34"/>
              </w:rPr>
              <w:t xml:space="preserve">SECCIÓN DE COSTOS — RFP §7.2</w:t>
            </w:r>
          </w:p>
          <w:p>
            <w:pPr>
              <w:spacing w:after="120" w:before="0"/>
              <w:jc w:val="center"/>
            </w:pPr>
            <w:r>
              <w:rPr>
                <w:rFonts w:ascii="Arial" w:cs="Arial" w:eastAsia="Arial" w:hAnsi="Arial"/>
                <w:color w:val="BDD7EE"/>
                <w:sz w:val="22"/>
                <w:szCs w:val="22"/>
              </w:rPr>
              <w:t xml:space="preserve">Selección de modelo Claude API — datos reales del experimento</w:t>
            </w:r>
          </w:p>
          <w:p>
            <w:pPr>
              <w:spacing w:after="0" w:before="0"/>
              <w:jc w:val="center"/>
            </w:pPr>
            <w:r>
              <w:rPr>
                <w:rFonts w:ascii="Arial" w:cs="Arial" w:eastAsia="Arial" w:hAnsi="Arial"/>
                <w:color w:val="9DC3E6"/>
                <w:sz w:val="19"/>
                <w:szCs w:val="19"/>
              </w:rPr>
              <w:t xml:space="preserve">36 llamadas API · $0.0796 USD · Haiku 4.5 (MVP) + Sonnet 4.6 + Opus 4.6 · LSL2026</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Legal Strategy Lab 2026</w:t>
            </w:r>
          </w:p>
        </w:tc>
        <w:tc>
          <w:tcPr>
            <w:tcW w:type="dxa" w:w="312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val="false"/>
                <w:bCs w:val="false"/>
                <w:color w:val="1F4E79"/>
                <w:sz w:val="20"/>
                <w:szCs w:val="20"/>
              </w:rPr>
              <w:t xml:space="preserve">Universidad Externado de Colombia</w:t>
            </w:r>
          </w:p>
        </w:tc>
        <w:tc>
          <w:tcPr>
            <w:tcW w:type="dxa" w:w="312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val="false"/>
                <w:bCs w:val="false"/>
                <w:color w:val="1F4E79"/>
                <w:sz w:val="20"/>
                <w:szCs w:val="20"/>
              </w:rPr>
              <w:t xml:space="preserve">Defensoría del Pueblo — URAB</w:t>
            </w:r>
          </w:p>
        </w:tc>
      </w:tr>
    </w:tbl>
    <w:p>
      <w:r>
        <w:br w:type="page"/>
      </w:r>
    </w:p>
    <w:p>
      <w:pPr>
        <w:pStyle w:val="Heading1"/>
        <w:spacing w:after="200" w:before="400"/>
      </w:pPr>
      <w:r>
        <w:rPr>
          <w:rFonts w:ascii="Arial" w:cs="Arial" w:eastAsia="Arial" w:hAnsi="Arial"/>
          <w:b/>
          <w:bCs/>
          <w:color w:val="1F4E79"/>
          <w:sz w:val="32"/>
          <w:szCs w:val="32"/>
        </w:rPr>
        <w:t xml:space="preserve">1. Hallazgo crítico — la petición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r>
              <w:rPr>
                <w:rFonts w:ascii="Arial" w:cs="Arial" w:eastAsia="Arial" w:hAnsi="Arial"/>
                <w:color w:val="842B2B"/>
                <w:sz w:val="20"/>
                <w:szCs w:val="20"/>
              </w:rPr>
              <w:t xml:space="preserve">El experimento reveló un fallo de seguridad determinante en Haiku 4.5. La petición 8 simula el escenario más peligroso del sistema: una urgencia alta camuflada como consulta rutinaria. Este único caso justifica el descarte de Haiku para producción en URAB.</w:t>
            </w:r>
          </w:p>
        </w:tc>
      </w:tr>
    </w:tbl>
    <w:p>
      <w:pPr>
        <w:spacing w:after="0" w:before="160"/>
      </w:pPr>
    </w:p>
    <w:p>
      <w:pPr>
        <w:spacing w:after="80" w:before="80"/>
      </w:pPr>
      <w:r>
        <w:rPr>
          <w:rFonts w:ascii="Arial" w:cs="Arial" w:eastAsia="Arial" w:hAnsi="Arial"/>
          <w:b/>
          <w:bCs/>
          <w:sz w:val="20"/>
          <w:szCs w:val="20"/>
        </w:rPr>
        <w:t xml:space="preserve">Caso de prueba — Petición 8: "Urgente camuflado como consulta"</w:t>
      </w:r>
    </w:p>
    <w:p>
      <w:pPr>
        <w:spacing w:after="80" w:before="80"/>
      </w:pPr>
      <w:r>
        <w:rPr>
          <w:rFonts w:ascii="Arial" w:cs="Arial" w:eastAsia="Arial" w:hAnsi="Arial"/>
          <w:color w:val="595959"/>
          <w:sz w:val="20"/>
          <w:szCs w:val="20"/>
        </w:rPr>
        <w:t xml:space="preserve">Texto: Una ciudadana solicita asesoría sobre una medida de protección contra su ex pareja. En el cuerpo de la consulta menciona que lo ha visto rondar su domicilio reiteradamente durante la última semana y que lo observó portando un arma de fuego.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4960"/>
      </w:tblGrid>
      <w:tr>
        <w:tc>
          <w:tcPr>
            <w:tcW w:type="dxa" w:w="1800"/>
            <w:gridSpan w:val="1"/>
            <w:tcBorders>
              <w:top w:val="single" w:color="CCCCCC" w:sz="1"/>
              <w:left w:val="single" w:color="CCCCCC" w:sz="1"/>
              <w:bottom w:val="single" w:color="CCCCCC" w:sz="1"/>
              <w:right w:val="single" w:color="CCCCCC" w:sz="1"/>
            </w:tcBorders>
            <w:shd w:fill="842B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Modelo</w:t>
            </w:r>
          </w:p>
        </w:tc>
        <w:tc>
          <w:tcPr>
            <w:tcW w:type="dxa" w:w="1300"/>
            <w:gridSpan w:val="1"/>
            <w:tcBorders>
              <w:top w:val="single" w:color="CCCCCC" w:sz="1"/>
              <w:left w:val="single" w:color="CCCCCC" w:sz="1"/>
              <w:bottom w:val="single" w:color="CCCCCC" w:sz="1"/>
              <w:right w:val="single" w:color="CCCCCC" w:sz="1"/>
            </w:tcBorders>
            <w:shd w:fill="842B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Urgencia asignada</w:t>
            </w:r>
          </w:p>
        </w:tc>
        <w:tc>
          <w:tcPr>
            <w:tcW w:type="dxa" w:w="1300"/>
            <w:gridSpan w:val="1"/>
            <w:tcBorders>
              <w:top w:val="single" w:color="CCCCCC" w:sz="1"/>
              <w:left w:val="single" w:color="CCCCCC" w:sz="1"/>
              <w:bottom w:val="single" w:color="CCCCCC" w:sz="1"/>
              <w:right w:val="single" w:color="CCCCCC" w:sz="1"/>
            </w:tcBorders>
            <w:shd w:fill="842B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HITL activado</w:t>
            </w:r>
          </w:p>
        </w:tc>
        <w:tc>
          <w:tcPr>
            <w:tcW w:type="dxa" w:w="4960"/>
            <w:gridSpan w:val="1"/>
            <w:tcBorders>
              <w:top w:val="single" w:color="CCCCCC" w:sz="1"/>
              <w:left w:val="single" w:color="CCCCCC" w:sz="1"/>
              <w:bottom w:val="single" w:color="CCCCCC" w:sz="1"/>
              <w:right w:val="single" w:color="CCCCCC" w:sz="1"/>
            </w:tcBorders>
            <w:shd w:fill="842B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Consecuencia en producción</w:t>
            </w:r>
          </w:p>
        </w:tc>
      </w:tr>
      <w:tr>
        <w:tc>
          <w:tcPr>
            <w:tcW w:type="dxa" w:w="18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left"/>
            </w:pPr>
            <w:r>
              <w:rPr>
                <w:rFonts w:ascii="Arial" w:cs="Arial" w:eastAsia="Arial" w:hAnsi="Arial"/>
                <w:b/>
                <w:bCs/>
                <w:color w:val="842B2B"/>
                <w:sz w:val="20"/>
                <w:szCs w:val="20"/>
              </w:rPr>
              <w:t xml:space="preserve">Haiku 4.5</w:t>
            </w:r>
          </w:p>
        </w:tc>
        <w:tc>
          <w:tcPr>
            <w:tcW w:type="dxa" w:w="13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center"/>
            </w:pPr>
            <w:r>
              <w:rPr>
                <w:rFonts w:ascii="Arial" w:cs="Arial" w:eastAsia="Arial" w:hAnsi="Arial"/>
                <w:b/>
                <w:bCs/>
                <w:color w:val="842B2B"/>
                <w:sz w:val="20"/>
                <w:szCs w:val="20"/>
              </w:rPr>
              <w:t xml:space="preserve">MEDIA ⚠️</w:t>
            </w:r>
          </w:p>
        </w:tc>
        <w:tc>
          <w:tcPr>
            <w:tcW w:type="dxa" w:w="13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center"/>
            </w:pPr>
            <w:r>
              <w:rPr>
                <w:rFonts w:ascii="Arial" w:cs="Arial" w:eastAsia="Arial" w:hAnsi="Arial"/>
                <w:b/>
                <w:bCs/>
                <w:color w:val="842B2B"/>
                <w:sz w:val="20"/>
                <w:szCs w:val="20"/>
              </w:rPr>
              <w:t xml:space="preserve">NO ✗</w:t>
            </w:r>
          </w:p>
        </w:tc>
        <w:tc>
          <w:tcPr>
            <w:tcW w:type="dxa" w:w="496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left"/>
            </w:pPr>
            <w:r>
              <w:rPr>
                <w:rFonts w:ascii="Arial" w:cs="Arial" w:eastAsia="Arial" w:hAnsi="Arial"/>
                <w:b w:val="false"/>
                <w:bCs w:val="false"/>
                <w:color w:val="842B2B"/>
                <w:sz w:val="20"/>
                <w:szCs w:val="20"/>
              </w:rPr>
              <w:t xml:space="preserve">El caso entra como consulta rutinaria. Sin alerta al profesional. Ciudadana en riesgo vital no recibe atención prioritaria.</w:t>
            </w:r>
          </w:p>
        </w:tc>
      </w:tr>
      <w:tr>
        <w:tc>
          <w:tcPr>
            <w:tcW w:type="dxa" w:w="18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bCs/>
                <w:color w:val="375623"/>
                <w:sz w:val="20"/>
                <w:szCs w:val="20"/>
              </w:rPr>
              <w:t xml:space="preserve">Sonnet 4.6</w:t>
            </w:r>
          </w:p>
        </w:tc>
        <w:tc>
          <w:tcPr>
            <w:tcW w:type="dxa" w:w="13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ALTA ✓</w:t>
            </w:r>
          </w:p>
        </w:tc>
        <w:tc>
          <w:tcPr>
            <w:tcW w:type="dxa" w:w="13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SÍ ✓</w:t>
            </w:r>
          </w:p>
        </w:tc>
        <w:tc>
          <w:tcPr>
            <w:tcW w:type="dxa" w:w="496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Alerta HITL activada. Caso escalado a profesional designado. Medida de protección gestionada de forma prioritaria.</w:t>
            </w:r>
          </w:p>
        </w:tc>
      </w:tr>
      <w:tr>
        <w:tc>
          <w:tcPr>
            <w:tcW w:type="dxa" w:w="18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bCs/>
                <w:color w:val="375623"/>
                <w:sz w:val="20"/>
                <w:szCs w:val="20"/>
              </w:rPr>
              <w:t xml:space="preserve">Opus 4.6</w:t>
            </w:r>
          </w:p>
        </w:tc>
        <w:tc>
          <w:tcPr>
            <w:tcW w:type="dxa" w:w="13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ALTA ✓</w:t>
            </w:r>
          </w:p>
        </w:tc>
        <w:tc>
          <w:tcPr>
            <w:tcW w:type="dxa" w:w="13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SÍ ✓</w:t>
            </w:r>
          </w:p>
        </w:tc>
        <w:tc>
          <w:tcPr>
            <w:tcW w:type="dxa" w:w="496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Alerta HITL activada. Justificación XAI: 'presencia reiterada del ex con arma de fuego constituye amenaza vital inminente'.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r>
              <w:rPr>
                <w:rFonts w:ascii="Arial" w:cs="Arial" w:eastAsia="Arial" w:hAnsi="Arial"/>
                <w:color w:val="842B2B"/>
                <w:sz w:val="20"/>
                <w:szCs w:val="20"/>
              </w:rPr>
              <w:t xml:space="preserve">En producción a 300 peticiones/día, Haiku omitiría el 29% de los urgentes (2 de cada 7). De esos dos, la petición 8 es la más grave: una amenaza con arma de fuego que entra al sistema como consulta de trámite, sin alerta al profesional designado, sin escalado prioritario.</w:t>
            </w:r>
          </w:p>
        </w:tc>
      </w:tr>
    </w:tbl>
    <w:p>
      <w:pPr>
        <w:spacing w:after="0" w:before="160"/>
      </w:pPr>
    </w:p>
    <w:p>
      <w:pPr>
        <w:pStyle w:val="Heading1"/>
        <w:spacing w:after="200" w:before="400"/>
      </w:pPr>
      <w:r>
        <w:rPr>
          <w:rFonts w:ascii="Arial" w:cs="Arial" w:eastAsia="Arial" w:hAnsi="Arial"/>
          <w:b/>
          <w:bCs/>
          <w:color w:val="1F4E79"/>
          <w:sz w:val="32"/>
          <w:szCs w:val="32"/>
        </w:rPr>
        <w:t xml:space="preserve">2. Resultados del experimento — 36 llamadas API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r>
              <w:rPr>
                <w:rFonts w:ascii="Arial" w:cs="Arial" w:eastAsia="Arial" w:hAnsi="Arial"/>
                <w:color w:val="595959"/>
                <w:sz w:val="20"/>
                <w:szCs w:val="20"/>
              </w:rPr>
              <w:t xml:space="preserve">Datos reales obtenidos el 5 de junio de 2026. Costo total del experimento: $0.0796 USD. Los tres modelos corrieron sobre las mismas 12 peticiones sintéticas calibradas al RFP con el mismo system prompt de clasificación.</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900"/>
        <w:gridCol w:w="900"/>
        <w:gridCol w:w="1000"/>
        <w:gridCol w:w="1060"/>
        <w:gridCol w:w="1200"/>
        <w:gridCol w:w="1400"/>
      </w:tblGrid>
      <w:tr>
        <w:tc>
          <w:tcPr>
            <w:tcW w:type="dxa" w:w="17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Modelo</w:t>
            </w:r>
          </w:p>
        </w:tc>
        <w:tc>
          <w:tcPr>
            <w:tcW w:type="dxa" w:w="12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API model string</w:t>
            </w:r>
          </w:p>
        </w:tc>
        <w:tc>
          <w:tcPr>
            <w:tcW w:type="dxa" w:w="9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w:t>
            </w:r>
          </w:p>
        </w:tc>
        <w:tc>
          <w:tcPr>
            <w:tcW w:type="dxa" w:w="9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Urg%</w:t>
            </w:r>
          </w:p>
        </w:tc>
        <w:tc>
          <w:tcPr>
            <w:tcW w:type="dxa" w:w="10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HITL%</w:t>
            </w:r>
          </w:p>
        </w:tc>
        <w:tc>
          <w:tcPr>
            <w:tcW w:type="dxa" w:w="10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$/pet.</w:t>
            </w:r>
          </w:p>
        </w:tc>
        <w:tc>
          <w:tcPr>
            <w:tcW w:type="dxa" w:w="12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Anual std</w:t>
            </w:r>
          </w:p>
        </w:tc>
        <w:tc>
          <w:tcPr>
            <w:tcW w:type="dxa" w:w="14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Decisión</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595959"/>
                <w:sz w:val="20"/>
                <w:szCs w:val="20"/>
              </w:rPr>
              <w:t xml:space="preserve">Haiku 4.5 (MVP)</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95959"/>
                <w:sz w:val="15"/>
                <w:szCs w:val="15"/>
              </w:rPr>
              <w:t xml:space="preserve">claude-haiku-4-5-20251001</w:t>
            </w:r>
          </w:p>
        </w:tc>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100%</w:t>
            </w:r>
          </w:p>
        </w:tc>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92%</w:t>
            </w:r>
          </w:p>
        </w:tc>
        <w:tc>
          <w:tcPr>
            <w:tcW w:type="dxa" w:w="10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center"/>
            </w:pPr>
            <w:r>
              <w:rPr>
                <w:rFonts w:ascii="Arial" w:cs="Arial" w:eastAsia="Arial" w:hAnsi="Arial"/>
                <w:b/>
                <w:bCs/>
                <w:color w:val="842B2B"/>
                <w:sz w:val="20"/>
                <w:szCs w:val="20"/>
              </w:rPr>
              <w:t xml:space="preserve">71%</w:t>
            </w:r>
          </w:p>
        </w:tc>
        <w:tc>
          <w:tcPr>
            <w:tcW w:type="dxa" w:w="1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$0.00089</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$98/año</w:t>
            </w:r>
          </w:p>
        </w:tc>
        <w:tc>
          <w:tcPr>
            <w:tcW w:type="dxa" w:w="14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left"/>
            </w:pPr>
            <w:r>
              <w:rPr>
                <w:rFonts w:ascii="Arial" w:cs="Arial" w:eastAsia="Arial" w:hAnsi="Arial"/>
                <w:b w:val="false"/>
                <w:bCs w:val="false"/>
                <w:color w:val="842B2B"/>
                <w:sz w:val="17"/>
                <w:szCs w:val="17"/>
              </w:rPr>
              <w:t xml:space="preserve">❌ Descartado para producción — falla crítica P8</w:t>
            </w:r>
          </w:p>
        </w:tc>
      </w:tr>
      <w:tr>
        <w:tc>
          <w:tcPr>
            <w:tcW w:type="dxa" w:w="17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1F4E79"/>
                <w:sz w:val="20"/>
                <w:szCs w:val="20"/>
              </w:rPr>
              <w:t xml:space="preserve">Sonnet 4.6</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95959"/>
                <w:sz w:val="15"/>
                <w:szCs w:val="15"/>
              </w:rPr>
              <w:t xml:space="preserve">claude-sonnet-4-6</w:t>
            </w:r>
          </w:p>
        </w:tc>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55A11"/>
                <w:sz w:val="20"/>
                <w:szCs w:val="20"/>
              </w:rPr>
              <w:t xml:space="preserve">75%</w:t>
            </w:r>
          </w:p>
        </w:tc>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55A11"/>
                <w:sz w:val="20"/>
                <w:szCs w:val="20"/>
              </w:rPr>
              <w:t xml:space="preserve">75%</w:t>
            </w:r>
          </w:p>
        </w:tc>
        <w:tc>
          <w:tcPr>
            <w:tcW w:type="dxa" w:w="10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100%</w:t>
            </w:r>
          </w:p>
        </w:tc>
        <w:tc>
          <w:tcPr>
            <w:tcW w:type="dxa" w:w="1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$0.00255</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$279/año</w:t>
            </w:r>
          </w:p>
        </w:tc>
        <w:tc>
          <w:tcPr>
            <w:tcW w:type="dxa" w:w="14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bCs/>
                <w:color w:val="375623"/>
                <w:sz w:val="17"/>
                <w:szCs w:val="17"/>
              </w:rPr>
              <w:t xml:space="preserve">✅ Recomendado — 100% HITL, menor costo</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595959"/>
                <w:sz w:val="20"/>
                <w:szCs w:val="20"/>
              </w:rPr>
              <w:t xml:space="preserve">Opus 4.6</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95959"/>
                <w:sz w:val="15"/>
                <w:szCs w:val="15"/>
              </w:rPr>
              <w:t xml:space="preserve">claude-opus-4-6</w:t>
            </w:r>
          </w:p>
        </w:tc>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55A11"/>
                <w:sz w:val="20"/>
                <w:szCs w:val="20"/>
              </w:rPr>
              <w:t xml:space="preserve">75%</w:t>
            </w:r>
          </w:p>
        </w:tc>
        <w:tc>
          <w:tcPr>
            <w:tcW w:type="dxa" w:w="9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55A11"/>
                <w:sz w:val="20"/>
                <w:szCs w:val="20"/>
              </w:rPr>
              <w:t xml:space="preserve">75%</w:t>
            </w:r>
          </w:p>
        </w:tc>
        <w:tc>
          <w:tcPr>
            <w:tcW w:type="dxa" w:w="10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100%</w:t>
            </w:r>
          </w:p>
        </w:tc>
        <w:tc>
          <w:tcPr>
            <w:tcW w:type="dxa" w:w="10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$0.00408</w:t>
            </w:r>
          </w:p>
        </w:tc>
        <w:tc>
          <w:tcPr>
            <w:tcW w:type="dxa" w:w="12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$447/año</w:t>
            </w:r>
          </w:p>
        </w:tc>
        <w:tc>
          <w:tcPr>
            <w:tcW w:type="dxa" w:w="140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jc w:val="left"/>
            </w:pPr>
            <w:r>
              <w:rPr>
                <w:rFonts w:ascii="Arial" w:cs="Arial" w:eastAsia="Arial" w:hAnsi="Arial"/>
                <w:b w:val="false"/>
                <w:bCs w:val="false"/>
                <w:color w:val="C55A11"/>
                <w:sz w:val="17"/>
                <w:szCs w:val="17"/>
              </w:rPr>
              <w:t xml:space="preserve">⚠️ Igual a Sonnet, 60% más caro</w:t>
            </w:r>
          </w:p>
        </w:tc>
      </w:tr>
    </w:tbl>
    <w:p>
      <w:pPr>
        <w:spacing w:after="0" w:before="160"/>
      </w:pPr>
    </w:p>
    <w:p>
      <w:pPr>
        <w:pStyle w:val="Heading2"/>
        <w:pBdr>
          <w:bottom w:val="single" w:color="1F4E79" w:sz="4" w:space="4"/>
        </w:pBdr>
        <w:spacing w:after="150" w:before="300"/>
      </w:pPr>
      <w:r>
        <w:rPr>
          <w:rFonts w:ascii="Arial" w:cs="Arial" w:eastAsia="Arial" w:hAnsi="Arial"/>
          <w:b/>
          <w:bCs/>
          <w:color w:val="1F4E79"/>
          <w:sz w:val="26"/>
          <w:szCs w:val="26"/>
        </w:rPr>
        <w:t xml:space="preserve">2.1 Análisis de las discrepancias de Sonnet y Opus (75% cat/urg)</w:t>
      </w:r>
    </w:p>
    <w:p>
      <w:pPr>
        <w:spacing w:after="80" w:before="80"/>
      </w:pPr>
      <w:r>
        <w:rPr>
          <w:rFonts w:ascii="Arial" w:cs="Arial" w:eastAsia="Arial" w:hAnsi="Arial"/>
          <w:sz w:val="20"/>
          <w:szCs w:val="20"/>
        </w:rPr>
        <w:t xml:space="preserve">Sonnet y Opus muestran 75% de exactitud en categoría y urgencia. Al revisar los 4 casos discrepantes, ninguno compromete la seguridad del sistema:</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Caso</w:t>
            </w:r>
          </w:p>
        </w:tc>
        <w:tc>
          <w:tcPr>
            <w:tcW w:type="dxa" w:w="378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Discrepancia</w:t>
            </w:r>
          </w:p>
        </w:tc>
        <w:tc>
          <w:tcPr>
            <w:tcW w:type="dxa" w:w="378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Análisis — ¿es un error real?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P3 — Desaparición menor con autismo</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55A11"/>
                <w:sz w:val="18"/>
                <w:szCs w:val="18"/>
              </w:rPr>
              <w:t xml:space="preserve">GT: nna | Ambos clasifican: desaparicion</w:t>
            </w:r>
          </w:p>
        </w:tc>
        <w:tc>
          <w:tcPr>
            <w:tcW w:type="dxa" w:w="378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18"/>
                <w:szCs w:val="18"/>
              </w:rPr>
              <w:t xml:space="preserve">Argumento defensible: el caso ES una desaparición de menor. La categoría 'nna' es secundaria cuando la desaparición es el hecho principal. El HITL se activa correctamente en ambos casos (urgencia=alta). No es un error crítico.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P5 — EPS niega medicamento</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55A11"/>
                <w:sz w:val="18"/>
                <w:szCs w:val="18"/>
              </w:rPr>
              <w:t xml:space="preserve">GT: salud / media | Ambos clasifican: salud / ALTA</w:t>
            </w:r>
          </w:p>
        </w:tc>
        <w:tc>
          <w:tcPr>
            <w:tcW w:type="dxa" w:w="378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18"/>
                <w:szCs w:val="18"/>
              </w:rPr>
              <w:t xml:space="preserve">Sonnet y Opus son MÁS conservadores: 3 meses sin insulina para diabética = riesgo vital potencial. El ground truth (media) podría ser el que está equivocado. Desde el enfoque de derechos, la clasificación de Sonnet/Opus es más protectora.</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P7 — Caso mixto tres problemas</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55A11"/>
                <w:sz w:val="18"/>
                <w:szCs w:val="18"/>
              </w:rPr>
              <w:t xml:space="preserve">GT: servicios_publicos | Ambos clasifican: discriminacion</w:t>
            </w:r>
          </w:p>
        </w:tc>
        <w:tc>
          <w:tcPr>
            <w:tcW w:type="dxa" w:w="378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18"/>
                <w:szCs w:val="18"/>
              </w:rPr>
              <w:t xml:space="preserve">La discriminación por condición de madre soltera es el elemento más grave del caso (Art. 13 CP). La clasificación de Sonnet/Opus identifica la violación más grave, aunque el ground truth priorizaba el servicio público. No hay urgente en juego.</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18"/>
                <w:szCs w:val="18"/>
              </w:rPr>
              <w:t xml:space="preserve">P9 — Discapacidad + hijos menores</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55A11"/>
                <w:sz w:val="18"/>
                <w:szCs w:val="18"/>
              </w:rPr>
              <w:t xml:space="preserve">GT: discapacidad / media | Ambos clasifican: vivienda / ALTA</w:t>
            </w:r>
          </w:p>
        </w:tc>
        <w:tc>
          <w:tcPr>
            <w:tcW w:type="dxa" w:w="378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18"/>
                <w:szCs w:val="18"/>
              </w:rPr>
              <w:t xml:space="preserve">El riesgo de pérdida inminente de vivienda con menores a cargo justifica urgencia=alta. La categoría 'vivienda' también es defendible dado el problema central. El HITL se activa correctamente por los menores.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r>
              <w:rPr>
                <w:rFonts w:ascii="Arial" w:cs="Arial" w:eastAsia="Arial" w:hAnsi="Arial"/>
                <w:color w:val="7B4D00"/>
                <w:sz w:val="20"/>
                <w:szCs w:val="20"/>
              </w:rPr>
              <w:t xml:space="preserve">Conclusión: las 'imprecisiones' de Sonnet y Opus son argumentablemente defensibles o incluso más conservadoras que el ground truth. En contraste, el error de Haiku en P8 (urgente con arma → urgencia media) no es defendible bajo ningún criterio de derechos.</w:t>
            </w:r>
          </w:p>
        </w:tc>
      </w:tr>
    </w:tbl>
    <w:p>
      <w:pPr>
        <w:spacing w:after="0" w:before="160"/>
      </w:pPr>
    </w:p>
    <w:p>
      <w:pPr>
        <w:pStyle w:val="Heading1"/>
        <w:spacing w:after="200" w:before="400"/>
      </w:pPr>
      <w:r>
        <w:rPr>
          <w:rFonts w:ascii="Arial" w:cs="Arial" w:eastAsia="Arial" w:hAnsi="Arial"/>
          <w:b/>
          <w:bCs/>
          <w:color w:val="1F4E79"/>
          <w:sz w:val="32"/>
          <w:szCs w:val="32"/>
        </w:rPr>
        <w:t xml:space="preserve">3. Modelo de costos — 300 peticiones/día · proyección a 3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1400"/>
        <w:gridCol w:w="2460"/>
      </w:tblGrid>
      <w:tr>
        <w:tc>
          <w:tcPr>
            <w:tcW w:type="dxa" w:w="16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Modelo</w:t>
            </w:r>
          </w:p>
        </w:tc>
        <w:tc>
          <w:tcPr>
            <w:tcW w:type="dxa" w:w="13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Año 1</w:t>
            </w:r>
          </w:p>
        </w:tc>
        <w:tc>
          <w:tcPr>
            <w:tcW w:type="dxa" w:w="13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Año 2</w:t>
            </w:r>
          </w:p>
        </w:tc>
        <w:tc>
          <w:tcPr>
            <w:tcW w:type="dxa" w:w="13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Año 3</w:t>
            </w:r>
          </w:p>
        </w:tc>
        <w:tc>
          <w:tcPr>
            <w:tcW w:type="dxa" w:w="1400"/>
            <w:gridSpan w:val="1"/>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Año 1 + caching</w:t>
            </w:r>
          </w:p>
        </w:tc>
        <w:tc>
          <w:tcPr>
            <w:tcW w:type="dxa" w:w="24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Nota</w:t>
            </w:r>
          </w:p>
        </w:tc>
      </w:tr>
      <w:tr>
        <w:tc>
          <w:tcPr>
            <w:tcW w:type="dxa" w:w="16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left"/>
            </w:pPr>
            <w:r>
              <w:rPr>
                <w:rFonts w:ascii="Arial" w:cs="Arial" w:eastAsia="Arial" w:hAnsi="Arial"/>
                <w:b/>
                <w:bCs/>
                <w:color w:val="842B2B"/>
                <w:sz w:val="20"/>
                <w:szCs w:val="20"/>
              </w:rPr>
              <w:t xml:space="preserve">Haiku 4.5</w:t>
            </w:r>
          </w:p>
        </w:tc>
        <w:tc>
          <w:tcPr>
            <w:tcW w:type="dxa" w:w="13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center"/>
            </w:pPr>
            <w:r>
              <w:rPr>
                <w:rFonts w:ascii="Arial" w:cs="Arial" w:eastAsia="Arial" w:hAnsi="Arial"/>
                <w:b w:val="false"/>
                <w:bCs w:val="false"/>
                <w:color w:val="842B2B"/>
                <w:sz w:val="20"/>
                <w:szCs w:val="20"/>
              </w:rPr>
              <w:t xml:space="preserve">$98</w:t>
            </w:r>
          </w:p>
        </w:tc>
        <w:tc>
          <w:tcPr>
            <w:tcW w:type="dxa" w:w="13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center"/>
            </w:pPr>
            <w:r>
              <w:rPr>
                <w:rFonts w:ascii="Arial" w:cs="Arial" w:eastAsia="Arial" w:hAnsi="Arial"/>
                <w:b w:val="false"/>
                <w:bCs w:val="false"/>
                <w:color w:val="842B2B"/>
                <w:sz w:val="20"/>
                <w:szCs w:val="20"/>
              </w:rPr>
              <w:t xml:space="preserve">$196</w:t>
            </w:r>
          </w:p>
        </w:tc>
        <w:tc>
          <w:tcPr>
            <w:tcW w:type="dxa" w:w="13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center"/>
            </w:pPr>
            <w:r>
              <w:rPr>
                <w:rFonts w:ascii="Arial" w:cs="Arial" w:eastAsia="Arial" w:hAnsi="Arial"/>
                <w:b w:val="false"/>
                <w:bCs w:val="false"/>
                <w:color w:val="842B2B"/>
                <w:sz w:val="20"/>
                <w:szCs w:val="20"/>
              </w:rPr>
              <w:t xml:space="preserve">$294</w:t>
            </w:r>
          </w:p>
        </w:tc>
        <w:tc>
          <w:tcPr>
            <w:tcW w:type="dxa" w:w="140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center"/>
            </w:pPr>
            <w:r>
              <w:rPr>
                <w:rFonts w:ascii="Arial" w:cs="Arial" w:eastAsia="Arial" w:hAnsi="Arial"/>
                <w:b w:val="false"/>
                <w:bCs w:val="false"/>
                <w:color w:val="842B2B"/>
                <w:sz w:val="20"/>
                <w:szCs w:val="20"/>
              </w:rPr>
              <w:t xml:space="preserve">$72</w:t>
            </w:r>
          </w:p>
        </w:tc>
        <w:tc>
          <w:tcPr>
            <w:tcW w:type="dxa" w:w="2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842B2B"/>
                <w:sz w:val="17"/>
                <w:szCs w:val="17"/>
              </w:rPr>
              <w:t xml:space="preserve">❌ Descartado — HITL recall 71%. Falla crítica en urgente con arma de fuego.</w:t>
            </w:r>
          </w:p>
        </w:tc>
      </w:tr>
      <w:tr>
        <w:tc>
          <w:tcPr>
            <w:tcW w:type="dxa" w:w="16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color w:val="1F4E79"/>
                <w:sz w:val="20"/>
                <w:szCs w:val="20"/>
              </w:rPr>
              <w:t xml:space="preserve">Sonnet 4.6 ★</w:t>
            </w:r>
          </w:p>
        </w:tc>
        <w:tc>
          <w:tcPr>
            <w:tcW w:type="dxa" w:w="13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$279</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$558</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$837</w:t>
            </w:r>
          </w:p>
        </w:tc>
        <w:tc>
          <w:tcPr>
            <w:tcW w:type="dxa" w:w="14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center"/>
            </w:pPr>
            <w:r>
              <w:rPr>
                <w:rFonts w:ascii="Arial" w:cs="Arial" w:eastAsia="Arial" w:hAnsi="Arial"/>
                <w:b/>
                <w:bCs/>
                <w:color w:val="375623"/>
                <w:sz w:val="20"/>
                <w:szCs w:val="20"/>
              </w:rPr>
              <w:t xml:space="preserve">$203</w:t>
            </w:r>
          </w:p>
        </w:tc>
        <w:tc>
          <w:tcPr>
            <w:tcW w:type="dxa" w:w="2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17"/>
                <w:szCs w:val="17"/>
              </w:rPr>
              <w:t xml:space="preserve">✅ Recomendado — 100% HITL recall. Misma exactitud que Opus, 38% más económico.</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left"/>
            </w:pPr>
            <w:r>
              <w:rPr>
                <w:rFonts w:ascii="Arial" w:cs="Arial" w:eastAsia="Arial" w:hAnsi="Arial"/>
                <w:b/>
                <w:bCs/>
                <w:color w:val="595959"/>
                <w:sz w:val="20"/>
                <w:szCs w:val="20"/>
              </w:rPr>
              <w:t xml:space="preserve">Opus 4.6</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$447</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$894</w:t>
            </w:r>
          </w:p>
        </w:tc>
        <w:tc>
          <w:tcPr>
            <w:tcW w:type="dxa" w:w="13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$1341</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$319</w:t>
            </w:r>
          </w:p>
        </w:tc>
        <w:tc>
          <w:tcPr>
            <w:tcW w:type="dxa" w:w="2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C55A11"/>
                <w:sz w:val="17"/>
                <w:szCs w:val="17"/>
              </w:rPr>
              <w:t xml:space="preserve">⚠️ Igual a Sonnet en exactitud (75%/75%/100%). No justifica costo adicional.</w:t>
            </w:r>
          </w:p>
        </w:tc>
      </w:tr>
      <w:tr>
        <w:tc>
          <w:tcPr>
            <w:tcW w:type="dxa" w:w="1600"/>
            <w:gridSpan w:val="1"/>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left"/>
            </w:pPr>
            <w:r>
              <w:rPr>
                <w:rFonts w:ascii="Arial" w:cs="Arial" w:eastAsia="Arial" w:hAnsi="Arial"/>
                <w:b/>
                <w:bCs/>
                <w:color w:val="7B4D00"/>
                <w:sz w:val="20"/>
                <w:szCs w:val="20"/>
              </w:rPr>
              <w:t xml:space="preserve">Híbrido 80/20*</w:t>
            </w:r>
          </w:p>
        </w:tc>
        <w:tc>
          <w:tcPr>
            <w:tcW w:type="dxa" w:w="1300"/>
            <w:gridSpan w:val="1"/>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bCs/>
                <w:color w:val="7B4D00"/>
                <w:sz w:val="20"/>
                <w:szCs w:val="20"/>
              </w:rPr>
              <w:t xml:space="preserve">$313</w:t>
            </w:r>
          </w:p>
        </w:tc>
        <w:tc>
          <w:tcPr>
            <w:tcW w:type="dxa" w:w="1300"/>
            <w:gridSpan w:val="1"/>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color w:val="7B4D00"/>
                <w:sz w:val="20"/>
                <w:szCs w:val="20"/>
              </w:rPr>
              <w:t xml:space="preserve">$626</w:t>
            </w:r>
          </w:p>
        </w:tc>
        <w:tc>
          <w:tcPr>
            <w:tcW w:type="dxa" w:w="1300"/>
            <w:gridSpan w:val="1"/>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color w:val="7B4D00"/>
                <w:sz w:val="20"/>
                <w:szCs w:val="20"/>
              </w:rPr>
              <w:t xml:space="preserve">$939</w:t>
            </w:r>
          </w:p>
        </w:tc>
        <w:tc>
          <w:tcPr>
            <w:tcW w:type="dxa" w:w="1400"/>
            <w:gridSpan w:val="1"/>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val="false"/>
                <w:bCs w:val="false"/>
                <w:color w:val="7B4D00"/>
                <w:sz w:val="20"/>
                <w:szCs w:val="20"/>
              </w:rPr>
              <w:t xml:space="preserve">$226</w:t>
            </w:r>
          </w:p>
        </w:tc>
        <w:tc>
          <w:tcPr>
            <w:tcW w:type="dxa" w:w="2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7B4D00"/>
                <w:sz w:val="17"/>
                <w:szCs w:val="17"/>
              </w:rPr>
              <w:t xml:space="preserve">80% Sonnet + 20% Opus. Opus solo para casos con score &lt;0.60 o riesgo vital explícito.</w:t>
            </w:r>
          </w:p>
        </w:tc>
      </w:tr>
    </w:tbl>
    <w:p>
      <w:pPr>
        <w:spacing w:after="0" w:before="160"/>
      </w:pPr>
    </w:p>
    <w:p>
      <w:pPr>
        <w:spacing w:after="80" w:before="80"/>
      </w:pPr>
      <w:r>
        <w:rPr>
          <w:rFonts w:ascii="Arial" w:cs="Arial" w:eastAsia="Arial" w:hAnsi="Arial"/>
          <w:b/>
          <w:bCs/>
          <w:sz w:val="20"/>
          <w:szCs w:val="20"/>
        </w:rPr>
        <w:t xml:space="preserve">* Esquema híbrido recomendado (Sonnet 80% / Opus 20%):</w:t>
      </w:r>
    </w:p>
    <w:p>
      <w:pPr>
        <w:pStyle w:val="ListParagraph"/>
        <w:numPr>
          <w:ilvl w:val="0"/>
          <w:numId w:val="2"/>
        </w:numPr>
        <w:spacing w:after="40" w:before="40"/>
      </w:pPr>
      <w:r>
        <w:rPr>
          <w:rFonts w:ascii="Arial" w:cs="Arial" w:eastAsia="Arial" w:hAnsi="Arial"/>
          <w:sz w:val="20"/>
          <w:szCs w:val="20"/>
        </w:rPr>
        <w:t xml:space="preserve">80% de peticiones → Sonnet 4.6: clasificaciones con score de confianza ≥ 0.70</w:t>
      </w:r>
    </w:p>
    <w:p>
      <w:pPr>
        <w:pStyle w:val="ListParagraph"/>
        <w:numPr>
          <w:ilvl w:val="0"/>
          <w:numId w:val="2"/>
        </w:numPr>
        <w:spacing w:after="40" w:before="40"/>
      </w:pPr>
      <w:r>
        <w:rPr>
          <w:rFonts w:ascii="Arial" w:cs="Arial" w:eastAsia="Arial" w:hAnsi="Arial"/>
          <w:sz w:val="20"/>
          <w:szCs w:val="20"/>
        </w:rPr>
        <w:t xml:space="preserve">20% de peticiones → Opus 4.6: casos con score &lt; 0.70, urgencia alta implícita, o palabras clave de riesgo vital</w:t>
      </w:r>
    </w:p>
    <w:p>
      <w:pPr>
        <w:pStyle w:val="ListParagraph"/>
        <w:numPr>
          <w:ilvl w:val="0"/>
          <w:numId w:val="2"/>
        </w:numPr>
        <w:spacing w:after="40" w:before="40"/>
      </w:pPr>
      <w:r>
        <w:rPr>
          <w:rFonts w:ascii="Arial" w:cs="Arial" w:eastAsia="Arial" w:hAnsi="Arial"/>
          <w:sz w:val="20"/>
          <w:szCs w:val="20"/>
        </w:rPr>
        <w:t xml:space="preserve">Haiku 4.5 queda como referencia histórica del MVP, no en producción</w:t>
      </w:r>
    </w:p>
    <w:p>
      <w:pPr>
        <w:spacing w:after="0" w:before="160"/>
      </w:pPr>
    </w:p>
    <w:p>
      <w:pPr>
        <w:pStyle w:val="Heading2"/>
        <w:pBdr>
          <w:bottom w:val="single" w:color="1F4E79" w:sz="4" w:space="4"/>
        </w:pBdr>
        <w:spacing w:after="150" w:before="300"/>
      </w:pPr>
      <w:r>
        <w:rPr>
          <w:rFonts w:ascii="Arial" w:cs="Arial" w:eastAsia="Arial" w:hAnsi="Arial"/>
          <w:b/>
          <w:bCs/>
          <w:color w:val="1F4E79"/>
          <w:sz w:val="26"/>
          <w:szCs w:val="26"/>
        </w:rPr>
        <w:t xml:space="preserve">3.1 Optimizaciones disponibles desde día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Mecanismo</w:t>
            </w:r>
          </w:p>
        </w:tc>
        <w:tc>
          <w:tcPr>
            <w:tcW w:type="dxa" w:w="37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Descripción</w:t>
            </w:r>
          </w:p>
        </w:tc>
        <w:tc>
          <w:tcPr>
            <w:tcW w:type="dxa" w:w="36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Ahorro sobre Sonnet estándar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Prompt Caching</w:t>
            </w:r>
          </w:p>
        </w:tc>
        <w:tc>
          <w:tcPr>
            <w:tcW w:type="dxa" w:w="3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System prompt (~260 tokens) cacheado. 90% off en tokens cacheados.</w:t>
            </w:r>
          </w:p>
        </w:tc>
        <w:tc>
          <w:tcPr>
            <w:tcW w:type="dxa" w:w="36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$279 → $203/año (−27%). Efectivo con volumen continuo URAB.</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Batch API</w:t>
            </w:r>
          </w:p>
        </w:tc>
        <w:tc>
          <w:tcPr>
            <w:tcW w:type="dxa" w:w="3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Para reclasificación nocturna, analítica M8. 50% off en toda la llamada.</w:t>
            </w:r>
          </w:p>
        </w:tc>
        <w:tc>
          <w:tcPr>
            <w:tcW w:type="dxa" w:w="36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50% adicional sobre costo estándar en llamadas no tiempo real.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Caching + Batch</w:t>
            </w:r>
          </w:p>
        </w:tc>
        <w:tc>
          <w:tcPr>
            <w:tcW w:type="dxa" w:w="37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Combinados para procesamiento no tiempo real.</w:t>
            </w:r>
          </w:p>
        </w:tc>
        <w:tc>
          <w:tcPr>
            <w:tcW w:type="dxa" w:w="360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Estimado ~60-65% de ahorro total vs. costo estándar.</w:t>
            </w:r>
          </w:p>
        </w:tc>
      </w:tr>
    </w:tbl>
    <w:p>
      <w:pPr>
        <w:spacing w:after="0" w:before="160"/>
      </w:pPr>
    </w:p>
    <w:p>
      <w:pPr>
        <w:pStyle w:val="Heading1"/>
        <w:spacing w:after="200" w:before="400"/>
      </w:pPr>
      <w:r>
        <w:rPr>
          <w:rFonts w:ascii="Arial" w:cs="Arial" w:eastAsia="Arial" w:hAnsi="Arial"/>
          <w:b/>
          <w:bCs/>
          <w:color w:val="1F4E79"/>
          <w:sz w:val="32"/>
          <w:szCs w:val="32"/>
        </w:rPr>
        <w:t xml:space="preserve">4. Argumento central — costo vs. riesgo misional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Diferencia Haiku→Sonnet</w:t>
            </w:r>
          </w:p>
        </w:tc>
        <w:tc>
          <w:tcPr>
            <w:tcW w:type="dxa" w:w="3120"/>
            <w:gridSpan w:val="1"/>
            <w:tcBorders>
              <w:top w:val="single" w:color="CCCCCC" w:sz="1"/>
              <w:left w:val="single" w:color="CCCCCC" w:sz="1"/>
              <w:bottom w:val="single" w:color="CCCCCC" w:sz="1"/>
              <w:right w:val="single" w:color="CCCCCC" w:sz="1"/>
            </w:tcBorders>
            <w:shd w:fill="842B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Costo de un urgente no atendido</w:t>
            </w:r>
          </w:p>
        </w:tc>
        <w:tc>
          <w:tcPr>
            <w:tcW w:type="dxa" w:w="3120"/>
            <w:gridSpan w:val="1"/>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Decisión</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$181/año estándar
$131/año con caching</w:t>
            </w:r>
          </w:p>
        </w:tc>
        <w:tc>
          <w:tcPr>
            <w:tcW w:type="dxa" w:w="3120"/>
            <w:gridSpan w:val="1"/>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left"/>
            </w:pPr>
            <w:r>
              <w:rPr>
                <w:rFonts w:ascii="Arial" w:cs="Arial" w:eastAsia="Arial" w:hAnsi="Arial"/>
                <w:b w:val="false"/>
                <w:bCs w:val="false"/>
                <w:color w:val="842B2B"/>
                <w:sz w:val="20"/>
                <w:szCs w:val="20"/>
              </w:rPr>
              <w:t xml:space="preserve">Daño antijurídico potencial. Responsabilidad institucional Art. 29 CP. Costo reputacional y jurídico no cuantificable. Vulneración del derecho a la vida Art. 11 CP.</w:t>
            </w:r>
          </w:p>
        </w:tc>
        <w:tc>
          <w:tcPr>
            <w:tcW w:type="dxa" w:w="3120"/>
            <w:gridSpan w:val="1"/>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jc w:val="left"/>
            </w:pPr>
            <w:r>
              <w:rPr>
                <w:rFonts w:ascii="Arial" w:cs="Arial" w:eastAsia="Arial" w:hAnsi="Arial"/>
                <w:b w:val="false"/>
                <w:bCs w:val="false"/>
                <w:color w:val="375623"/>
                <w:sz w:val="20"/>
                <w:szCs w:val="20"/>
              </w:rPr>
              <w:t xml:space="preserve">$181/año es el costo de no tener ciudadanas con ex armados sin atención prioritaria. La relación costo-beneficio es abrumadoramente favorable a Sonnet.</w:t>
            </w:r>
          </w:p>
        </w:tc>
      </w:tr>
    </w:tbl>
    <w:p>
      <w:pPr>
        <w:spacing w:after="0" w:before="160"/>
      </w:pPr>
    </w:p>
    <w:p>
      <w:pPr>
        <w:pStyle w:val="Heading1"/>
        <w:spacing w:after="200" w:before="400"/>
      </w:pPr>
      <w:r>
        <w:rPr>
          <w:rFonts w:ascii="Arial" w:cs="Arial" w:eastAsia="Arial" w:hAnsi="Arial"/>
          <w:b/>
          <w:bCs/>
          <w:color w:val="1F4E79"/>
          <w:sz w:val="32"/>
          <w:szCs w:val="32"/>
        </w:rPr>
        <w:t xml:space="preserve">5. Declaración para el pitch — RFP §7.1 y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8"/>
              <w:left w:val="single" w:color="375623" w:sz="8"/>
              <w:bottom w:val="single" w:color="375623" w:sz="8"/>
              <w:right w:val="single" w:color="375623" w:sz="8"/>
            </w:tcBorders>
            <w:shd w:fill="E2EFDA" w:val="clear"/>
            <w:tcMar>
              <w:top w:type="dxa" w:w="200"/>
              <w:left w:type="dxa" w:w="240"/>
              <w:bottom w:type="dxa" w:w="200"/>
              <w:right w:type="dxa" w:w="240"/>
            </w:tcMar>
          </w:tcPr>
          <w:p>
            <w:pPr>
              <w:spacing w:after="100" w:before="0"/>
            </w:pPr>
            <w:r>
              <w:rPr>
                <w:rFonts w:ascii="Arial" w:cs="Arial" w:eastAsia="Arial" w:hAnsi="Arial"/>
                <w:b/>
                <w:bCs/>
                <w:color w:val="375623"/>
                <w:sz w:val="22"/>
                <w:szCs w:val="22"/>
              </w:rPr>
              <w:t xml:space="preserve">Respuesta para el jurado — RFP §7.1 y §7.2:</w:t>
            </w:r>
          </w:p>
          <w:p>
            <w:pPr>
              <w:spacing w:after="80" w:before="0"/>
            </w:pPr>
            <w:r>
              <w:rPr>
                <w:rFonts w:ascii="Arial" w:cs="Arial" w:eastAsia="Arial" w:hAnsi="Arial"/>
                <w:sz w:val="20"/>
                <w:szCs w:val="20"/>
              </w:rPr>
              <w:t xml:space="preserve">«Evaluamos los tres modelos Claude con 36 llamadas API reales sobre 12 peticiones sintéticas calibradas al RFP, con un costo total de $0.0796 USD. El hallazgo determinante es la petición 8: una ciudadana con un ex armado rondando su domicilio. Haiku 4.5 la clasifica como urgencia media sin activar HITL — en producción ese caso entraría como consulta rutinaria. Sonnet 4.6 y Opus 4.6 activan la alerta correctamente.</w:t>
            </w:r>
          </w:p>
          <w:p>
            <w:pPr>
              <w:spacing w:after="80" w:before="0"/>
            </w:pPr>
            <w:r>
              <w:rPr>
                <w:rFonts w:ascii="Arial" w:cs="Arial" w:eastAsia="Arial" w:hAnsi="Arial"/>
                <w:sz w:val="20"/>
                <w:szCs w:val="20"/>
              </w:rPr>
              <w:t xml:space="preserve">Sonnet 4.6 es el modelo recomendado: idéntica exactitud que Opus (75% categoría, 75% urgencia, 100% HITL recall) a un 38% menos de costo. El costo anual de Sonnet con prompt caching es $203/año — menos de $17/mes para garantizar que ningún urgente camuflado escape al sistema.</w:t>
            </w:r>
          </w:p>
          <w:p>
            <w:pPr>
              <w:spacing w:after="0" w:before="0"/>
            </w:pPr>
            <w:r>
              <w:rPr>
                <w:rFonts w:ascii="Arial" w:cs="Arial" w:eastAsia="Arial" w:hAnsi="Arial"/>
                <w:b/>
                <w:bCs/>
                <w:sz w:val="20"/>
                <w:szCs w:val="20"/>
              </w:rPr>
              <w:t xml:space="preserve">La diferencia de costo entre Haiku y Sonnet es $181/año. El costo de un daño antijurídico por urgente no atendido es inconmensurablemente mayor.»</w:t>
            </w:r>
          </w:p>
        </w:tc>
      </w:tr>
    </w:tbl>
    <w:p>
      <w:pPr>
        <w:spacing w:after="0" w:before="160"/>
      </w:pPr>
    </w:p>
    <w:p>
      <w:pPr>
        <w:spacing w:after="80" w:before="80"/>
      </w:pPr>
      <w:r>
        <w:rPr>
          <w:rFonts w:ascii="Arial" w:cs="Arial" w:eastAsia="Arial" w:hAnsi="Arial"/>
          <w:color w:val="888888"/>
          <w:sz w:val="18"/>
          <w:szCs w:val="18"/>
        </w:rPr>
        <w:t xml:space="preserve">5 de junio de 2026 — experimento ejecutado. Costo: $0.0796 USD · Legal Strategy Lab, Universidad Externado de Colombia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2026-06-06T00:19:58.805Z</dcterms:created>
  <dcterms:modified xsi:type="dcterms:W3CDTF">2026-06-06T00:19:58.816Z</dcterms:modified>
</cp:coreProperties>
</file>

<file path=docProps/custom.xml><?xml version="1.0" encoding="utf-8"?>
<Properties xmlns="http://schemas.openxmlformats.org/officeDocument/2006/custom-properties" xmlns:vt="http://schemas.openxmlformats.org/officeDocument/2006/docPropsVTypes"/>
</file>