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LEGAL STRATEGY LAB 2026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Facultad de Derecho — Universidad Externado de Colombia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Marco de Gobernanza 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Cambio Sociotécnico · Matriz de Riesgos · Canal de Impugnación</w:t>
      </w:r>
    </w:p>
    <w:p>
      <w:pPr>
        <w:spacing w:after="3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Pipeline M1–M8 · Defensoría del Pueblo — URAB</w:t>
      </w:r>
    </w:p>
    <w:p>
      <w:pPr>
        <w:pBdr>
          <w:bottom w:val="single" w:color="028090" w:sz="4" w:space="1"/>
        </w:pBdr>
        <w:spacing w:after="200" w:before="2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Referencia RFP: §5.3 Cambio sociotécnico · §5.4 Gobernanza IA · §5.5 Riesgo de daño antijurídico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Análisis de cambio sociotécnico (§5.3 RFP)</w:t>
      </w:r>
    </w:p>
    <w:p>
      <w:pPr>
        <w:pBdr>
          <w:left w:val="single" w:color="028090" w:sz="12" w:space="8"/>
        </w:pBdr>
        <w:spacing w:after="80" w:before="80"/>
      </w:pPr>
      <w:r>
        <w:rPr>
          <w:rFonts w:ascii="Arial" w:cs="Arial" w:eastAsia="Arial" w:hAnsi="Arial"/>
          <w:color w:val="028090"/>
          <w:sz w:val="22"/>
          <w:szCs w:val="22"/>
        </w:rPr>
        <w:t xml:space="preserve">El RFP exige responder 4 preguntas: (i) qué capacidades nuevas adquieren URAB y los profesionales; (ii) qué conductas nuevas se habilitan y cuáles cambian; (iii) qué impactos disruptivos hay; (iv) cómo se gobiernan.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1.1 Capacidades nuevas que adquiere la URAB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implementación del pipeline M1–M8 extiende las capacidades institucionales en cuatro dimensiones que no existían antes en el sistema AS-IS: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Visión 360° del ciudadano en tiempo real: M5 permite por primera vez que cualquier profesional vea el historial completo de radicados, respuestas y estados de un ciudadano en menos de 30 segundos, sin depender de búsquedas manuales en IRIS y VisionWeb.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Triage predictivo basado en texto libre: M2 clasifica y prioriza peticiones en menos de 2 horas en lugar de 9.1 horas, con justificación XAI que el profesional puede revisar y corregir.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Detección automática de vulneración sistemática: M4 y M5 detectan patrones que ningún profesional podría ver manualmente — cuando un ciudadano ha radicado 10 peticiones sobre el mismo derecho sin resolución, M8 genera una alerta de investigación institucional.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Copilot jurídico con consistencia histórica: M6 genera borradores de respuesta coherentes con las decisiones previas sobre el mismo caso y el mismo ciudadano, algo imposible cuando los expedientes están fragmentados entre plataformas.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1.2 Conductas nuevas que se habilitan — conductas que cambian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Conducta anterior (AS-IS)</w:t>
            </w:r>
          </w:p>
        </w:tc>
        <w:tc>
          <w:tcPr>
            <w:tcW w:type="dxa" w:w="3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Conducta nueva habilitada (TO-BE)</w:t>
            </w:r>
          </w:p>
        </w:tc>
        <w:tc>
          <w:tcPr>
            <w:tcW w:type="dxa" w:w="3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permanece igual</w:t>
            </w:r>
          </w:p>
        </w:tc>
      </w:tr>
      <w:tr>
        <w:tc>
          <w:tcPr>
            <w:tcW w:type="dxa" w:w="32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profesional abre un caso sin saber si el ciudadano ya tiene expedientes previos.</w:t>
            </w:r>
          </w:p>
        </w:tc>
        <w:tc>
          <w:tcPr>
            <w:tcW w:type="dxa" w:w="30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M5 muestra el historial 360° automáticamente al abrir el caso. El profesional decide si acumular o abrir nuevo expediente.</w:t>
            </w:r>
          </w:p>
        </w:tc>
        <w:tc>
          <w:tcPr>
            <w:tcW w:type="dxa" w:w="30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profesional sigue siendo quien decide la acumulación — M5 solo informa.</w:t>
            </w:r>
          </w:p>
        </w:tc>
      </w:tr>
      <w:tr>
        <w:tc>
          <w:tcPr>
            <w:tcW w:type="dxa" w:w="32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reparto se hace manualmente, sin visibilidad de la carga actual del equipo.</w:t>
            </w:r>
          </w:p>
        </w:tc>
        <w:tc>
          <w:tcPr>
            <w:tcW w:type="dxa" w:w="30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M3 sugiere el profesional óptimo con justificación XAI. El jefe de grupo puede aceptar, reasignar o modificar.</w:t>
            </w:r>
          </w:p>
        </w:tc>
        <w:tc>
          <w:tcPr>
            <w:tcW w:type="dxa" w:w="30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jefe de grupo mantiene la autoridad de reasignación en cualquier momento.</w:t>
            </w:r>
          </w:p>
        </w:tc>
      </w:tr>
      <w:tr>
        <w:tc>
          <w:tcPr>
            <w:tcW w:type="dxa" w:w="32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Los documentos PDF y físicos se procesan manualmente.</w:t>
            </w:r>
          </w:p>
        </w:tc>
        <w:tc>
          <w:tcPr>
            <w:tcW w:type="dxa" w:w="30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M1 extrae campos clave de texto libre (primera fase). OCR en Fase 2 para PDFs.</w:t>
            </w:r>
          </w:p>
        </w:tc>
        <w:tc>
          <w:tcPr>
            <w:tcW w:type="dxa" w:w="30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verificación de documentos legales siempre requiere revisión humana.</w:t>
            </w:r>
          </w:p>
        </w:tc>
      </w:tr>
      <w:tr>
        <w:tc>
          <w:tcPr>
            <w:tcW w:type="dxa" w:w="32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detección de urgencia depende del criterio del profesional que recibe el caso.</w:t>
            </w:r>
          </w:p>
        </w:tc>
        <w:tc>
          <w:tcPr>
            <w:tcW w:type="dxa" w:w="30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M2 prioriza automáticamente con 4 niveles y activa alertas para amenazas vitales antes de que el profesional lea el texto.</w:t>
            </w:r>
          </w:p>
        </w:tc>
        <w:tc>
          <w:tcPr>
            <w:tcW w:type="dxa" w:w="30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profesional puede elevar o reducir la prioridad con justificación registrada.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1.3 Impactos disruptivos anticipados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RFP exige anticipar los impactos no deseados. Identificamos cinco riesgos sociotécnicos de mayor relevancia para el contexto de derechos humanos: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Riesgo 1 — Deshumanización del triage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Descripción: Si los profesionales delegan completamente en M2, pueden reducir el tiempo de lectura y atención empática al ciudadano, tratando los casos como tickets a resolver.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Mitigación: El borrador de M6 no incluye el texto completo de la petición por defecto — el profesional debe abrir el expediente para responder. HITL obligatorio en casos CRÍTICO garantiza que los casos más sensibles requieren presencia humana activa.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Riesgo 2 — Incentivo a automatizar de más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Descripción: Una vez que M6 genera borradores aprobados sin edición en el 60%+ de los casos, puede surgir presión institucional para ampliar la whitelist de respuestas automáticas a casos que requieren criterio jurídico.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Mitigación: La whitelist de M6 está en config.py con control de versiones — cualquier modificación requiere commit con justificación, revisión del Comité IA y registro en bitácora. No puede modificarse operativamente.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Riesgo 3 — Sesgos algorítmicos que amplifican exclusiones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Descripción: El modelo podría clasificar con menor confianza las peticiones de comunidades étnicas, rurales o en dialectos regionales, resultando en triage más lento para estos grupos.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Mitigación: Umbral HITL diferenciado al 60% para marcadores étnicos. Auditoría de recall diferenciado por región en M8 cada trimestre. Alerta automática si un grupo tiene recall &gt;5 puntos bajo el promedio. Fine-tuning con corpus regional en Fase 2.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Riesgo 4 — Pérdida de confianza ciudadana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Descripción: Si el ciudadano percibe que su petición fue tratada por una máquina sin lectura humana, puede desconfiar del proceso o sentir que sus derechos no fueron realmente atendidos.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Mitigación: Notificación explícita en el acuse de recibo sobre el uso de IA (Directiva 007/2025). Toda respuesta de fondo lleva firma del profesional responsable. Canal de impugnación visible en el acuse de recibo (ver §3 de este documento).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Riesgo 5 — Dependencia tecnológica y fragilidad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Descripción: Si el sistema falla, los profesionales pueden haber perdido la práctica del proceso manual y no saber cómo proceder.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Mitigación: Modo degradado documentado: cuando M1-M7 no están disponibles, el proceso AS-IS puede retomarse sin pérdida de información (todos los datos están en IRIS y VisionWeb). Capacitación anual de mantenimiento del proceso manual. Cola offline M7 para resiliencia operacional.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1.4 Decisiones de gobernanza para gestionar los impactos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Comité IA (Fase 4): reunión mensual con dirección URAB, DTI, representante de profesionales y delegado de sociedad civil. Revisa métricas de equidad, aprobar modificaciones a la whitelist M6 y auditar la bitácora.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Canal de corrección humana: todo profesional puede marcar una clasificación de M2 como incorrecta en el sistema. El marcaje alimenta el dataset de corrección para el reentrenamiento semestral de BETO.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Auditoría algorítmica externa semestral (Fase 4): tercero independiente revisa el desempeño por grupo poblacional y certifica el cumplimiento de la Directiva 007/2025.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Informe público anual de equidad: publicado en el sitio web de la Defensoría. Incluye métricas de recall por grupo, acciones correctivas tomadas y plan del siguiente período.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Matriz de riesgos de daño antijurídico (§5.5 RFP)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matriz conecta fallas técnicas, operativas y jurídicas con medidas de mitigación, evidencia de implementación y mecanismo de monitoreo. Organizada por nivel de riesgo.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2.1 Riesgos de nivel CRÍTICO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1880"/>
        <w:gridCol w:w="168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Falla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Consecuencia jurídica</w:t>
            </w:r>
          </w:p>
        </w:tc>
        <w:tc>
          <w:tcPr>
            <w:tcW w:type="dxa" w:w="18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 concreta</w:t>
            </w:r>
          </w:p>
        </w:tc>
        <w:tc>
          <w:tcPr>
            <w:tcW w:type="dxa" w:w="1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Monitoreo</w:t>
            </w:r>
          </w:p>
        </w:tc>
      </w:tr>
      <w:tr>
        <w:tc>
          <w:tcPr>
            <w:tcW w:type="dxa" w:w="22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M2 clasifica amenaza vital como no urgente (falso negativo)</w:t>
            </w:r>
          </w:p>
        </w:tc>
        <w:tc>
          <w:tcPr>
            <w:tcW w:type="dxa" w:w="16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Técnica</w:t>
            </w:r>
          </w:p>
        </w:tc>
        <w:tc>
          <w:tcPr>
            <w:tcW w:type="dxa" w:w="20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Vencimiento de término · Daño antijurídico · Responsabilidad del Estado</w:t>
            </w:r>
          </w:p>
        </w:tc>
        <w:tc>
          <w:tcPr>
            <w:tcW w:type="dxa" w:w="18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Hard-coded: palabras clave de riesgo vital activan alerta independiente del clasificador · HITL obligatorio en toda urgencia CRÍTICO</w:t>
            </w:r>
          </w:p>
        </w:tc>
        <w:tc>
          <w:tcPr>
            <w:tcW w:type="dxa" w:w="1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M8 audita semanalmente los casos CRÍTICO vs tiempos de respuesta · Alerta si &gt;0 urgentes CRÍTICO sin respuesta en 2h</w:t>
            </w:r>
          </w:p>
        </w:tc>
      </w:tr>
      <w:tr>
        <w:tc>
          <w:tcPr>
            <w:tcW w:type="dxa" w:w="22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M6 genera borrador con cita normativa incorrecta (alucinación)</w:t>
            </w:r>
          </w:p>
        </w:tc>
        <w:tc>
          <w:tcPr>
            <w:tcW w:type="dxa" w:w="16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Técnica</w:t>
            </w:r>
          </w:p>
        </w:tc>
        <w:tc>
          <w:tcPr>
            <w:tcW w:type="dxa" w:w="20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Respuesta con error de derecho · Posible nulidad del acto administrativo</w:t>
            </w:r>
          </w:p>
        </w:tc>
        <w:tc>
          <w:tcPr>
            <w:tcW w:type="dxa" w:w="18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Borrador M6 nunca se envía sin aprobación del profesional · Instrucción explícita al profesional de verificar toda cita normativa · Fuentes RAG citadas en el borrador</w:t>
            </w:r>
          </w:p>
        </w:tc>
        <w:tc>
          <w:tcPr>
            <w:tcW w:type="dxa" w:w="1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Bitácora M6 registra qué borradores fueron editados y en qué proporción · Alerta si tasa de edición baja de forma abrupta (indicio de no revisión)</w:t>
            </w:r>
          </w:p>
        </w:tc>
      </w:tr>
      <w:tr>
        <w:tc>
          <w:tcPr>
            <w:tcW w:type="dxa" w:w="22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Fuga de datos sensibles (salud, etnia, víctima)</w:t>
            </w:r>
          </w:p>
        </w:tc>
        <w:tc>
          <w:tcPr>
            <w:tcW w:type="dxa" w:w="16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Técnica / jurídica</w:t>
            </w:r>
          </w:p>
        </w:tc>
        <w:tc>
          <w:tcPr>
            <w:tcW w:type="dxa" w:w="20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Violación Ley 1581/2012 · Sanción SIC · Daño reputacional institucional</w:t>
            </w:r>
          </w:p>
        </w:tc>
        <w:tc>
          <w:tcPr>
            <w:tcW w:type="dxa" w:w="18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Cifrado en reposo planificado · Acceso por roles · .gitignore excluye datos · Opción on-premise para datos más sensibles</w:t>
            </w:r>
          </w:p>
        </w:tc>
        <w:tc>
          <w:tcPr>
            <w:tcW w:type="dxa" w:w="1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DPO revisa logs de acceso mensualmente · Alerta automática si se accede a datos fuera del horario laboral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2.2 Riesgos de nivel 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1880"/>
        <w:gridCol w:w="168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Falla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Consecuencia</w:t>
            </w:r>
          </w:p>
        </w:tc>
        <w:tc>
          <w:tcPr>
            <w:tcW w:type="dxa" w:w="18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1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Monitoreo</w:t>
            </w:r>
          </w:p>
        </w:tc>
      </w:tr>
      <w:tr>
        <w:tc>
          <w:tcPr>
            <w:tcW w:type="dxa" w:w="22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M4 no detecta duplicado relevante (falso negativo)</w:t>
            </w:r>
          </w:p>
        </w:tc>
        <w:tc>
          <w:tcPr>
            <w:tcW w:type="dxa" w:w="16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Técnica</w:t>
            </w:r>
          </w:p>
        </w:tc>
        <w:tc>
          <w:tcPr>
            <w:tcW w:type="dxa" w:w="20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Trabajo duplicado · Respuestas inconsistentes al mismo ciudadano · Fragmentación del expediente</w:t>
            </w:r>
          </w:p>
        </w:tc>
        <w:tc>
          <w:tcPr>
            <w:tcW w:type="dxa" w:w="18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Recall objetivo ≥85% · Umbral configurable · Siempre HITL antes de acumular · Canal de reporte de duplicados por el profesional</w:t>
            </w:r>
          </w:p>
        </w:tc>
        <w:tc>
          <w:tcPr>
            <w:tcW w:type="dxa" w:w="1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M8 mide tasa de duplicados reportados manualmente vs detectados automáticamente mensualmente</w:t>
            </w:r>
          </w:p>
        </w:tc>
      </w:tr>
      <w:tr>
        <w:tc>
          <w:tcPr>
            <w:tcW w:type="dxa" w:w="22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Caída simultánea de IRIS y VisionWeb</w:t>
            </w:r>
          </w:p>
        </w:tc>
        <w:tc>
          <w:tcPr>
            <w:tcW w:type="dxa" w:w="16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Operativa</w:t>
            </w:r>
          </w:p>
        </w:tc>
        <w:tc>
          <w:tcPr>
            <w:tcW w:type="dxa" w:w="20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Paralización del registro · Pérdida de trazabilidad temporal</w:t>
            </w:r>
          </w:p>
        </w:tc>
        <w:tc>
          <w:tcPr>
            <w:tcW w:type="dxa" w:w="18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Cola offline M7 encola todas las operaciones · RPA como fallback · Protocolo de operación degradada documentado</w:t>
            </w:r>
          </w:p>
        </w:tc>
        <w:tc>
          <w:tcPr>
            <w:tcW w:type="dxa" w:w="1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Monitoreo de salud de M7 cada 15 min · Alerta si cola offline supera 50 operaciones</w:t>
            </w:r>
          </w:p>
        </w:tc>
      </w:tr>
      <w:tr>
        <w:tc>
          <w:tcPr>
            <w:tcW w:type="dxa" w:w="22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Reparto M3 asigna caso VBG a profesional sin especialización</w:t>
            </w:r>
          </w:p>
        </w:tc>
        <w:tc>
          <w:tcPr>
            <w:tcW w:type="dxa" w:w="16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Operativa</w:t>
            </w:r>
          </w:p>
        </w:tc>
        <w:tc>
          <w:tcPr>
            <w:tcW w:type="dxa" w:w="20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Atención inadecuada · Posible revictimización · Vulneración del principio de especialidad</w:t>
            </w:r>
          </w:p>
        </w:tc>
        <w:tc>
          <w:tcPr>
            <w:tcW w:type="dxa" w:w="18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M3 reserva profesionales P03, P04, P13 para VBG con HITL adicional · El jefe puede reasignar con trazabilidad</w:t>
            </w:r>
          </w:p>
        </w:tc>
        <w:tc>
          <w:tcPr>
            <w:tcW w:type="dxa" w:w="1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M8 audita semanalmente si casos VBG están en profesionales con especialización</w:t>
            </w:r>
          </w:p>
        </w:tc>
      </w:tr>
      <w:tr>
        <w:tc>
          <w:tcPr>
            <w:tcW w:type="dxa" w:w="22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Sesgos M2 afectan recall en comunidades étnicas</w:t>
            </w:r>
          </w:p>
        </w:tc>
        <w:tc>
          <w:tcPr>
            <w:tcW w:type="dxa" w:w="16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Operativa / jurídica</w:t>
            </w:r>
          </w:p>
        </w:tc>
        <w:tc>
          <w:tcPr>
            <w:tcW w:type="dxa" w:w="20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Discriminación indirecta · Vulneración de derechos diferenciales · Incumplimiento §5.2 RFP</w:t>
            </w:r>
          </w:p>
        </w:tc>
        <w:tc>
          <w:tcPr>
            <w:tcW w:type="dxa" w:w="18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Umbral HITL 60% para marcadores étnicos · Fine-tuning corpus regional Fase 2</w:t>
            </w:r>
          </w:p>
        </w:tc>
        <w:tc>
          <w:tcPr>
            <w:tcW w:type="dxa" w:w="1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M8 audita recall diferenciado por región trimestral · Alerta si diferencia &gt;5 puntos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2.3 Riesgos de nivel MEDIO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1880"/>
        <w:gridCol w:w="168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Falla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Consecuencia</w:t>
            </w:r>
          </w:p>
        </w:tc>
        <w:tc>
          <w:tcPr>
            <w:tcW w:type="dxa" w:w="18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1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Monitoreo</w:t>
            </w:r>
          </w:p>
        </w:tc>
      </w:tr>
      <w:tr>
        <w:tc>
          <w:tcPr>
            <w:tcW w:type="dxa" w:w="22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M3 desbalancea carga entre profesionales</w:t>
            </w:r>
          </w:p>
        </w:tc>
        <w:tc>
          <w:tcPr>
            <w:tcW w:type="dxa" w:w="16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Operativa</w:t>
            </w:r>
          </w:p>
        </w:tc>
        <w:tc>
          <w:tcPr>
            <w:tcW w:type="dxa" w:w="20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Represamiento localizado · Error por fatiga · Incumplimiento de términos</w:t>
            </w:r>
          </w:p>
        </w:tc>
        <w:tc>
          <w:tcPr>
            <w:tcW w:type="dxa" w:w="18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reglas de prioridad deterministas · Estado de carga persistente · Alerta si ratio supera 2.1x</w:t>
            </w:r>
          </w:p>
        </w:tc>
        <w:tc>
          <w:tcPr>
            <w:tcW w:type="dxa" w:w="1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M8 calcula ratio carga diariamente · Dashboard visible para jefe de grupo</w:t>
            </w:r>
          </w:p>
        </w:tc>
      </w:tr>
      <w:tr>
        <w:tc>
          <w:tcPr>
            <w:tcW w:type="dxa" w:w="22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M7 sincroniza con error un estado de expediente</w:t>
            </w:r>
          </w:p>
        </w:tc>
        <w:tc>
          <w:tcPr>
            <w:tcW w:type="dxa" w:w="16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Técnica</w:t>
            </w:r>
          </w:p>
        </w:tc>
        <w:tc>
          <w:tcPr>
            <w:tcW w:type="dxa" w:w="20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Inconsistencia entre IRIS y VisionWeb · Error en auditorías de cumplimiento</w:t>
            </w:r>
          </w:p>
        </w:tc>
        <w:tc>
          <w:tcPr>
            <w:tcW w:type="dxa" w:w="18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Bitácora JSONL de toda sincronización · Cola de reintentos · Verificación cruzada periódica</w:t>
            </w:r>
          </w:p>
        </w:tc>
        <w:tc>
          <w:tcPr>
            <w:tcW w:type="dxa" w:w="1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M8 compara estados IRIS vs VisionWeb semanalmente · Alerta en discrepancias</w:t>
            </w:r>
          </w:p>
        </w:tc>
      </w:tr>
      <w:tr>
        <w:tc>
          <w:tcPr>
            <w:tcW w:type="dxa" w:w="22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Profesional confía en M2 sin leer el texto</w:t>
            </w:r>
          </w:p>
        </w:tc>
        <w:tc>
          <w:tcPr>
            <w:tcW w:type="dxa" w:w="16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Operativa</w:t>
            </w:r>
          </w:p>
        </w:tc>
        <w:tc>
          <w:tcPr>
            <w:tcW w:type="dxa" w:w="20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Clasificación incorrecta aprobada · Pérdida de atención al ciudadano</w:t>
            </w:r>
          </w:p>
        </w:tc>
        <w:tc>
          <w:tcPr>
            <w:tcW w:type="dxa" w:w="18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modal de HITL muestra el texto completo antes de aprobar · Se requiere scroll para llegar al botón de aprobación</w:t>
            </w:r>
          </w:p>
        </w:tc>
        <w:tc>
          <w:tcPr>
            <w:tcW w:type="dxa" w:w="1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Bitácora de tiempo entre asignación y primera acción · Alerta si &lt;30s en casos CRÍTICO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Canal formal de impugnación ciudadana (Directiva 007/2025)</w:t>
      </w:r>
    </w:p>
    <w:p>
      <w:pPr>
        <w:pBdr>
          <w:left w:val="single" w:color="028090" w:sz="12" w:space="8"/>
        </w:pBdr>
        <w:spacing w:after="80" w:before="80"/>
      </w:pPr>
      <w:r>
        <w:rPr>
          <w:rFonts w:ascii="Arial" w:cs="Arial" w:eastAsia="Arial" w:hAnsi="Arial"/>
          <w:color w:val="028090"/>
          <w:sz w:val="22"/>
          <w:szCs w:val="22"/>
        </w:rPr>
        <w:t xml:space="preserve">La Directiva 007/2025 exige que todo sistema de decisión automatizada (SDA) habilite un canal de impugnación ciudadana. M2 y M4 son SDA. Este canal es obligatorio antes del go-live.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3.1 Diseño del canal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Todo ciudadano cuya petición fue procesada con apoyo de IA tiene derecho a conocer la clasificación asignada y a impugnarla si considera que es incorrecta. El canal opera así: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Notificación automática (M6 — obligatoria)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Cada acuse de recibo generado por M6 incluye el siguiente texto estándar:</w:t>
      </w:r>
    </w:p>
    <w:p>
      <w:pPr>
        <w:pBdr>
          <w:left w:val="single" w:color="028090" w:sz="8" w:space="8"/>
        </w:pBdr>
        <w:shd w:fill="F0F4F8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"Su petición con radicado [NÚMERO] fue clasificada con apoyo de inteligencia artificial como [CATEGORÍA] con nivel de prioridad [URGENCIA]. Si considera que esta clasificación no corresponde a su situación, puede solicitar revisión humana a través de: (1) correo electrónico a urab.revision@defensoria.gov.co, (2) presencialmente en cualquier sede de la Defensoría, o (3) a través del botón 'Solicitar revisión' en la plataforma web. Recibirá respuesta en un plazo máximo de 5 días hábiles (Art. 29 CP)."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Proceso de impugnación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del ciudadano</w:t>
            </w:r>
          </w:p>
        </w:tc>
        <w:tc>
          <w:tcPr>
            <w:tcW w:type="dxa" w:w="3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de la URAB</w:t>
            </w:r>
          </w:p>
        </w:tc>
      </w:tr>
      <w:tr>
        <w:tc>
          <w:tcPr>
            <w:tcW w:type="dxa" w:w="20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Solicitud</w:t>
            </w:r>
          </w:p>
        </w:tc>
        <w:tc>
          <w:tcPr>
            <w:tcW w:type="dxa" w:w="3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ciudadano envía solicitud de revisión por cualquier canal indicando el radicado y el motivo de la impugnación.</w:t>
            </w:r>
          </w:p>
        </w:tc>
        <w:tc>
          <w:tcPr>
            <w:tcW w:type="dxa" w:w="3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M1 recibe y radica la solicitud de revisión como un nuevo caso vinculado al expediente original.</w:t>
            </w:r>
          </w:p>
        </w:tc>
      </w:tr>
      <w:tr>
        <w:tc>
          <w:tcPr>
            <w:tcW w:type="dxa" w:w="20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Reasignación</w:t>
            </w:r>
          </w:p>
        </w:tc>
        <w:tc>
          <w:tcPr>
            <w:tcW w:type="dxa" w:w="3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ciudadano puede indicar si desea ser atendido por el mismo profesional o por otro distinto.</w:t>
            </w:r>
          </w:p>
        </w:tc>
        <w:tc>
          <w:tcPr>
            <w:tcW w:type="dxa" w:w="3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M3 asigna la revisión a un profesional diferente al que procesó el caso original para garantizar independencia.</w:t>
            </w:r>
          </w:p>
        </w:tc>
      </w:tr>
      <w:tr>
        <w:tc>
          <w:tcPr>
            <w:tcW w:type="dxa" w:w="20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Revisión humana</w:t>
            </w:r>
          </w:p>
        </w:tc>
        <w:tc>
          <w:tcPr>
            <w:tcW w:type="dxa" w:w="3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ciudadano puede aportar evidencia adicional o corrección al texto de su petición.</w:t>
            </w:r>
          </w:p>
        </w:tc>
        <w:tc>
          <w:tcPr>
            <w:tcW w:type="dxa" w:w="3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profesional revisa el caso original y la solicitud de impugnación. M5 muestra el historial completo. La clasificación de M2 queda suspendida hasta que el profesional confirme o corrija.</w:t>
            </w:r>
          </w:p>
        </w:tc>
      </w:tr>
      <w:tr>
        <w:tc>
          <w:tcPr>
            <w:tcW w:type="dxa" w:w="20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Respuesta</w:t>
            </w:r>
          </w:p>
        </w:tc>
        <w:tc>
          <w:tcPr>
            <w:tcW w:type="dxa" w:w="3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ciudadano recibe respuesta con la clasificación revisada y la justificación del profesional.</w:t>
            </w:r>
          </w:p>
        </w:tc>
        <w:tc>
          <w:tcPr>
            <w:tcW w:type="dxa" w:w="3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la impugnación es procedente, M3 actualiza el reparto. El caso corregido alimenta el dataset de entrenamiento de BETO para el reentrenamiento semestral.</w:t>
            </w:r>
          </w:p>
        </w:tc>
      </w:tr>
      <w:tr>
        <w:tc>
          <w:tcPr>
            <w:tcW w:type="dxa" w:w="200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Escalación</w:t>
            </w:r>
          </w:p>
        </w:tc>
        <w:tc>
          <w:tcPr>
            <w:tcW w:type="dxa" w:w="3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ciudadano no está conforme con la revisión humana, puede elevar a la Defensoría Regional o interponer recurso ordinario.</w:t>
            </w:r>
          </w:p>
        </w:tc>
        <w:tc>
          <w:tcPr>
            <w:tcW w:type="dxa" w:w="3680"/>
            <w:tcBorders>
              <w:top w:val="single" w:color="D1DDE6" w:sz="1"/>
              <w:left w:val="single" w:color="D1DDE6" w:sz="1"/>
              <w:bottom w:val="single" w:color="D1DDE6" w:sz="1"/>
              <w:right w:val="single" w:color="D1DD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genera trazabilidad completa de toda la cadena: clasificación IA → impugnación → revisión humana → resultado.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3.2 Métricas del canal de impugnación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Tasa de impugnación mensual: número de impugnaciones / total peticiones procesadas. Meta: &lt;2% (señal de que el sistema clasifica bien).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Tasa de impugnaciones procedentes: impugnaciones donde M2 estaba equivocado / total impugnaciones. Meta: monitorear tendencia para detectar sesgos sistemáticos.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Tiempo de respuesta a impugnaciones: desde la solicitud hasta la respuesta. Meta: ≤5 días hábiles (Art. 29 CP).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Grupos que más impugnan: M8 segmenta las impugnaciones por temática, canal y sujeto especial para detectar si algún grupo tiene mayor tasa de impugnación — señal de sesgo.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3.3 Obligaciones de publicidad (Directiva 007/2025)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Inventario público de algoritmos: publicar antes del go-live la ficha técnica de M2 y M4 como SDA en el sitio web de la Defensoría.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Información en la plataforma web: la sección 'Mis peticiones' muestra la clasificación asignada por IA y el botón 'Solicitar revisión' en cada radicado.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Informe anual: el informe público de equidad (Fase 4) incluye la estadística completa del canal de impugnación del año anterior.</w:t>
      </w:r>
    </w:p>
    <w:p>
      <w:pPr>
        <w:pBdr>
          <w:bottom w:val="single" w:color="028090" w:sz="4" w:space="1"/>
        </w:pBdr>
        <w:spacing w:after="200" w:before="200"/>
      </w:pPr>
    </w:p>
    <w:p>
      <w:pPr>
        <w:spacing w:after="4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Legal Strategy Lab 2026 — Facultad de Derecho, Universidad Externado de Colombia</w:t>
      </w:r>
    </w:p>
    <w:p>
      <w:pPr>
        <w:spacing w:before="0"/>
        <w:jc w:val="center"/>
      </w:pPr>
      <w:r>
        <w:rPr>
          <w:rFonts w:ascii="Arial" w:cs="Arial" w:eastAsia="Arial" w:hAnsi="Arial"/>
          <w:color w:val="028090"/>
          <w:sz w:val="18"/>
          <w:szCs w:val="18"/>
        </w:rPr>
        <w:t xml:space="preserve">github.com/MireyaCamacho/agentes-defensoria-lsl2026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DE6" w:sz="4" w:space="6"/>
      </w:pBdr>
    </w:pPr>
    <w:r>
      <w:rPr>
        <w:rFonts w:ascii="Arial" w:cs="Arial" w:eastAsia="Arial" w:hAnsi="Arial"/>
        <w:color w:val="999999"/>
        <w:sz w:val="16"/>
        <w:szCs w:val="16"/>
      </w:rPr>
      <w:t xml:space="preserve">agentes-defensoria-lsl2026 · Documento de gobernanza · LSL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090" w:sz="4" w:space="6"/>
      </w:pBdr>
    </w:pPr>
    <w:r>
      <w:rPr>
        <w:rFonts w:ascii="Arial" w:cs="Arial" w:eastAsia="Arial" w:hAnsi="Arial"/>
        <w:color w:val="666666"/>
        <w:sz w:val="18"/>
        <w:szCs w:val="18"/>
      </w:rPr>
      <w:t xml:space="preserve">Marco de Gobernanza IA · Defensoría del Pueblo / URAB · LSL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28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2026-05-25T02:42:26.313Z</dcterms:created>
  <dcterms:modified xsi:type="dcterms:W3CDTF">2026-05-25T02:42:26.313Z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