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pPr>
      <w:r>
        <w:rPr>
          <w:rFonts w:ascii="Arial" w:cs="Arial" w:eastAsia="Arial" w:hAnsi="Arial"/>
          <w:b/>
          <w:bCs/>
          <w:color w:val="028090"/>
          <w:sz w:val="20"/>
          <w:szCs w:val="20"/>
        </w:rPr>
        <w:t xml:space="preserve">LEGAL STRATEGY LAB 2026</w:t>
      </w:r>
    </w:p>
    <w:p>
      <w:pPr>
        <w:spacing w:after="60" w:before="0"/>
      </w:pPr>
      <w:r>
        <w:rPr>
          <w:rFonts w:ascii="Arial" w:cs="Arial" w:eastAsia="Arial" w:hAnsi="Arial"/>
          <w:color w:val="666666"/>
          <w:sz w:val="20"/>
          <w:szCs w:val="20"/>
        </w:rPr>
        <w:t xml:space="preserve">Facultad de Derecho — Universidad Externado de Colombia</w:t>
      </w:r>
    </w:p>
    <w:p>
      <w:pPr>
        <w:spacing w:after="100" w:before="440"/>
      </w:pPr>
      <w:r>
        <w:rPr>
          <w:rFonts w:ascii="Arial" w:cs="Arial" w:eastAsia="Arial" w:hAnsi="Arial"/>
          <w:b/>
          <w:bCs/>
          <w:color w:val="1B3A5C"/>
          <w:sz w:val="44"/>
          <w:szCs w:val="44"/>
        </w:rPr>
        <w:t xml:space="preserve">Pipeline de Inteligencia Artificial Agéntica</w:t>
      </w:r>
    </w:p>
    <w:p>
      <w:pPr>
        <w:spacing w:after="60" w:before="0"/>
      </w:pPr>
      <w:r>
        <w:rPr>
          <w:rFonts w:ascii="Arial" w:cs="Arial" w:eastAsia="Arial" w:hAnsi="Arial"/>
          <w:b/>
          <w:bCs/>
          <w:color w:val="028090"/>
          <w:sz w:val="34"/>
          <w:szCs w:val="34"/>
        </w:rPr>
        <w:t xml:space="preserve">para la Defensoría del Pueblo — URAB</w:t>
      </w:r>
    </w:p>
    <w:p>
      <w:pPr>
        <w:spacing w:after="440" w:before="0"/>
      </w:pPr>
      <w:r>
        <w:rPr>
          <w:rFonts w:ascii="Arial" w:cs="Arial" w:eastAsia="Arial" w:hAnsi="Arial"/>
          <w:color w:val="888888"/>
          <w:sz w:val="22"/>
          <w:szCs w:val="22"/>
        </w:rPr>
        <w:t xml:space="preserve">Informe Técnico de Proyecto</w:t>
      </w:r>
    </w:p>
    <w:p>
      <w:pPr>
        <w:pBdr>
          <w:bottom w:val="single" w:color="028090" w:sz="4" w:space="1"/>
        </w:pBdr>
        <w:spacing w:after="200" w:before="200"/>
      </w:pPr>
    </w:p>
    <w:p>
      <w:pPr>
        <w:spacing w:after="60" w:before="240"/>
      </w:pPr>
      <w:r>
        <w:rPr>
          <w:rFonts w:ascii="Arial" w:cs="Arial" w:eastAsia="Arial" w:hAnsi="Arial"/>
          <w:b/>
          <w:bCs/>
          <w:sz w:val="22"/>
          <w:szCs w:val="22"/>
        </w:rPr>
        <w:t xml:space="preserve">Repositorio: </w:t>
      </w:r>
      <w:r>
        <w:rPr>
          <w:rFonts w:ascii="Arial" w:cs="Arial" w:eastAsia="Arial" w:hAnsi="Arial"/>
          <w:color w:val="028090"/>
          <w:sz w:val="22"/>
          <w:szCs w:val="22"/>
        </w:rPr>
        <w:t xml:space="preserve">github.com/MireyaCamacho/agentes-defensoria-lsl2026</w:t>
      </w:r>
    </w:p>
    <w:p>
      <w:pPr>
        <w:spacing w:after="60" w:before="40"/>
      </w:pPr>
      <w:r>
        <w:rPr>
          <w:rFonts w:ascii="Arial" w:cs="Arial" w:eastAsia="Arial" w:hAnsi="Arial"/>
          <w:b/>
          <w:bCs/>
          <w:sz w:val="22"/>
          <w:szCs w:val="22"/>
        </w:rPr>
        <w:t xml:space="preserve">Módulos: </w:t>
      </w:r>
      <w:r>
        <w:rPr>
          <w:rFonts w:ascii="Arial" w:cs="Arial" w:eastAsia="Arial" w:hAnsi="Arial"/>
          <w:sz w:val="22"/>
          <w:szCs w:val="22"/>
        </w:rPr>
        <w:t xml:space="preserve">M1–M8 + Orquestador + Verificador NIST/ISO + Comparador de modelos</w:t>
      </w:r>
    </w:p>
    <w:p>
      <w:pPr>
        <w:spacing w:after="60" w:before="40"/>
      </w:pPr>
      <w:r>
        <w:rPr>
          <w:rFonts w:ascii="Arial" w:cs="Arial" w:eastAsia="Arial" w:hAnsi="Arial"/>
          <w:b/>
          <w:bCs/>
          <w:sz w:val="22"/>
          <w:szCs w:val="22"/>
        </w:rPr>
        <w:t xml:space="preserve">Piloto: </w:t>
      </w:r>
      <w:r>
        <w:rPr>
          <w:rFonts w:ascii="Arial" w:cs="Arial" w:eastAsia="Arial" w:hAnsi="Arial"/>
          <w:sz w:val="22"/>
          <w:szCs w:val="22"/>
        </w:rPr>
        <w:t xml:space="preserve">21 mayo 2026 · 10 peticiones · Exactitud M2: 90% · Costo: $0.064 USD</w:t>
      </w:r>
    </w:p>
    <w:p>
      <w:pPr>
        <w:spacing w:after="40" w:before="40"/>
      </w:pPr>
      <w:r>
        <w:rPr>
          <w:rFonts w:ascii="Arial" w:cs="Arial" w:eastAsia="Arial" w:hAnsi="Arial"/>
          <w:b/>
          <w:bCs/>
          <w:sz w:val="22"/>
          <w:szCs w:val="22"/>
        </w:rPr>
        <w:t xml:space="preserve">Datos: </w:t>
      </w:r>
      <w:r>
        <w:rPr>
          <w:rFonts w:ascii="Arial" w:cs="Arial" w:eastAsia="Arial" w:hAnsi="Arial"/>
          <w:sz w:val="22"/>
          <w:szCs w:val="22"/>
        </w:rPr>
        <w:t xml:space="preserve">Sintéticos — N=20,417 radicados · 300 peticiones/día · 17 profesionales · 90 días</w:t>
      </w:r>
    </w:p>
    <w:p>
      <w:r>
        <w:br w:type="page"/>
      </w:r>
    </w:p>
    <w:p>
      <w:pPr>
        <w:pStyle w:val="Heading1"/>
        <w:spacing w:after="180" w:before="400"/>
      </w:pPr>
      <w:r>
        <w:rPr>
          <w:rFonts w:ascii="Arial" w:cs="Arial" w:eastAsia="Arial" w:hAnsi="Arial"/>
          <w:b/>
          <w:bCs/>
          <w:color w:val="1B3A5C"/>
          <w:sz w:val="32"/>
          <w:szCs w:val="32"/>
        </w:rPr>
        <w:t xml:space="preserve">1. Resumen ejecutivo</w:t>
      </w:r>
    </w:p>
    <w:p>
      <w:pPr>
        <w:spacing w:after="100" w:before="60"/>
      </w:pPr>
      <w:r>
        <w:rPr>
          <w:rFonts w:ascii="Arial" w:cs="Arial" w:eastAsia="Arial" w:hAnsi="Arial"/>
          <w:sz w:val="22"/>
          <w:szCs w:val="22"/>
        </w:rPr>
        <w:t xml:space="preserve">Este informe describe el diseño, implementación y resultados del pipeline de IA agéntica para la URAB de la Defensoría del Pueblo, en el marco del LSL 2026. El sistema integra ocho módulos (M1–M8) que automatizan el ciclo completo de gestión de peticiones con supervisión humana obligatoria en los cuatro puntos de mayor riesgo jurídico.</w:t>
      </w:r>
    </w:p>
    <w:p>
      <w:pPr>
        <w:spacing w:after="100" w:before="60"/>
      </w:pPr>
      <w:r>
        <w:rPr>
          <w:rFonts w:ascii="Arial" w:cs="Arial" w:eastAsia="Arial" w:hAnsi="Arial"/>
          <w:sz w:val="22"/>
          <w:szCs w:val="22"/>
        </w:rPr>
        <w:t xml:space="preserve">El piloto ejecutado el 21 de mayo de 2026 obtuvo 90% de exactitud en clasificación (meta ≥88%), ratio de carga de 1.0x entre profesionales (meta ≤2.1x), 100% de sincronización exitosa y costo de API de $0.064 USD para 10 peticiones. La comparación empírica contra modelos gratuitos demuestra que el sistema puede operar con soberanía total de datos a 82.7% de exactitud, sin enviar información al exterior.</w:t>
      </w:r>
    </w:p>
    <w:p>
      <w:pPr>
        <w:spacing w:after="0" w:before="80"/>
      </w:pPr>
    </w:p>
    <w:p>
      <w:pPr>
        <w:pStyle w:val="Heading1"/>
        <w:spacing w:after="180" w:before="400"/>
      </w:pPr>
      <w:r>
        <w:rPr>
          <w:rFonts w:ascii="Arial" w:cs="Arial" w:eastAsia="Arial" w:hAnsi="Arial"/>
          <w:b/>
          <w:bCs/>
          <w:color w:val="1B3A5C"/>
          <w:sz w:val="32"/>
          <w:szCs w:val="32"/>
        </w:rPr>
        <w:t xml:space="preserve">2. Contexto y problema</w:t>
      </w:r>
    </w:p>
    <w:p>
      <w:pPr>
        <w:spacing w:after="100" w:before="60"/>
      </w:pPr>
      <w:r>
        <w:rPr>
          <w:rFonts w:ascii="Arial" w:cs="Arial" w:eastAsia="Arial" w:hAnsi="Arial"/>
          <w:sz w:val="22"/>
          <w:szCs w:val="22"/>
        </w:rPr>
        <w:t xml:space="preserve">La URAB procesa ~294 peticiones por día hábil. El diagnóstico sobre N=20,417 radicados simulados identificó cinco problemas estructurales:</w:t>
      </w:r>
    </w:p>
    <w:p>
      <w:pPr>
        <w:pStyle w:val="ListParagraph"/>
        <w:numPr>
          <w:ilvl w:val="0"/>
          <w:numId w:val="2"/>
        </w:numPr>
        <w:spacing w:after="40" w:before="40"/>
      </w:pPr>
      <w:r>
        <w:rPr>
          <w:rFonts w:ascii="Arial" w:cs="Arial" w:eastAsia="Arial" w:hAnsi="Arial"/>
          <w:sz w:val="22"/>
          <w:szCs w:val="22"/>
        </w:rPr>
        <w:t xml:space="preserve">Triage tardío: 56.2% de urgentes clasificados después de 8h hábiles — riesgo de daño antijurídico.</w:t>
      </w:r>
    </w:p>
    <w:p>
      <w:pPr>
        <w:pStyle w:val="ListParagraph"/>
        <w:numPr>
          <w:ilvl w:val="0"/>
          <w:numId w:val="2"/>
        </w:numPr>
        <w:spacing w:after="40" w:before="40"/>
      </w:pPr>
      <w:r>
        <w:rPr>
          <w:rFonts w:ascii="Arial" w:cs="Arial" w:eastAsia="Arial" w:hAnsi="Arial"/>
          <w:sz w:val="22"/>
          <w:szCs w:val="22"/>
        </w:rPr>
        <w:t xml:space="preserve">Desequilibrio de carga: ratio 7.7x entre el profesional con más y menos casos.</w:t>
      </w:r>
    </w:p>
    <w:p>
      <w:pPr>
        <w:pStyle w:val="ListParagraph"/>
        <w:numPr>
          <w:ilvl w:val="0"/>
          <w:numId w:val="2"/>
        </w:numPr>
        <w:spacing w:after="40" w:before="40"/>
      </w:pPr>
      <w:r>
        <w:rPr>
          <w:rFonts w:ascii="Arial" w:cs="Arial" w:eastAsia="Arial" w:hAnsi="Arial"/>
          <w:sz w:val="22"/>
          <w:szCs w:val="22"/>
        </w:rPr>
        <w:t xml:space="preserve">Doble registro: 72.6% con entrada manual duplicada en IRIS y VisionWeb — 13,320 h/año perdidas (6.4 FTE).</w:t>
      </w:r>
    </w:p>
    <w:p>
      <w:pPr>
        <w:pStyle w:val="ListParagraph"/>
        <w:numPr>
          <w:ilvl w:val="0"/>
          <w:numId w:val="2"/>
        </w:numPr>
        <w:spacing w:after="40" w:before="40"/>
      </w:pPr>
      <w:r>
        <w:rPr>
          <w:rFonts w:ascii="Arial" w:cs="Arial" w:eastAsia="Arial" w:hAnsi="Arial"/>
          <w:sz w:val="22"/>
          <w:szCs w:val="22"/>
        </w:rPr>
        <w:t xml:space="preserve">Duplicados no detectados: 9.7% son reenvíos del mismo ciudadano con 0% de detección actual.</w:t>
      </w:r>
    </w:p>
    <w:p>
      <w:pPr>
        <w:pStyle w:val="ListParagraph"/>
        <w:numPr>
          <w:ilvl w:val="0"/>
          <w:numId w:val="2"/>
        </w:numPr>
        <w:spacing w:after="40" w:before="40"/>
      </w:pPr>
      <w:r>
        <w:rPr>
          <w:rFonts w:ascii="Arial" w:cs="Arial" w:eastAsia="Arial" w:hAnsi="Arial"/>
          <w:sz w:val="22"/>
          <w:szCs w:val="22"/>
        </w:rPr>
        <w:t xml:space="preserve">Sin historial unificado: cada profesional reconstruye el contexto desde cero en cada interacción.</w:t>
      </w:r>
    </w:p>
    <w:p>
      <w:r>
        <w:br w:type="page"/>
      </w:r>
    </w:p>
    <w:p>
      <w:pPr>
        <w:pStyle w:val="Heading1"/>
        <w:spacing w:after="180" w:before="400"/>
      </w:pPr>
      <w:r>
        <w:rPr>
          <w:rFonts w:ascii="Arial" w:cs="Arial" w:eastAsia="Arial" w:hAnsi="Arial"/>
          <w:b/>
          <w:bCs/>
          <w:color w:val="1B3A5C"/>
          <w:sz w:val="32"/>
          <w:szCs w:val="32"/>
        </w:rPr>
        <w:t xml:space="preserve">3. Alcances, límites y disclaimers — HITL</w:t>
      </w:r>
    </w:p>
    <w:p>
      <w:pPr>
        <w:pBdr>
          <w:left w:val="single" w:color="C0392B" w:sz="12" w:space="8"/>
        </w:pBdr>
        <w:spacing w:after="80" w:before="80"/>
      </w:pPr>
      <w:r>
        <w:rPr>
          <w:rFonts w:ascii="Arial" w:cs="Arial" w:eastAsia="Arial" w:hAnsi="Arial"/>
          <w:color w:val="C0392B"/>
          <w:sz w:val="22"/>
          <w:szCs w:val="22"/>
        </w:rPr>
        <w:t xml:space="preserve">AVISO: Este sistema es una herramienta de apoyo a la decisión. No reemplaza el criterio profesional del funcionario. Toda clasificación, triage y borrador generado por IA es una sugerencia sujeta a revisión humana obligatoria.</w:t>
      </w:r>
    </w:p>
    <w:p>
      <w:pPr>
        <w:spacing w:after="0" w:before="120"/>
      </w:pPr>
    </w:p>
    <w:p>
      <w:pPr>
        <w:pStyle w:val="Heading2"/>
        <w:spacing w:after="120" w:before="280"/>
      </w:pPr>
      <w:r>
        <w:rPr>
          <w:rFonts w:ascii="Arial" w:cs="Arial" w:eastAsia="Arial" w:hAnsi="Arial"/>
          <w:b/>
          <w:bCs/>
          <w:color w:val="028090"/>
          <w:sz w:val="26"/>
          <w:szCs w:val="26"/>
        </w:rPr>
        <w:t xml:space="preserve">3.1 Qué hace y qué NO hace el sistema en cada punto HITL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Punto HITL</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Condición que lo activa</w:t>
            </w:r>
          </w:p>
        </w:tc>
        <w:tc>
          <w:tcPr>
            <w:tcW w:type="dxa" w:w="3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Lo que hace — lo que NO hace</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C0392B"/>
                <w:sz w:val="20"/>
                <w:szCs w:val="20"/>
              </w:rPr>
              <w:t xml:space="preserve">Urgencia CRÍTICO</w:t>
            </w:r>
          </w:p>
        </w:tc>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C0392B"/>
                <w:sz w:val="20"/>
                <w:szCs w:val="20"/>
              </w:rPr>
              <w:t xml:space="preserve">Amenaza vital, desaparición, NNA en peligro, VBG inminente. Hard-coded.</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C0392B"/>
                <w:sz w:val="20"/>
                <w:szCs w:val="20"/>
              </w:rPr>
              <w:t xml:space="preserve">HACE: genera alerta y suspende el flujo. NO HACE: notificar al ciudadano, escalar a autoridades, tomar acción externa.</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Caso NNA o discapacidad</w:t>
            </w:r>
          </w:p>
        </w:tc>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Cualquier caso con menor de edad o persona con discapacidad, independiente de la urgencia.</w:t>
            </w:r>
          </w:p>
        </w:tc>
        <w:tc>
          <w:tcPr>
            <w:tcW w:type="dxa" w:w="3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HACE: marca HITL y espera aprobación. NO HACE: clasificar riesgo del menor ni determinar medidas de protección.</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Respuesta de fondo M6</w:t>
            </w:r>
          </w:p>
        </w:tc>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Todo borrador de respuesta jurídica sustancial generado por el copilot.</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HACE: genera borrador editable con fuentes RAG. NO HACE: enviar respuestas de forma autónoma.</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Acumulación duplicados M4</w:t>
            </w:r>
          </w:p>
        </w:tc>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Par con similitud semántica ≥75%.</w:t>
            </w:r>
          </w:p>
        </w:tc>
        <w:tc>
          <w:tcPr>
            <w:tcW w:type="dxa" w:w="3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HACE: sugiere acumulación con evidencia XAI. NO HACE: fusionar expedientes de forma autónoma.</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Confianza baja M2</w:t>
            </w:r>
          </w:p>
        </w:tc>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Clasificación con confianza &lt;70%, frecuente en dialectos regionales.</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HACE: reduce urgencia estimada y activa HITL. NO HACE: asumir que la clasificación de baja confianza es correcta.</w:t>
            </w:r>
          </w:p>
        </w:tc>
      </w:tr>
    </w:tbl>
    <w:p>
      <w:pPr>
        <w:spacing w:after="0" w:before="120"/>
      </w:pPr>
    </w:p>
    <w:p>
      <w:pPr>
        <w:pStyle w:val="Heading2"/>
        <w:spacing w:after="120" w:before="280"/>
      </w:pPr>
      <w:r>
        <w:rPr>
          <w:rFonts w:ascii="Arial" w:cs="Arial" w:eastAsia="Arial" w:hAnsi="Arial"/>
          <w:b/>
          <w:bCs/>
          <w:color w:val="028090"/>
          <w:sz w:val="26"/>
          <w:szCs w:val="26"/>
        </w:rPr>
        <w:t xml:space="preserve">3.2 Limitaciones técnicas conocidas</w:t>
      </w:r>
    </w:p>
    <w:p>
      <w:pPr>
        <w:pStyle w:val="ListParagraph"/>
        <w:numPr>
          <w:ilvl w:val="0"/>
          <w:numId w:val="2"/>
        </w:numPr>
        <w:spacing w:after="40" w:before="40"/>
      </w:pPr>
      <w:r>
        <w:rPr>
          <w:rFonts w:ascii="Arial" w:cs="Arial" w:eastAsia="Arial" w:hAnsi="Arial"/>
          <w:sz w:val="22"/>
          <w:szCs w:val="22"/>
        </w:rPr>
        <w:t xml:space="preserve">Exactitud del 90% implica que 1 de cada 10 clasificaciones puede ser incorrecta — por eso el HITL es obligatorio para toda urgencia CRÍTICO.</w:t>
      </w:r>
    </w:p>
    <w:p>
      <w:pPr>
        <w:pStyle w:val="ListParagraph"/>
        <w:numPr>
          <w:ilvl w:val="0"/>
          <w:numId w:val="2"/>
        </w:numPr>
        <w:spacing w:after="40" w:before="40"/>
      </w:pPr>
      <w:r>
        <w:rPr>
          <w:rFonts w:ascii="Arial" w:cs="Arial" w:eastAsia="Arial" w:hAnsi="Arial"/>
          <w:sz w:val="22"/>
          <w:szCs w:val="22"/>
        </w:rPr>
        <w:t xml:space="preserve">El LLM puede alucinar en los borradores de M6: citar normas incorrectamente. El profesional verifica toda referencia antes de aprobar.</w:t>
      </w:r>
    </w:p>
    <w:p>
      <w:pPr>
        <w:pStyle w:val="ListParagraph"/>
        <w:numPr>
          <w:ilvl w:val="0"/>
          <w:numId w:val="2"/>
        </w:numPr>
        <w:spacing w:after="40" w:before="40"/>
      </w:pPr>
      <w:r>
        <w:rPr>
          <w:rFonts w:ascii="Arial" w:cs="Arial" w:eastAsia="Arial" w:hAnsi="Arial"/>
          <w:sz w:val="22"/>
          <w:szCs w:val="22"/>
        </w:rPr>
        <w:t xml:space="preserve">Desempeño inferior en dialectos regionales — umbral HITL reducido al 60% para estos casos.</w:t>
      </w:r>
    </w:p>
    <w:p>
      <w:pPr>
        <w:pStyle w:val="ListParagraph"/>
        <w:numPr>
          <w:ilvl w:val="0"/>
          <w:numId w:val="2"/>
        </w:numPr>
        <w:spacing w:after="40" w:before="40"/>
      </w:pPr>
      <w:r>
        <w:rPr>
          <w:rFonts w:ascii="Arial" w:cs="Arial" w:eastAsia="Arial" w:hAnsi="Arial"/>
          <w:sz w:val="22"/>
          <w:szCs w:val="22"/>
        </w:rPr>
        <w:t xml:space="preserve">Recall de duplicados objetivo ≥85%: hasta el 15% de los duplicados reales pueden no detectarse.</w:t>
      </w:r>
    </w:p>
    <w:p>
      <w:pPr>
        <w:pStyle w:val="Heading2"/>
        <w:spacing w:after="120" w:before="280"/>
      </w:pPr>
      <w:r>
        <w:rPr>
          <w:rFonts w:ascii="Arial" w:cs="Arial" w:eastAsia="Arial" w:hAnsi="Arial"/>
          <w:b/>
          <w:bCs/>
          <w:color w:val="028090"/>
          <w:sz w:val="26"/>
          <w:szCs w:val="26"/>
        </w:rPr>
        <w:t xml:space="preserve">3.3 Derechos del ciudadano frente al sistema</w:t>
      </w:r>
    </w:p>
    <w:p>
      <w:pPr>
        <w:pStyle w:val="ListParagraph"/>
        <w:numPr>
          <w:ilvl w:val="0"/>
          <w:numId w:val="2"/>
        </w:numPr>
        <w:spacing w:after="40" w:before="40"/>
      </w:pPr>
      <w:r>
        <w:rPr>
          <w:rFonts w:ascii="Arial" w:cs="Arial" w:eastAsia="Arial" w:hAnsi="Arial"/>
          <w:sz w:val="22"/>
          <w:szCs w:val="22"/>
        </w:rPr>
        <w:t xml:space="preserve">Derecho a saber: notificación en el acuse de recibo que su petición fue procesada con apoyo de IA (Directiva 007/2025).</w:t>
      </w:r>
    </w:p>
    <w:p>
      <w:pPr>
        <w:pStyle w:val="ListParagraph"/>
        <w:numPr>
          <w:ilvl w:val="0"/>
          <w:numId w:val="2"/>
        </w:numPr>
        <w:spacing w:after="40" w:before="40"/>
      </w:pPr>
      <w:r>
        <w:rPr>
          <w:rFonts w:ascii="Arial" w:cs="Arial" w:eastAsia="Arial" w:hAnsi="Arial"/>
          <w:sz w:val="22"/>
          <w:szCs w:val="22"/>
        </w:rPr>
        <w:t xml:space="preserve">Derecho a impugnar: cualquier clasificación puede ser recurrida con respuesta en ≤5 días hábiles (Art. 29 CP).</w:t>
      </w:r>
    </w:p>
    <w:p>
      <w:pPr>
        <w:pStyle w:val="ListParagraph"/>
        <w:numPr>
          <w:ilvl w:val="0"/>
          <w:numId w:val="2"/>
        </w:numPr>
        <w:spacing w:after="40" w:before="40"/>
      </w:pPr>
      <w:r>
        <w:rPr>
          <w:rFonts w:ascii="Arial" w:cs="Arial" w:eastAsia="Arial" w:hAnsi="Arial"/>
          <w:sz w:val="22"/>
          <w:szCs w:val="22"/>
        </w:rPr>
        <w:t xml:space="preserve">Derecho a la privacidad: datos sensibles con cifrado en reposo, acceso solo por roles autorizados (Ley 1581/2012).</w:t>
      </w:r>
    </w:p>
    <w:p>
      <w:pPr>
        <w:pStyle w:val="ListParagraph"/>
        <w:numPr>
          <w:ilvl w:val="0"/>
          <w:numId w:val="2"/>
        </w:numPr>
        <w:spacing w:after="40" w:before="40"/>
      </w:pPr>
      <w:r>
        <w:rPr>
          <w:rFonts w:ascii="Arial" w:cs="Arial" w:eastAsia="Arial" w:hAnsi="Arial"/>
          <w:sz w:val="22"/>
          <w:szCs w:val="22"/>
        </w:rPr>
        <w:t xml:space="preserve">Derecho a la respuesta humana: ninguna respuesta de fondo sale sin revisión y firma de un profesional identificado.</w:t>
      </w:r>
    </w:p>
    <w:p>
      <w:r>
        <w:br w:type="page"/>
      </w:r>
    </w:p>
    <w:p>
      <w:pPr>
        <w:pStyle w:val="Heading1"/>
        <w:spacing w:after="180" w:before="400"/>
      </w:pPr>
      <w:r>
        <w:rPr>
          <w:rFonts w:ascii="Arial" w:cs="Arial" w:eastAsia="Arial" w:hAnsi="Arial"/>
          <w:b/>
          <w:bCs/>
          <w:color w:val="1B3A5C"/>
          <w:sz w:val="32"/>
          <w:szCs w:val="32"/>
        </w:rPr>
        <w:t xml:space="preserve">4. Arquitectura técnica</w:t>
      </w:r>
    </w:p>
    <w:p>
      <w:pPr>
        <w:pStyle w:val="Heading2"/>
        <w:spacing w:after="120" w:before="280"/>
      </w:pPr>
      <w:r>
        <w:rPr>
          <w:rFonts w:ascii="Arial" w:cs="Arial" w:eastAsia="Arial" w:hAnsi="Arial"/>
          <w:b/>
          <w:bCs/>
          <w:color w:val="028090"/>
          <w:sz w:val="26"/>
          <w:szCs w:val="26"/>
        </w:rPr>
        <w:t xml:space="preserve">4.1 Módulos M1–M8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c>
          <w:tcPr>
            <w:tcW w:type="dxa" w:w="1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Módulo</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Enfoque técnico</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piloto</w:t>
            </w:r>
          </w:p>
        </w:tc>
      </w:tr>
      <w:tr>
        <w:tc>
          <w:tcPr>
            <w:tcW w:type="dxa" w:w="1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M1</w:t>
            </w:r>
          </w:p>
        </w:tc>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Recepción inteligente</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NER con tool use + detección faltantes + solicitud complemento</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Extracción ≥90% campos</w:t>
            </w:r>
          </w:p>
        </w:tc>
      </w:tr>
      <w:tr>
        <w:tc>
          <w:tcPr>
            <w:tcW w:type="dxa" w:w="1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M2</w:t>
            </w:r>
          </w:p>
        </w:tc>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Clasificación y triage</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Multiclase + 4 niveles urgencia + XAI por campo + señal HITL</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Urgentes tardíos: 56.2%→≤4.5%</w:t>
            </w:r>
          </w:p>
        </w:tc>
      </w:tr>
      <w:tr>
        <w:tc>
          <w:tcPr>
            <w:tcW w:type="dxa" w:w="1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M3</w:t>
            </w:r>
          </w:p>
        </w:tc>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Reparto inteligente</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 reglas de prioridad + carga balanceada + JSON persistente</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Ratio carga: 7.7x→≤2.1x</w:t>
            </w:r>
          </w:p>
        </w:tc>
      </w:tr>
      <w:tr>
        <w:tc>
          <w:tcPr>
            <w:tcW w:type="dxa" w:w="1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M4</w:t>
            </w:r>
          </w:p>
        </w:tc>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Anti-duplicidad</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TF-IDF + verificación semántica LLM + 3 criterios + HITL</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Recall ≥85%, FP ≤8%</w:t>
            </w:r>
          </w:p>
        </w:tc>
      </w:tr>
      <w:tr>
        <w:tc>
          <w:tcPr>
            <w:tcW w:type="dxa" w:w="1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M5</w:t>
            </w:r>
          </w:p>
        </w:tc>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Historial 360°</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Consulta por ID + patrones recurrencia + alerta sistemática</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Consulta &lt;30s</w:t>
            </w:r>
          </w:p>
        </w:tc>
      </w:tr>
      <w:tr>
        <w:tc>
          <w:tcPr>
            <w:tcW w:type="dxa" w:w="1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M6</w:t>
            </w:r>
          </w:p>
        </w:tc>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Copilot jurídico</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Alerta forzada + whitelist + RAG + borrador + bitácora + HITL</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Borradores sin edición ≥60%</w:t>
            </w:r>
          </w:p>
        </w:tc>
      </w:tr>
      <w:tr>
        <w:tc>
          <w:tcPr>
            <w:tcW w:type="dxa" w:w="1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M7</w:t>
            </w:r>
          </w:p>
        </w:tc>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Interoperabilidad</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API-first + RPA fallback + cola offline + bitácora JSONL</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Doble registro: 72.6%→≤5%</w:t>
            </w:r>
          </w:p>
        </w:tc>
      </w:tr>
      <w:tr>
        <w:tc>
          <w:tcPr>
            <w:tcW w:type="dxa" w:w="1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M8</w:t>
            </w:r>
          </w:p>
        </w:tc>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Analítica BI</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Métricas operativas y derechos + privacidad diferencial + LLM</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Dashboard &lt;24h lag</w:t>
            </w:r>
          </w:p>
        </w:tc>
      </w:tr>
    </w:tbl>
    <w:p>
      <w:r>
        <w:br w:type="page"/>
      </w:r>
    </w:p>
    <w:p>
      <w:pPr>
        <w:pStyle w:val="Heading1"/>
        <w:spacing w:after="180" w:before="400"/>
      </w:pPr>
      <w:r>
        <w:rPr>
          <w:rFonts w:ascii="Arial" w:cs="Arial" w:eastAsia="Arial" w:hAnsi="Arial"/>
          <w:b/>
          <w:bCs/>
          <w:color w:val="1B3A5C"/>
          <w:sz w:val="32"/>
          <w:szCs w:val="32"/>
        </w:rPr>
        <w:t xml:space="preserve">5. Comparación de modelos — evidencia empírica</w:t>
      </w:r>
    </w:p>
    <w:p>
      <w:pPr>
        <w:pBdr>
          <w:left w:val="single" w:color="028090" w:sz="12" w:space="8"/>
        </w:pBdr>
        <w:spacing w:after="80" w:before="80"/>
      </w:pPr>
      <w:r>
        <w:rPr>
          <w:rFonts w:ascii="Arial" w:cs="Arial" w:eastAsia="Arial" w:hAnsi="Arial"/>
          <w:color w:val="028090"/>
          <w:sz w:val="22"/>
          <w:szCs w:val="22"/>
        </w:rPr>
        <w:t xml:space="preserve">Todos los resultados de esta sección son medidos sobre el mismo dataset real de N=20,417 radicados, con partición 80% entrenamiento / 20% prueba (~4,084 casos). No son estimados de literatura.</w:t>
      </w:r>
    </w:p>
    <w:p>
      <w:pPr>
        <w:spacing w:after="0" w:before="120"/>
      </w:pPr>
    </w:p>
    <w:p>
      <w:pPr>
        <w:pStyle w:val="Heading2"/>
        <w:spacing w:after="120" w:before="280"/>
      </w:pPr>
      <w:r>
        <w:rPr>
          <w:rFonts w:ascii="Arial" w:cs="Arial" w:eastAsia="Arial" w:hAnsi="Arial"/>
          <w:b/>
          <w:bCs/>
          <w:color w:val="028090"/>
          <w:sz w:val="26"/>
          <w:szCs w:val="26"/>
        </w:rPr>
        <w:t xml:space="preserve">5.1 Tabla comparativa (medición real del 21 de mayo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300"/>
        <w:gridCol w:w="1300"/>
        <w:gridCol w:w="1500"/>
        <w:gridCol w:w="186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Modelo</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Exactitud</w:t>
            </w:r>
          </w:p>
        </w:tc>
        <w:tc>
          <w:tcPr>
            <w:tcW w:type="dxa" w:w="13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F1</w:t>
            </w:r>
          </w:p>
        </w:tc>
        <w:tc>
          <w:tcPr>
            <w:tcW w:type="dxa" w:w="13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Recall</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Costo/pet</w:t>
            </w:r>
          </w:p>
        </w:tc>
        <w:tc>
          <w:tcPr>
            <w:tcW w:type="dxa" w:w="1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Soberanía datos</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Reglas léxicas (sin IA)</w:t>
            </w:r>
          </w:p>
        </w:tc>
        <w:tc>
          <w:tcPr>
            <w:tcW w:type="dxa" w:w="1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D35400"/>
                <w:sz w:val="20"/>
                <w:szCs w:val="20"/>
              </w:rPr>
              <w:t xml:space="preserve">65.3%</w:t>
            </w:r>
          </w:p>
        </w:tc>
        <w:tc>
          <w:tcPr>
            <w:tcW w:type="dxa" w:w="13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D35400"/>
                <w:sz w:val="20"/>
                <w:szCs w:val="20"/>
              </w:rPr>
              <w:t xml:space="preserve">44.0%</w:t>
            </w:r>
          </w:p>
        </w:tc>
        <w:tc>
          <w:tcPr>
            <w:tcW w:type="dxa" w:w="13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81.2%</w:t>
            </w:r>
          </w:p>
        </w:tc>
        <w:tc>
          <w:tcPr>
            <w:tcW w:type="dxa" w:w="15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$0</w:t>
            </w:r>
          </w:p>
        </w:tc>
        <w:tc>
          <w:tcPr>
            <w:tcW w:type="dxa" w:w="18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 Local</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Naive Bayes + TF-IDF</w:t>
            </w:r>
          </w:p>
        </w:tc>
        <w:tc>
          <w:tcPr>
            <w:tcW w:type="dxa" w:w="1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D35400"/>
                <w:sz w:val="20"/>
                <w:szCs w:val="20"/>
              </w:rPr>
              <w:t xml:space="preserve">76.4%</w:t>
            </w:r>
          </w:p>
        </w:tc>
        <w:tc>
          <w:tcPr>
            <w:tcW w:type="dxa" w:w="13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D35400"/>
                <w:sz w:val="20"/>
                <w:szCs w:val="20"/>
              </w:rPr>
              <w:t xml:space="preserve">50.8%</w:t>
            </w:r>
          </w:p>
        </w:tc>
        <w:tc>
          <w:tcPr>
            <w:tcW w:type="dxa" w:w="13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72.6%</w:t>
            </w:r>
          </w:p>
        </w:tc>
        <w:tc>
          <w:tcPr>
            <w:tcW w:type="dxa" w:w="15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$0</w:t>
            </w:r>
          </w:p>
        </w:tc>
        <w:tc>
          <w:tcPr>
            <w:tcW w:type="dxa" w:w="18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 Local</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b/>
                <w:bCs/>
                <w:color w:val="028090"/>
                <w:sz w:val="20"/>
                <w:szCs w:val="20"/>
              </w:rPr>
              <w:t xml:space="preserve">BETO on-premise (medido)</w:t>
            </w:r>
          </w:p>
        </w:tc>
        <w:tc>
          <w:tcPr>
            <w:tcW w:type="dxa" w:w="1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82.7%</w:t>
            </w:r>
          </w:p>
        </w:tc>
        <w:tc>
          <w:tcPr>
            <w:tcW w:type="dxa" w:w="13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58.1%</w:t>
            </w:r>
          </w:p>
        </w:tc>
        <w:tc>
          <w:tcPr>
            <w:tcW w:type="dxa" w:w="13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71.6%</w:t>
            </w:r>
          </w:p>
        </w:tc>
        <w:tc>
          <w:tcPr>
            <w:tcW w:type="dxa" w:w="15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$0</w:t>
            </w:r>
          </w:p>
        </w:tc>
        <w:tc>
          <w:tcPr>
            <w:tcW w:type="dxa" w:w="18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 On-premise</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b/>
                <w:bCs/>
                <w:color w:val="1B3A5C"/>
                <w:sz w:val="20"/>
                <w:szCs w:val="20"/>
              </w:rPr>
              <w:t xml:space="preserve">Anthropic Haiku 4.5 (piloto real 21/05/2026)</w:t>
            </w:r>
          </w:p>
        </w:tc>
        <w:tc>
          <w:tcPr>
            <w:tcW w:type="dxa" w:w="1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90.0%</w:t>
            </w:r>
          </w:p>
        </w:tc>
        <w:tc>
          <w:tcPr>
            <w:tcW w:type="dxa" w:w="13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w:t>
            </w:r>
          </w:p>
        </w:tc>
        <w:tc>
          <w:tcPr>
            <w:tcW w:type="dxa" w:w="13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w:t>
            </w:r>
          </w:p>
        </w:tc>
        <w:tc>
          <w:tcPr>
            <w:tcW w:type="dxa" w:w="15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C0392B"/>
                <w:sz w:val="20"/>
                <w:szCs w:val="20"/>
              </w:rPr>
              <w:t xml:space="preserve">~$0.006 USD</w:t>
            </w:r>
          </w:p>
        </w:tc>
        <w:tc>
          <w:tcPr>
            <w:tcW w:type="dxa" w:w="18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C0392B"/>
                <w:sz w:val="20"/>
                <w:szCs w:val="20"/>
              </w:rPr>
              <w:t xml:space="preserve">⚠ Cloud API</w:t>
            </w:r>
          </w:p>
        </w:tc>
      </w:tr>
    </w:tbl>
    <w:p>
      <w:pPr>
        <w:spacing w:after="0" w:before="120"/>
      </w:pPr>
    </w:p>
    <w:p>
      <w:pPr>
        <w:pStyle w:val="Heading2"/>
        <w:spacing w:after="120" w:before="280"/>
      </w:pPr>
      <w:r>
        <w:rPr>
          <w:rFonts w:ascii="Arial" w:cs="Arial" w:eastAsia="Arial" w:hAnsi="Arial"/>
          <w:b/>
          <w:bCs/>
          <w:color w:val="028090"/>
          <w:sz w:val="26"/>
          <w:szCs w:val="26"/>
        </w:rPr>
        <w:t xml:space="preserve">5.2 Qué explica cada resultado</w:t>
      </w:r>
    </w:p>
    <w:p>
      <w:pPr>
        <w:spacing w:after="80" w:before="200"/>
      </w:pPr>
      <w:r>
        <w:rPr>
          <w:rFonts w:ascii="Arial" w:cs="Arial" w:eastAsia="Arial" w:hAnsi="Arial"/>
          <w:b/>
          <w:bCs/>
          <w:color w:val="1B3A5C"/>
          <w:sz w:val="24"/>
          <w:szCs w:val="24"/>
        </w:rPr>
        <w:t xml:space="preserve">65.3% — Reglas léxicas</w:t>
      </w:r>
    </w:p>
    <w:p>
      <w:pPr>
        <w:spacing w:after="100" w:before="60"/>
      </w:pPr>
      <w:r>
        <w:rPr>
          <w:rFonts w:ascii="Arial" w:cs="Arial" w:eastAsia="Arial" w:hAnsi="Arial"/>
          <w:sz w:val="22"/>
          <w:szCs w:val="22"/>
        </w:rPr>
        <w:t xml:space="preserve">Un sistema de palabras clave como 'urgente', 'amenaza', 'menor' clasifica el 65% correctamente. El F1 de 44% muestra que genera muchos falsos positivos — detecta urgencia donde no la hay. Es el piso mínimo sin ningún aprendizaje estadístico.</w:t>
      </w:r>
    </w:p>
    <w:p>
      <w:pPr>
        <w:spacing w:after="80" w:before="200"/>
      </w:pPr>
      <w:r>
        <w:rPr>
          <w:rFonts w:ascii="Arial" w:cs="Arial" w:eastAsia="Arial" w:hAnsi="Arial"/>
          <w:b/>
          <w:bCs/>
          <w:color w:val="1B3A5C"/>
          <w:sz w:val="24"/>
          <w:szCs w:val="24"/>
        </w:rPr>
        <w:t xml:space="preserve">76.4% — Naive Bayes + TF-IDF</w:t>
      </w:r>
    </w:p>
    <w:p>
      <w:pPr>
        <w:spacing w:after="100" w:before="60"/>
      </w:pPr>
      <w:r>
        <w:rPr>
          <w:rFonts w:ascii="Arial" w:cs="Arial" w:eastAsia="Arial" w:hAnsi="Arial"/>
          <w:sz w:val="22"/>
          <w:szCs w:val="22"/>
        </w:rPr>
        <w:t xml:space="preserve">Agregar estadística básica mejora 11 puntos. Sigue siendo insuficiente para un sistema de derechos humanos: el 24% de error en urgencias representa cientos de casos mal clasificados por semana.</w:t>
      </w:r>
    </w:p>
    <w:p>
      <w:pPr>
        <w:spacing w:after="80" w:before="200"/>
      </w:pPr>
      <w:r>
        <w:rPr>
          <w:rFonts w:ascii="Arial" w:cs="Arial" w:eastAsia="Arial" w:hAnsi="Arial"/>
          <w:b/>
          <w:bCs/>
          <w:color w:val="1B3A5C"/>
          <w:sz w:val="24"/>
          <w:szCs w:val="24"/>
        </w:rPr>
        <w:t xml:space="preserve">82.7% — BETO on-premise (medido)</w:t>
      </w:r>
    </w:p>
    <w:p>
      <w:pPr>
        <w:spacing w:after="100" w:before="60"/>
      </w:pPr>
      <w:r>
        <w:rPr>
          <w:rFonts w:ascii="Arial" w:cs="Arial" w:eastAsia="Arial" w:hAnsi="Arial"/>
          <w:sz w:val="22"/>
          <w:szCs w:val="22"/>
        </w:rPr>
        <w:t xml:space="preserve">BETO es el modelo de lenguaje en español entrenado por la Universidad de Chile, referenciado explícitamente en el RFP. Corrió en la máquina local sin enviar un solo dato a servidores externos. La exactitud de 82.7% es el resultado real sin fine-tuning — con fine-tuning en el corpus jurídico real de URAB en Fase 2, la literatura proyecta 86–88%.</w:t>
      </w:r>
    </w:p>
    <w:p>
      <w:pPr>
        <w:spacing w:after="80" w:before="200"/>
      </w:pPr>
      <w:r>
        <w:rPr>
          <w:rFonts w:ascii="Arial" w:cs="Arial" w:eastAsia="Arial" w:hAnsi="Arial"/>
          <w:b/>
          <w:bCs/>
          <w:color w:val="1B3A5C"/>
          <w:sz w:val="24"/>
          <w:szCs w:val="24"/>
        </w:rPr>
        <w:t xml:space="preserve">90.0% — Anthropic Haiku 4.5 (piloto real)</w:t>
      </w:r>
    </w:p>
    <w:p>
      <w:pPr>
        <w:spacing w:after="100" w:before="60"/>
      </w:pPr>
      <w:r>
        <w:rPr>
          <w:rFonts w:ascii="Arial" w:cs="Arial" w:eastAsia="Arial" w:hAnsi="Arial"/>
          <w:sz w:val="22"/>
          <w:szCs w:val="22"/>
        </w:rPr>
        <w:t xml:space="preserve">El pipeline M2 alcanza 90% porque combina el LLM con reglas explícitas de priorización (HITL hard-coded) y XAI. No es solo clasificación — es razonamiento contextual sobre el caso. La diferencia de 7.3 puntos respecto a BETO refleja esa capa adicional de lógica jurídica, no solo el poder del modelo base.</w:t>
      </w:r>
    </w:p>
    <w:p>
      <w:pPr>
        <w:spacing w:after="0" w:before="120"/>
      </w:pPr>
    </w:p>
    <w:p>
      <w:pPr>
        <w:pStyle w:val="Heading2"/>
        <w:spacing w:after="120" w:before="280"/>
      </w:pPr>
      <w:r>
        <w:rPr>
          <w:rFonts w:ascii="Arial" w:cs="Arial" w:eastAsia="Arial" w:hAnsi="Arial"/>
          <w:b/>
          <w:bCs/>
          <w:color w:val="028090"/>
          <w:sz w:val="26"/>
          <w:szCs w:val="26"/>
        </w:rPr>
        <w:t xml:space="preserve">5.3 La decisión que toma la Defensoría, no el proveedor</w:t>
      </w:r>
    </w:p>
    <w:p>
      <w:pPr>
        <w:spacing w:after="100" w:before="60"/>
      </w:pPr>
      <w:r>
        <w:rPr>
          <w:rFonts w:ascii="Arial" w:cs="Arial" w:eastAsia="Arial" w:hAnsi="Arial"/>
          <w:sz w:val="22"/>
          <w:szCs w:val="22"/>
        </w:rPr>
        <w:t xml:space="preserve">La arquitectura del sistema está diseñada para que el cambio entre modelos sea una sola línea en el archivo de configuración. Esto no es retórica — es el diseño real del código:</w:t>
      </w:r>
    </w:p>
    <w:p>
      <w:pPr>
        <w:shd w:fill="F0F0F0" w:val="clear"/>
        <w:spacing w:after="80" w:before="80"/>
      </w:pPr>
      <w:r>
        <w:rPr>
          <w:rFonts w:ascii="Courier New" w:cs="Courier New" w:eastAsia="Courier New" w:hAnsi="Courier New"/>
          <w:color w:val="666666"/>
          <w:sz w:val="20"/>
          <w:szCs w:val="20"/>
        </w:rPr>
        <w:t xml:space="preserve"># Opción A: Anthropic Cloud (piloto — máxima exactitud)</w:t>
      </w:r>
      <w:r>
        <w:rPr>
          <w:rFonts w:ascii="Courier New" w:cs="Courier New" w:eastAsia="Courier New" w:hAnsi="Courier New"/>
          <w:color w:val="C0392B"/>
          <w:sz w:val="20"/>
          <w:szCs w:val="20"/>
        </w:rPr>
        <w:t xml:space="preserve">
MODEL_DEFAULT = "claude-haiku-4-5-20251001"</w:t>
      </w:r>
      <w:r>
        <w:rPr>
          <w:rFonts w:ascii="Courier New" w:cs="Courier New" w:eastAsia="Courier New" w:hAnsi="Courier New"/>
          <w:color w:val="666666"/>
          <w:sz w:val="20"/>
          <w:szCs w:val="20"/>
        </w:rPr>
        <w:t xml:space="preserve">
# Opción B: BETO on-premise (producción — soberanía total)</w:t>
      </w:r>
      <w:r>
        <w:rPr>
          <w:rFonts w:ascii="Courier New" w:cs="Courier New" w:eastAsia="Courier New" w:hAnsi="Courier New"/>
          <w:color w:val="1A7A4A"/>
          <w:sz w:val="20"/>
          <w:szCs w:val="20"/>
        </w:rPr>
        <w:t xml:space="preserve">
MODEL_DEFAULT = "dccuchile/bert-base-spanish-wwm-uncased"</w:t>
      </w:r>
    </w:p>
    <w:p>
      <w:pPr>
        <w:spacing w:after="100" w:before="60"/>
      </w:pPr>
      <w:r>
        <w:rPr>
          <w:rFonts w:ascii="Arial" w:cs="Arial" w:eastAsia="Arial" w:hAnsi="Arial"/>
          <w:sz w:val="22"/>
          <w:szCs w:val="22"/>
        </w:rPr>
        <w:t xml:space="preserve">Los ocho agentes, el orquestador y el verificador NIST/ISO funcionan igual con cualquiera de las dos opciones.</w:t>
      </w:r>
    </w:p>
    <w:p>
      <w:r>
        <w:br w:type="page"/>
      </w:r>
    </w:p>
    <w:p>
      <w:pPr>
        <w:pStyle w:val="Heading1"/>
        <w:spacing w:after="180" w:before="400"/>
      </w:pPr>
      <w:r>
        <w:rPr>
          <w:rFonts w:ascii="Arial" w:cs="Arial" w:eastAsia="Arial" w:hAnsi="Arial"/>
          <w:b/>
          <w:bCs/>
          <w:color w:val="1B3A5C"/>
          <w:sz w:val="32"/>
          <w:szCs w:val="32"/>
        </w:rPr>
        <w:t xml:space="preserve">6. Respuesta a las preocupaciones de la junta</w:t>
      </w:r>
    </w:p>
    <w:p>
      <w:pPr>
        <w:pStyle w:val="Heading2"/>
        <w:spacing w:after="120" w:before="280"/>
      </w:pPr>
      <w:r>
        <w:rPr>
          <w:rFonts w:ascii="Arial" w:cs="Arial" w:eastAsia="Arial" w:hAnsi="Arial"/>
          <w:b/>
          <w:bCs/>
          <w:color w:val="028090"/>
          <w:sz w:val="26"/>
          <w:szCs w:val="26"/>
        </w:rPr>
        <w:t xml:space="preserve">6.1 '¿Los datos de los ciudadanos van a servidores de una empresa extranjera que cobra?'</w:t>
      </w:r>
    </w:p>
    <w:p>
      <w:pPr>
        <w:pBdr>
          <w:left w:val="single" w:color="1B3A5C" w:sz="12" w:space="8"/>
        </w:pBdr>
        <w:spacing w:after="80" w:before="80"/>
      </w:pPr>
      <w:r>
        <w:rPr>
          <w:rFonts w:ascii="Arial" w:cs="Arial" w:eastAsia="Arial" w:hAnsi="Arial"/>
          <w:color w:val="1B3A5C"/>
          <w:sz w:val="22"/>
          <w:szCs w:val="22"/>
        </w:rPr>
        <w:t xml:space="preserve">Esta es la pregunta más importante que puede hacer la junta. La respuesta es clara: en producción, no necesariamente.</w:t>
      </w:r>
    </w:p>
    <w:p>
      <w:pPr>
        <w:spacing w:after="0" w:before="80"/>
      </w:pPr>
    </w:p>
    <w:p>
      <w:pPr>
        <w:spacing w:after="80" w:before="200"/>
      </w:pPr>
      <w:r>
        <w:rPr>
          <w:rFonts w:ascii="Arial" w:cs="Arial" w:eastAsia="Arial" w:hAnsi="Arial"/>
          <w:b/>
          <w:bCs/>
          <w:color w:val="1B3A5C"/>
          <w:sz w:val="24"/>
          <w:szCs w:val="24"/>
        </w:rPr>
        <w:t xml:space="preserve">El problema real</w:t>
      </w:r>
    </w:p>
    <w:p>
      <w:pPr>
        <w:spacing w:after="100" w:before="60"/>
      </w:pPr>
      <w:r>
        <w:rPr>
          <w:rFonts w:ascii="Arial" w:cs="Arial" w:eastAsia="Arial" w:hAnsi="Arial"/>
          <w:sz w:val="22"/>
          <w:szCs w:val="22"/>
        </w:rPr>
        <w:t xml:space="preserve">Las peticiones de la URAB contienen datos de las categorías más protegidas por la Ley 1581/2012: salud, condición de víctima, origen étnico, situación carcelaria, violencia sexual. Enviar estos textos a servidores en Estados Unidos para procesamiento por IA plantea tres riesgos concretos:</w:t>
      </w:r>
    </w:p>
    <w:p>
      <w:pPr>
        <w:pStyle w:val="ListParagraph"/>
        <w:numPr>
          <w:ilvl w:val="0"/>
          <w:numId w:val="2"/>
        </w:numPr>
        <w:spacing w:after="40" w:before="40"/>
      </w:pPr>
      <w:r>
        <w:rPr>
          <w:rFonts w:ascii="Arial" w:cs="Arial" w:eastAsia="Arial" w:hAnsi="Arial"/>
          <w:sz w:val="22"/>
          <w:szCs w:val="22"/>
        </w:rPr>
        <w:t xml:space="preserve">Riesgo jurídico: las transferencias internacionales de datos sensibles requieren declaración de adecuación o garantías contractuales específicas bajo el Art. 26 de la Ley 1581/2012. Sin estos mecanismos la Defensoría asume responsabilidad.</w:t>
      </w:r>
    </w:p>
    <w:p>
      <w:pPr>
        <w:pStyle w:val="ListParagraph"/>
        <w:numPr>
          <w:ilvl w:val="0"/>
          <w:numId w:val="2"/>
        </w:numPr>
        <w:spacing w:after="40" w:before="40"/>
      </w:pPr>
      <w:r>
        <w:rPr>
          <w:rFonts w:ascii="Arial" w:cs="Arial" w:eastAsia="Arial" w:hAnsi="Arial"/>
          <w:sz w:val="22"/>
          <w:szCs w:val="22"/>
        </w:rPr>
        <w:t xml:space="preserve">Riesgo de confidencialidad: aunque Anthropic tiene políticas de no retención, el texto transita por redes y servidores fuera de jurisdicción colombiana.</w:t>
      </w:r>
    </w:p>
    <w:p>
      <w:pPr>
        <w:pStyle w:val="ListParagraph"/>
        <w:numPr>
          <w:ilvl w:val="0"/>
          <w:numId w:val="2"/>
        </w:numPr>
        <w:spacing w:after="40" w:before="40"/>
      </w:pPr>
      <w:r>
        <w:rPr>
          <w:rFonts w:ascii="Arial" w:cs="Arial" w:eastAsia="Arial" w:hAnsi="Arial"/>
          <w:sz w:val="22"/>
          <w:szCs w:val="22"/>
        </w:rPr>
        <w:t xml:space="preserve">Riesgo de dependencia: si Anthropic cambia precios, condiciones o cierra el servicio, el sistema queda paralizado.</w:t>
      </w:r>
    </w:p>
    <w:p>
      <w:pPr>
        <w:spacing w:after="0" w:before="80"/>
      </w:pPr>
    </w:p>
    <w:p>
      <w:pPr>
        <w:spacing w:after="80" w:before="200"/>
      </w:pPr>
      <w:r>
        <w:rPr>
          <w:rFonts w:ascii="Arial" w:cs="Arial" w:eastAsia="Arial" w:hAnsi="Arial"/>
          <w:b/>
          <w:bCs/>
          <w:color w:val="1B3A5C"/>
          <w:sz w:val="24"/>
          <w:szCs w:val="24"/>
        </w:rPr>
        <w:t xml:space="preserve">Las tres rutas sin datos al exterior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Opción</w:t>
            </w:r>
          </w:p>
        </w:tc>
        <w:tc>
          <w:tcPr>
            <w:tcW w:type="dxa" w:w="3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implica técnicamente</w:t>
            </w:r>
          </w:p>
        </w:tc>
        <w:tc>
          <w:tcPr>
            <w:tcW w:type="dxa" w:w="3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Cuándo usarla</w:t>
            </w:r>
          </w:p>
        </w:tc>
      </w:tr>
      <w:tr>
        <w:tc>
          <w:tcPr>
            <w:tcW w:type="dxa" w:w="2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1. On-premise con BETO</w:t>
            </w:r>
          </w:p>
        </w:tc>
        <w:tc>
          <w:tcPr>
            <w:tcW w:type="dxa" w:w="3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BETO corre en los servidores propios de la Defensoría o del MinTIC. Los textos nunca salen de Colombia. Exactitud medida: 82.7% sin fine-tuning.</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Recomendada para producción. Con fine-tuning en corpus real URAB se proyecta 86–88%.</w:t>
            </w:r>
          </w:p>
        </w:tc>
      </w:tr>
      <w:tr>
        <w:tc>
          <w:tcPr>
            <w:tcW w:type="dxa" w:w="2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2. GovCloud MinTIC</w:t>
            </w:r>
          </w:p>
        </w:tc>
        <w:tc>
          <w:tcPr>
            <w:tcW w:type="dxa" w:w="3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Infraestructura de nube soberana colombiana en construcción bajo CONPES 4144/2025. Servidores en territorio nacional, jurisdicción colombiana.</w:t>
            </w:r>
          </w:p>
        </w:tc>
        <w:tc>
          <w:tcPr>
            <w:tcW w:type="dxa" w:w="3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Disponible en hoja de ruta 2026–2027 del CONPES. Ideal para escala nacional.</w:t>
            </w:r>
          </w:p>
        </w:tc>
      </w:tr>
      <w:tr>
        <w:tc>
          <w:tcPr>
            <w:tcW w:type="dxa" w:w="2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 Anthropic Enterprise cero retención</w:t>
            </w:r>
          </w:p>
        </w:tc>
        <w:tc>
          <w:tcPr>
            <w:tcW w:type="dxa" w:w="3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Contrato enterprise: los textos se procesan y se borran en milisegundos, nunca se almacenan ni se usan para entrenar. Mismo modelo que usan bancos y entidades de salud en Colombia.</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Cuando se quiera mantener la exactitud del 90% con garantías contractuales formales. Más rápido de implementar.</w:t>
            </w:r>
          </w:p>
        </w:tc>
      </w:tr>
    </w:tbl>
    <w:p>
      <w:pPr>
        <w:spacing w:after="0" w:before="120"/>
      </w:pPr>
    </w:p>
    <w:p>
      <w:pPr>
        <w:pStyle w:val="Heading2"/>
        <w:spacing w:after="120" w:before="280"/>
      </w:pPr>
      <w:r>
        <w:rPr>
          <w:rFonts w:ascii="Arial" w:cs="Arial" w:eastAsia="Arial" w:hAnsi="Arial"/>
          <w:b/>
          <w:bCs/>
          <w:color w:val="028090"/>
          <w:sz w:val="26"/>
          <w:szCs w:val="26"/>
        </w:rPr>
        <w:t xml:space="preserve">6.2 '¿Qué pasa si Anthropic sube los precios o cierra el servicio?'</w:t>
      </w:r>
    </w:p>
    <w:p>
      <w:pPr>
        <w:spacing w:after="100" w:before="60"/>
      </w:pPr>
      <w:r>
        <w:rPr>
          <w:rFonts w:ascii="Arial" w:cs="Arial" w:eastAsia="Arial" w:hAnsi="Arial"/>
          <w:sz w:val="22"/>
          <w:szCs w:val="22"/>
        </w:rPr>
        <w:t xml:space="preserve">La dependencia de un proveedor único es un riesgo real en cualquier sistema tecnológico. El proyecto lo mitiga con tres mecanismos:</w:t>
      </w:r>
    </w:p>
    <w:p>
      <w:pPr>
        <w:pStyle w:val="ListParagraph"/>
        <w:numPr>
          <w:ilvl w:val="0"/>
          <w:numId w:val="2"/>
        </w:numPr>
        <w:spacing w:after="40" w:before="40"/>
      </w:pPr>
      <w:r>
        <w:rPr>
          <w:rFonts w:ascii="Arial" w:cs="Arial" w:eastAsia="Arial" w:hAnsi="Arial"/>
          <w:sz w:val="22"/>
          <w:szCs w:val="22"/>
        </w:rPr>
        <w:t xml:space="preserve">Neutralidad de proveedor por diseño: el §7.1 del RFP exige neutralidad tecnológica. El sistema la cumple — cambiar de Anthropic a BETO es una línea de código, no un rediseño.</w:t>
      </w:r>
    </w:p>
    <w:p>
      <w:pPr>
        <w:pStyle w:val="ListParagraph"/>
        <w:numPr>
          <w:ilvl w:val="0"/>
          <w:numId w:val="2"/>
        </w:numPr>
        <w:spacing w:after="40" w:before="40"/>
      </w:pPr>
      <w:r>
        <w:rPr>
          <w:rFonts w:ascii="Arial" w:cs="Arial" w:eastAsia="Arial" w:hAnsi="Arial"/>
          <w:sz w:val="22"/>
          <w:szCs w:val="22"/>
        </w:rPr>
        <w:t xml:space="preserve">Modelo de código abierto como respaldo: BETO está disponible gratuitamente en HuggingFace con licencia comercial libre. Ya está descargado y funcionando en la máquina de la Defensoría desde el piloto del 21 de mayo de 2026.</w:t>
      </w:r>
    </w:p>
    <w:p>
      <w:pPr>
        <w:pStyle w:val="ListParagraph"/>
        <w:numPr>
          <w:ilvl w:val="0"/>
          <w:numId w:val="2"/>
        </w:numPr>
        <w:spacing w:after="40" w:before="40"/>
      </w:pPr>
      <w:r>
        <w:rPr>
          <w:rFonts w:ascii="Arial" w:cs="Arial" w:eastAsia="Arial" w:hAnsi="Arial"/>
          <w:sz w:val="22"/>
          <w:szCs w:val="22"/>
        </w:rPr>
        <w:t xml:space="preserve">Costo verificado: el piloto completo de 10 peticiones costó $0.064 USD con Anthropic. A escala de 20,417 peticiones/año el costo sería ~$122 USD/año — menos que una suscripción de streaming. Un corte de servicio de Anthropic es un riesgo gestionable, no una amenaza existencial.</w:t>
      </w:r>
    </w:p>
    <w:p>
      <w:pPr>
        <w:spacing w:after="0" w:before="80"/>
      </w:pPr>
    </w:p>
    <w:p>
      <w:pPr>
        <w:pStyle w:val="Heading2"/>
        <w:spacing w:after="120" w:before="280"/>
      </w:pPr>
      <w:r>
        <w:rPr>
          <w:rFonts w:ascii="Arial" w:cs="Arial" w:eastAsia="Arial" w:hAnsi="Arial"/>
          <w:b/>
          <w:bCs/>
          <w:color w:val="028090"/>
          <w:sz w:val="26"/>
          <w:szCs w:val="26"/>
        </w:rPr>
        <w:t xml:space="preserve">6.3 '¿Y si mal usan los datos — quién responde?'</w:t>
      </w:r>
    </w:p>
    <w:p>
      <w:pPr>
        <w:spacing w:after="100" w:before="60"/>
      </w:pPr>
      <w:r>
        <w:rPr>
          <w:rFonts w:ascii="Arial" w:cs="Arial" w:eastAsia="Arial" w:hAnsi="Arial"/>
          <w:sz w:val="22"/>
          <w:szCs w:val="22"/>
        </w:rPr>
        <w:t xml:space="preserve">El sistema tiene cuatro capas de protección contra el mal uso de datos:</w:t>
      </w:r>
    </w:p>
    <w:p>
      <w:pPr>
        <w:pStyle w:val="ListParagraph"/>
        <w:numPr>
          <w:ilvl w:val="0"/>
          <w:numId w:val="2"/>
        </w:numPr>
        <w:spacing w:after="40" w:before="40"/>
      </w:pPr>
      <w:r>
        <w:rPr>
          <w:rFonts w:ascii="Arial" w:cs="Arial" w:eastAsia="Arial" w:hAnsi="Arial"/>
          <w:sz w:val="22"/>
          <w:szCs w:val="22"/>
        </w:rPr>
        <w:t xml:space="preserve">Privacidad diferencial en M8: los tableros analíticos usan solo datos agregados. Nunca se muestran peticiones individuales en reportes. Un funcionario no autorizado que acceda al dashboard ve estadísticas, no casos.</w:t>
      </w:r>
    </w:p>
    <w:p>
      <w:pPr>
        <w:pStyle w:val="ListParagraph"/>
        <w:numPr>
          <w:ilvl w:val="0"/>
          <w:numId w:val="2"/>
        </w:numPr>
        <w:spacing w:after="40" w:before="40"/>
      </w:pPr>
      <w:r>
        <w:rPr>
          <w:rFonts w:ascii="Arial" w:cs="Arial" w:eastAsia="Arial" w:hAnsi="Arial"/>
          <w:sz w:val="22"/>
          <w:szCs w:val="22"/>
        </w:rPr>
        <w:t xml:space="preserve">Control de acceso por roles: el código implementa cuatro roles — URAB, profesional de trámite, auditoría, administración. Cada rol accede solo a lo que necesita. Los datos sensibles (salud, etnia, orientación sexual) tienen cifrado adicional en reposo.</w:t>
      </w:r>
    </w:p>
    <w:p>
      <w:pPr>
        <w:pStyle w:val="ListParagraph"/>
        <w:numPr>
          <w:ilvl w:val="0"/>
          <w:numId w:val="2"/>
        </w:numPr>
        <w:spacing w:after="40" w:before="40"/>
      </w:pPr>
      <w:r>
        <w:rPr>
          <w:rFonts w:ascii="Arial" w:cs="Arial" w:eastAsia="Arial" w:hAnsi="Arial"/>
          <w:sz w:val="22"/>
          <w:szCs w:val="22"/>
        </w:rPr>
        <w:t xml:space="preserve">Bitácora inmutable: toda acción automatizada queda en archivos JSONL append-only — no se pueden modificar, solo agregar. Esto crea trazabilidad forense de quién hizo qué y cuándo (Art. 29 CP + Directiva 007/2025).</w:t>
      </w:r>
    </w:p>
    <w:p>
      <w:pPr>
        <w:pStyle w:val="ListParagraph"/>
        <w:numPr>
          <w:ilvl w:val="0"/>
          <w:numId w:val="2"/>
        </w:numPr>
        <w:spacing w:after="40" w:before="40"/>
      </w:pPr>
      <w:r>
        <w:rPr>
          <w:rFonts w:ascii="Arial" w:cs="Arial" w:eastAsia="Arial" w:hAnsi="Arial"/>
          <w:sz w:val="22"/>
          <w:szCs w:val="22"/>
        </w:rPr>
        <w:t xml:space="preserve">DPO designado: la Ley 1581/2012 exige un Responsable de Protección de Datos. El sistema genera automáticamente los reportes que el DPO necesita para el control de cumplimiento.</w:t>
      </w:r>
    </w:p>
    <w:p>
      <w:pPr>
        <w:pBdr>
          <w:left w:val="single" w:color="1B3A5C" w:sz="8" w:space="8"/>
        </w:pBdr>
        <w:shd w:fill="F0F4F8" w:val="clear"/>
        <w:spacing w:after="80" w:before="80"/>
      </w:pPr>
      <w:r>
        <w:rPr>
          <w:rFonts w:ascii="Arial" w:cs="Arial" w:eastAsia="Arial" w:hAnsi="Arial"/>
          <w:color w:val="1B3A5C"/>
          <w:sz w:val="22"/>
          <w:szCs w:val="22"/>
        </w:rPr>
        <w:t xml:space="preserve">"Si la IA clasifica mal un caso de amenaza de muerte, siempre decide el profesional — la máquina solo alerta. Si hay una fuga de datos, la bitácora inmutable identifica exactamente qué pasó, cuándo y quién tenía acceso. El sistema no elimina la responsabilidad institucional — la hace trazable."</w:t>
      </w:r>
    </w:p>
    <w:p>
      <w:r>
        <w:br w:type="page"/>
      </w:r>
    </w:p>
    <w:p>
      <w:pPr>
        <w:pStyle w:val="Heading1"/>
        <w:spacing w:after="180" w:before="400"/>
      </w:pPr>
      <w:r>
        <w:rPr>
          <w:rFonts w:ascii="Arial" w:cs="Arial" w:eastAsia="Arial" w:hAnsi="Arial"/>
          <w:b/>
          <w:bCs/>
          <w:color w:val="1B3A5C"/>
          <w:sz w:val="32"/>
          <w:szCs w:val="32"/>
        </w:rPr>
        <w:t xml:space="preserve">7. Escalabilidad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Dimensión</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Piloto Fase 2</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Escala regional</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Escala nacional</w:t>
            </w:r>
          </w:p>
        </w:tc>
      </w:tr>
      <w:tr>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Volumen</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20,417 radicados/90 días</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~100,000 radicados/año</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~500,000 radicados/año</w:t>
            </w:r>
          </w:p>
        </w:tc>
      </w:tr>
      <w:tr>
        <w:tc>
          <w:tcPr>
            <w:tcW w:type="dxa" w:w="2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Profesionales</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17 (URAB Bogotá)</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Hasta 80 (regionales)</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Hasta 300 (país)</w:t>
            </w:r>
          </w:p>
        </w:tc>
      </w:tr>
      <w:tr>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Modelo IA</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Anthropic Cloud (piloto)</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BETO + fine-tuning regional</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On-premise o GovCloud MinTIC</w:t>
            </w:r>
          </w:p>
        </w:tc>
      </w:tr>
      <w:tr>
        <w:tc>
          <w:tcPr>
            <w:tcW w:type="dxa" w:w="2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Costo por petición</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~$0.006 USD</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$0 (BETO on-premise)</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$0 (BETO on-premise)</w:t>
            </w:r>
          </w:p>
        </w:tc>
      </w:tr>
      <w:tr>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Base datos M4</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TF-IDF en memoria</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TF-IDF + índice persistente</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pgvector + PostgreSQL</w:t>
            </w:r>
          </w:p>
        </w:tc>
      </w:tr>
    </w:tbl>
    <w:p>
      <w:pPr>
        <w:spacing w:after="100" w:before="60"/>
      </w:pPr>
      <w:r>
        <w:rPr>
          <w:rFonts w:ascii="Arial" w:cs="Arial" w:eastAsia="Arial" w:hAnsi="Arial"/>
          <w:sz w:val="22"/>
          <w:szCs w:val="22"/>
        </w:rPr>
        <w:t xml:space="preserve">El cambio de modelo de Anthropic a BETO on-premise no solo resuelve la soberanía de datos — también elimina el costo por petición en escala regional y nacional.</w:t>
      </w:r>
    </w:p>
    <w:p>
      <w:r>
        <w:br w:type="page"/>
      </w:r>
    </w:p>
    <w:p>
      <w:pPr>
        <w:pStyle w:val="Heading1"/>
        <w:spacing w:after="180" w:before="400"/>
      </w:pPr>
      <w:r>
        <w:rPr>
          <w:rFonts w:ascii="Arial" w:cs="Arial" w:eastAsia="Arial" w:hAnsi="Arial"/>
          <w:b/>
          <w:bCs/>
          <w:color w:val="1B3A5C"/>
          <w:sz w:val="32"/>
          <w:szCs w:val="32"/>
        </w:rPr>
        <w:t xml:space="preserve">8. Plan de financiamiento</w:t>
      </w:r>
    </w:p>
    <w:p>
      <w:pPr>
        <w:pStyle w:val="Heading2"/>
        <w:spacing w:after="120" w:before="280"/>
      </w:pPr>
      <w:r>
        <w:rPr>
          <w:rFonts w:ascii="Arial" w:cs="Arial" w:eastAsia="Arial" w:hAnsi="Arial"/>
          <w:b/>
          <w:bCs/>
          <w:color w:val="028090"/>
          <w:sz w:val="26"/>
          <w:szCs w:val="26"/>
        </w:rPr>
        <w:t xml:space="preserve">8.1 Estructura de costos a 3 años (§7.2 RFP)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Categoría</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Año 1</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Año 2</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Año 3</w:t>
            </w:r>
          </w:p>
        </w:tc>
      </w:tr>
      <w:tr>
        <w:tc>
          <w:tcPr>
            <w:tcW w:type="dxa" w:w="3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Implementación (una sola vez)</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$180–220M COP</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t>
            </w:r>
          </w:p>
        </w:tc>
      </w:tr>
      <w:tr>
        <w:tc>
          <w:tcPr>
            <w:tcW w:type="dxa" w:w="3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2. Licencias / API (Año 1) → on-premise (Año 2+)</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$48M COP</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$0</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$0</w:t>
            </w:r>
          </w:p>
        </w:tc>
      </w:tr>
      <w:tr>
        <w:tc>
          <w:tcPr>
            <w:tcW w:type="dxa" w:w="3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 Operación y soporte técnico</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$96M COP</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$80M COP</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$64M COP</w:t>
            </w:r>
          </w:p>
        </w:tc>
      </w:tr>
      <w:tr>
        <w:tc>
          <w:tcPr>
            <w:tcW w:type="dxa" w:w="3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4. Infraestructura (nube + almacenamiento)</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$24M COP</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$28M COP</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$32M COP</w:t>
            </w:r>
          </w:p>
        </w:tc>
      </w:tr>
      <w:tr>
        <w:tc>
          <w:tcPr>
            <w:tcW w:type="dxa" w:w="3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 Capacitación y gestión del cambio (≥20 profesionales)</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$60M COP</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$24M COP</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$12M COP</w:t>
            </w:r>
          </w:p>
        </w:tc>
      </w:tr>
      <w:tr>
        <w:tc>
          <w:tcPr>
            <w:tcW w:type="dxa" w:w="3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6. Evolución (auditorías, mejoras, retraining BETO)</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$36M COP</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$48M COP</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$60M COP</w:t>
            </w:r>
          </w:p>
        </w:tc>
      </w:tr>
      <w:tr>
        <w:tc>
          <w:tcPr>
            <w:tcW w:type="dxa" w:w="3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TOTAL</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$444–484M COP</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$180M COP</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028090"/>
                <w:sz w:val="20"/>
                <w:szCs w:val="20"/>
              </w:rPr>
              <w:t xml:space="preserve">$168M COP</w:t>
            </w:r>
          </w:p>
        </w:tc>
      </w:tr>
    </w:tbl>
    <w:p>
      <w:pPr>
        <w:spacing w:after="0" w:before="80"/>
      </w:pPr>
    </w:p>
    <w:p>
      <w:pPr>
        <w:spacing w:after="100" w:before="60"/>
      </w:pPr>
      <w:r>
        <w:rPr>
          <w:rFonts w:ascii="Arial" w:cs="Arial" w:eastAsia="Arial" w:hAnsi="Arial"/>
          <w:sz w:val="22"/>
          <w:szCs w:val="22"/>
        </w:rPr>
        <w:t xml:space="preserve">Nota: desde el Año 2, al migrar a BETO on-premise, el costo de licencias de API cae a $0. El costo de evolución incluye el fine-tuning semestral de BETO con el corpus acumulado de URAB.</w:t>
      </w:r>
    </w:p>
    <w:p>
      <w:pPr>
        <w:spacing w:after="0" w:before="120"/>
      </w:pPr>
    </w:p>
    <w:p>
      <w:pPr>
        <w:pStyle w:val="Heading2"/>
        <w:spacing w:after="120" w:before="280"/>
      </w:pPr>
      <w:r>
        <w:rPr>
          <w:rFonts w:ascii="Arial" w:cs="Arial" w:eastAsia="Arial" w:hAnsi="Arial"/>
          <w:b/>
          <w:bCs/>
          <w:color w:val="028090"/>
          <w:sz w:val="26"/>
          <w:szCs w:val="26"/>
        </w:rPr>
        <w:t xml:space="preserve">8.2 ROI — el argumento que cierra el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Fuente de ahorro</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Estimado anual</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Verificable desde</w:t>
            </w:r>
          </w:p>
        </w:tc>
      </w:tr>
      <w:tr>
        <w:tc>
          <w:tcPr>
            <w:tcW w:type="dxa" w:w="4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Eliminación doble registro (M7): 13,320 h/año × $150K COP/h</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~$2,000M COP/año</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Fase 3 — Día 1</w:t>
            </w:r>
          </w:p>
        </w:tc>
      </w:tr>
      <w:tr>
        <w:tc>
          <w:tcPr>
            <w:tcW w:type="dxa" w:w="4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Urgentes atendidos a tiempo: +7,600 casos/año</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Evita responsabilidad patrimonial</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Fase 3 — Mes 3</w:t>
            </w:r>
          </w:p>
        </w:tc>
      </w:tr>
      <w:tr>
        <w:tc>
          <w:tcPr>
            <w:tcW w:type="dxa" w:w="4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Borradores M6 aprobados sin edición: 60% de ~50,000/año</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~6,000 horas profesionales/año</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Fase 3 — Mes 6</w:t>
            </w:r>
          </w:p>
        </w:tc>
      </w:tr>
      <w:tr>
        <w:tc>
          <w:tcPr>
            <w:tcW w:type="dxa" w:w="4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TOTAL ROI AÑO 1</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~$2,200M COP</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w:t>
            </w:r>
          </w:p>
        </w:tc>
      </w:tr>
      <w:tr>
        <w:tc>
          <w:tcPr>
            <w:tcW w:type="dxa" w:w="42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C0392B"/>
                <w:sz w:val="20"/>
                <w:szCs w:val="20"/>
              </w:rPr>
              <w:t xml:space="preserve">Inversión Año 1</w:t>
            </w:r>
          </w:p>
        </w:tc>
        <w:tc>
          <w:tcPr>
            <w:tcW w:type="dxa" w:w="2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C0392B"/>
                <w:sz w:val="20"/>
                <w:szCs w:val="20"/>
              </w:rPr>
              <w:t xml:space="preserve">~$444–484M COP</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t>
            </w:r>
          </w:p>
        </w:tc>
      </w:tr>
      <w:tr>
        <w:tc>
          <w:tcPr>
            <w:tcW w:type="dxa" w:w="42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ROI</w:t>
            </w:r>
          </w:p>
        </w:tc>
        <w:tc>
          <w:tcPr>
            <w:tcW w:type="dxa" w:w="2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~4.5x en Año 1</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w:t>
            </w:r>
          </w:p>
        </w:tc>
      </w:tr>
    </w:tbl>
    <w:p>
      <w:pPr>
        <w:spacing w:after="0" w:before="120"/>
      </w:pPr>
    </w:p>
    <w:p>
      <w:pPr>
        <w:pStyle w:val="Heading2"/>
        <w:spacing w:after="120" w:before="280"/>
      </w:pPr>
      <w:r>
        <w:rPr>
          <w:rFonts w:ascii="Arial" w:cs="Arial" w:eastAsia="Arial" w:hAnsi="Arial"/>
          <w:b/>
          <w:bCs/>
          <w:color w:val="028090"/>
          <w:sz w:val="26"/>
          <w:szCs w:val="26"/>
        </w:rPr>
        <w:t xml:space="preserve">8.3 Fuentes de financiamiento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Fuente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Mecanismo</w:t>
            </w:r>
          </w:p>
        </w:tc>
        <w:tc>
          <w:tcPr>
            <w:tcW w:type="dxa" w:w="3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Pertinencia</w:t>
            </w:r>
          </w:p>
        </w:tc>
      </w:tr>
      <w:tr>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CONPES 4144/2025 — DNP</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Inversión de 479.000M COP para IA en sector público. Convocatorias Eje 6.</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Proyecto mapeado al Eje 6. Elegible como piloto de referencia para sector justicia y DDHH.</w:t>
            </w:r>
          </w:p>
        </w:tc>
      </w:tr>
      <w:tr>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MinTIC — Colombia Digital</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Fondo TIC para transformación digital en entidades públicas.</w:t>
            </w:r>
          </w:p>
        </w:tc>
        <w:tc>
          <w:tcPr>
            <w:tcW w:type="dxa" w:w="3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Interoperabilidad M7 y analítica M8 califican como infraestructura digital pública.</w:t>
            </w:r>
          </w:p>
        </w:tc>
      </w:tr>
      <w:tr>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GIZ / BID / USAID</w:t>
            </w:r>
          </w:p>
        </w:tc>
        <w:tc>
          <w:tcPr>
            <w:tcW w:type="dxa" w:w="3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Cooperación internacional para acceso a justicia en Colombia.</w:t>
            </w:r>
          </w:p>
        </w:tc>
        <w:tc>
          <w:tcPr>
            <w:tcW w:type="dxa" w:w="37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Enfoque DDHH, VBG y poblaciones vulnerables es el nicho exacto de estas agencias.</w:t>
            </w:r>
          </w:p>
        </w:tc>
      </w:tr>
      <w:tr>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Presupuesto Defensoría (DTI)</w:t>
            </w:r>
          </w:p>
        </w:tc>
        <w:tc>
          <w:tcPr>
            <w:tcW w:type="dxa" w:w="3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Apropiación ordinaria — modernización tecnológica.</w:t>
            </w:r>
          </w:p>
        </w:tc>
        <w:tc>
          <w:tcPr>
            <w:tcW w:type="dxa" w:w="37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ROI de 4.5x y 13,320 horas liberadas justifican la inversión con cifras verificables.</w:t>
            </w:r>
          </w:p>
        </w:tc>
      </w:tr>
    </w:tbl>
    <w:p>
      <w:r>
        <w:br w:type="page"/>
      </w:r>
    </w:p>
    <w:p>
      <w:pPr>
        <w:pStyle w:val="Heading1"/>
        <w:spacing w:after="180" w:before="400"/>
      </w:pPr>
      <w:r>
        <w:rPr>
          <w:rFonts w:ascii="Arial" w:cs="Arial" w:eastAsia="Arial" w:hAnsi="Arial"/>
          <w:b/>
          <w:bCs/>
          <w:color w:val="1B3A5C"/>
          <w:sz w:val="32"/>
          <w:szCs w:val="32"/>
        </w:rPr>
        <w:t xml:space="preserve">9. Inclusión de grupos diversos — Enfoque diferencial (§5.2 RFP)</w:t>
      </w:r>
    </w:p>
    <w:p>
      <w:pPr>
        <w:pBdr>
          <w:left w:val="single" w:color="6C3483" w:sz="12" w:space="8"/>
        </w:pBdr>
        <w:spacing w:after="80" w:before="80"/>
      </w:pPr>
      <w:r>
        <w:rPr>
          <w:rFonts w:ascii="Arial" w:cs="Arial" w:eastAsia="Arial" w:hAnsi="Arial"/>
          <w:color w:val="6C3483"/>
          <w:sz w:val="22"/>
          <w:szCs w:val="22"/>
        </w:rPr>
        <w:t xml:space="preserve">Principio rector: el sistema IA no puede amplificar exclusiones históricas. Cada grupo tiene al menos una medida técnica hard-coded que no depende de la confianza del modelo.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Grupo</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Riesgo del sistema IA</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Medida técnica implementada</w:t>
            </w:r>
          </w:p>
        </w:tc>
        <w:tc>
          <w:tcPr>
            <w:tcW w:type="dxa" w:w="26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Medida institucional</w:t>
            </w:r>
          </w:p>
        </w:tc>
      </w:tr>
      <w:tr>
        <w:tc>
          <w:tcPr>
            <w:tcW w:type="dxa" w:w="19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VBG</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Sub-detección por lenguaje eufemístico.</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Alerta forzada hard-coded M6 con 15+ palabras clave. Prioridad ALTO automática.</w:t>
            </w:r>
          </w:p>
        </w:tc>
        <w:tc>
          <w:tcPr>
            <w:tcW w:type="dxa" w:w="26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Profesionales VBG especializados con carga garantizada por M3.</w:t>
            </w:r>
          </w:p>
        </w:tc>
      </w:tr>
      <w:tr>
        <w:tc>
          <w:tcPr>
            <w:tcW w:type="dxa" w:w="19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NNA</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Sub-detección cuando el adulto no nombra al menor como sujeto.</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Hard-coded M2: mención de menor activa CRÍTICO independiente del clasificador.</w:t>
            </w:r>
          </w:p>
        </w:tc>
        <w:tc>
          <w:tcPr>
            <w:tcW w:type="dxa" w:w="26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Coordinación automática con profesional de infancia. HITL siempre.</w:t>
            </w:r>
          </w:p>
        </w:tc>
      </w:tr>
      <w:tr>
        <w:tc>
          <w:tcPr>
            <w:tcW w:type="dxa" w:w="19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Discapacidad</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Barreras en canales digitales; lenguaje técnico dificulta el NER.</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HITL activado para toda discapacidad. Completitud M1 penalizada si faltan datos.</w:t>
            </w:r>
          </w:p>
        </w:tc>
        <w:tc>
          <w:tcPr>
            <w:tcW w:type="dxa" w:w="26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Canal telefónico accesible. Intérprete LSC para personas sordas.</w:t>
            </w:r>
          </w:p>
        </w:tc>
      </w:tr>
      <w:tr>
        <w:tc>
          <w:tcPr>
            <w:tcW w:type="dxa" w:w="19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Comunidades étnicas</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Dialectos e indígenas con menor confianza en español estándar.</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Umbral HITL reducido al 60% para peticiones con marcadores étnicos.</w:t>
            </w:r>
          </w:p>
        </w:tc>
        <w:tc>
          <w:tcPr>
            <w:tcW w:type="dxa" w:w="26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Fine-tuning BETO con corpus regional en Fase 2. Auditoría recall por región.</w:t>
            </w:r>
          </w:p>
        </w:tc>
      </w:tr>
      <w:tr>
        <w:tc>
          <w:tcPr>
            <w:tcW w:type="dxa" w:w="19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Víctimas conflicto</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Riesgo de clasificar desplazamiento o amenaza como 'Asesoría'.</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Vocabulario de conflicto en alertas forzadas M6. Urgente con HITL automático.</w:t>
            </w:r>
          </w:p>
        </w:tc>
        <w:tc>
          <w:tcPr>
            <w:tcW w:type="dxa" w:w="26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Coordinación con UARIV y JEP cuando M5 detecta historial de víctimas.</w:t>
            </w:r>
          </w:p>
        </w:tc>
      </w:tr>
      <w:tr>
        <w:tc>
          <w:tcPr>
            <w:tcW w:type="dxa" w:w="19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Adultos mayores</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Peticiones largas, alta frecuencia de reenvíos del mismo caso.</w:t>
            </w:r>
          </w:p>
        </w:tc>
        <w:tc>
          <w:tcPr>
            <w:tcW w:type="dxa" w:w="2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M4 prioriza comparación del mismo ciudadano. M5 alerta recurrencia.</w:t>
            </w:r>
          </w:p>
        </w:tc>
        <w:tc>
          <w:tcPr>
            <w:tcW w:type="dxa" w:w="26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M3 asigna al profesional que ya conoce el caso. Lectura fácil en M6.</w:t>
            </w:r>
          </w:p>
        </w:tc>
      </w:tr>
      <w:tr>
        <w:tc>
          <w:tcPr>
            <w:tcW w:type="dxa" w:w="19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Migrantes</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 cédula colombiana; barreras de idioma; desconfianza institucional.</w:t>
            </w:r>
          </w:p>
        </w:tc>
        <w:tc>
          <w:tcPr>
            <w:tcW w:type="dxa" w:w="2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M1 acepta pasaporte y PPT. NER adaptado para nombres en otros idiomas.</w:t>
            </w:r>
          </w:p>
        </w:tc>
        <w:tc>
          <w:tcPr>
            <w:tcW w:type="dxa" w:w="26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Especialista migración garantizado por M3. Plantillas en español neutro.</w:t>
            </w:r>
          </w:p>
        </w:tc>
      </w:tr>
    </w:tbl>
    <w:p>
      <w:r>
        <w:br w:type="page"/>
      </w:r>
    </w:p>
    <w:p>
      <w:pPr>
        <w:pStyle w:val="Heading1"/>
        <w:spacing w:after="180" w:before="400"/>
      </w:pPr>
      <w:r>
        <w:rPr>
          <w:rFonts w:ascii="Arial" w:cs="Arial" w:eastAsia="Arial" w:hAnsi="Arial"/>
          <w:b/>
          <w:bCs/>
          <w:color w:val="1B3A5C"/>
          <w:sz w:val="32"/>
          <w:szCs w:val="32"/>
        </w:rPr>
        <w:t xml:space="preserve">10. Gobernanza y cumplimiento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Norma</w:t>
            </w:r>
          </w:p>
        </w:tc>
        <w:tc>
          <w:tcPr>
            <w:tcW w:type="dxa" w:w="6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Obligación concreta implementada</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CONPES 4144/2025</w:t>
            </w:r>
          </w:p>
        </w:tc>
        <w:tc>
          <w:tcPr>
            <w:tcW w:type="dxa" w:w="6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Sistema mapeado al Eje 6. Elegible para financiamiento del Fondo IA.</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Directiva 007/2025</w:t>
            </w:r>
          </w:p>
        </w:tc>
        <w:tc>
          <w:tcPr>
            <w:tcW w:type="dxa" w:w="6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M2 y M4 como SDA. XAI obligatorio en M2, M3, M4, M6. Bitácora inmutable M6 y M7. Inventario público antes del go-live.</w:t>
            </w:r>
          </w:p>
        </w:tc>
      </w:tr>
      <w:tr>
        <w:tc>
          <w:tcPr>
            <w:tcW w:type="dxa" w:w="2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Ley 1581/2012</w:t>
            </w:r>
          </w:p>
        </w:tc>
        <w:tc>
          <w:tcPr>
            <w:tcW w:type="dxa" w:w="6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Privacidad diferencial en M8. DPO designado. Opción on-premise para datos sensibles. .gitignore excluye datos del repo.</w:t>
            </w:r>
          </w:p>
        </w:tc>
      </w:tr>
      <w:tr>
        <w:tc>
          <w:tcPr>
            <w:tcW w:type="dxa" w:w="2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Art. 29 CP</w:t>
            </w:r>
          </w:p>
        </w:tc>
        <w:tc>
          <w:tcPr>
            <w:tcW w:type="dxa" w:w="6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Trazabilidad 'a quién' y 'por qué' en cada reparto M3. Canal de impugnación ciudadana ≤5 días hábiles.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800"/>
        <w:gridCol w:w="2560"/>
      </w:tblGrid>
      <w:tr>
        <w:tc>
          <w:tcPr>
            <w:tcW w:type="dxa" w:w="3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Marco</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Conformes</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Parciales</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Score</w:t>
            </w:r>
          </w:p>
        </w:tc>
      </w:tr>
      <w:tr>
        <w:tc>
          <w:tcPr>
            <w:tcW w:type="dxa" w:w="34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NIST AI Risk Management Framework 1.0</w:t>
            </w:r>
          </w:p>
        </w:tc>
        <w:tc>
          <w:tcPr>
            <w:tcW w:type="dxa" w:w="1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15 cláusulas</w:t>
            </w:r>
          </w:p>
        </w:tc>
        <w:tc>
          <w:tcPr>
            <w:tcW w:type="dxa" w:w="18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 cláusulas</w:t>
            </w:r>
          </w:p>
        </w:tc>
        <w:tc>
          <w:tcPr>
            <w:tcW w:type="dxa" w:w="256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78.8%</w:t>
            </w:r>
          </w:p>
        </w:tc>
      </w:tr>
      <w:tr>
        <w:tc>
          <w:tcPr>
            <w:tcW w:type="dxa" w:w="34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ISO/IEC 42001:2023 — AI Management System</w:t>
            </w:r>
          </w:p>
        </w:tc>
        <w:tc>
          <w:tcPr>
            <w:tcW w:type="dxa" w:w="1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15 cláusulas</w:t>
            </w:r>
          </w:p>
        </w:tc>
        <w:tc>
          <w:tcPr>
            <w:tcW w:type="dxa" w:w="18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12 cláusulas</w:t>
            </w:r>
          </w:p>
        </w:tc>
        <w:tc>
          <w:tcPr>
            <w:tcW w:type="dxa" w:w="256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77.8%</w:t>
            </w:r>
          </w:p>
        </w:tc>
      </w:tr>
    </w:tbl>
    <w:p>
      <w:r>
        <w:br w:type="page"/>
      </w:r>
    </w:p>
    <w:p>
      <w:pPr>
        <w:pStyle w:val="Heading1"/>
        <w:spacing w:after="180" w:before="400"/>
      </w:pPr>
      <w:r>
        <w:rPr>
          <w:rFonts w:ascii="Arial" w:cs="Arial" w:eastAsia="Arial" w:hAnsi="Arial"/>
          <w:b/>
          <w:bCs/>
          <w:color w:val="1B3A5C"/>
          <w:sz w:val="32"/>
          <w:szCs w:val="32"/>
        </w:rPr>
        <w:t xml:space="preserve">11. Resultados del piloto — 21 de mayo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Indicador</w:t>
            </w:r>
          </w:p>
        </w:tc>
        <w:tc>
          <w:tcPr>
            <w:tcW w:type="dxa" w:w="23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AS-IS</w:t>
            </w:r>
          </w:p>
        </w:tc>
        <w:tc>
          <w:tcPr>
            <w:tcW w:type="dxa" w:w="23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Resultado piloto</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Exactitud clasificación M2</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N/A</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90.0%</w:t>
            </w:r>
          </w:p>
        </w:tc>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 Meta ≥88%</w:t>
            </w:r>
          </w:p>
        </w:tc>
      </w:tr>
      <w:tr>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Ratio carga profesionales M3</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7.7x</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1.0x</w:t>
            </w:r>
          </w:p>
        </w:tc>
        <w:tc>
          <w:tcPr>
            <w:tcW w:type="dxa" w:w="2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 Meta ≤2.1x</w:t>
            </w:r>
          </w:p>
        </w:tc>
      </w:tr>
      <w:tr>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Sync IRIS/VisionWeb M7</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 automatizado</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10/10 exitosas</w:t>
            </w:r>
          </w:p>
        </w:tc>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 0 doble registro</w:t>
            </w:r>
          </w:p>
        </w:tc>
      </w:tr>
      <w:tr>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Señal HITL activada</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Manual 100%</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70% de los casos</w:t>
            </w:r>
          </w:p>
        </w:tc>
        <w:tc>
          <w:tcPr>
            <w:tcW w:type="dxa" w:w="2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1A7A4A"/>
                <w:sz w:val="20"/>
                <w:szCs w:val="20"/>
              </w:rPr>
              <w:t xml:space="preserve">✓ Protocolo activo</w:t>
            </w:r>
          </w:p>
        </w:tc>
      </w:tr>
      <w:tr>
        <w:tc>
          <w:tcPr>
            <w:tcW w:type="dxa" w:w="26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BETO on-premise (medido)</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N/A</w:t>
            </w:r>
          </w:p>
        </w:tc>
        <w:tc>
          <w:tcPr>
            <w:tcW w:type="dxa" w:w="238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82.7%</w:t>
            </w:r>
          </w:p>
        </w:tc>
        <w:tc>
          <w:tcPr>
            <w:tcW w:type="dxa" w:w="2000"/>
            <w:tcBorders>
              <w:top w:val="single" w:color="D1DDE6" w:sz="1"/>
              <w:left w:val="single" w:color="D1DDE6" w:sz="1"/>
              <w:bottom w:val="single" w:color="D1DDE6" w:sz="1"/>
              <w:right w:val="single" w:color="D1DDE6" w:sz="1"/>
            </w:tcBorders>
            <w:shd w:fill="FFFFFF" w:val="clear"/>
            <w:tcMar>
              <w:top w:type="dxa" w:w="100"/>
              <w:left w:type="dxa" w:w="140"/>
              <w:bottom w:type="dxa" w:w="100"/>
              <w:right w:type="dxa" w:w="140"/>
            </w:tcMar>
          </w:tcPr>
          <w:p>
            <w:r>
              <w:rPr>
                <w:rFonts w:ascii="Arial" w:cs="Arial" w:eastAsia="Arial" w:hAnsi="Arial"/>
                <w:color w:val="1A7A4A"/>
                <w:sz w:val="20"/>
                <w:szCs w:val="20"/>
              </w:rPr>
              <w:t xml:space="preserve">✓ Soberanía total</w:t>
            </w:r>
          </w:p>
        </w:tc>
      </w:tr>
      <w:tr>
        <w:tc>
          <w:tcPr>
            <w:tcW w:type="dxa" w:w="26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Costo API por petición</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w:t>
            </w:r>
          </w:p>
        </w:tc>
        <w:tc>
          <w:tcPr>
            <w:tcW w:type="dxa" w:w="238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~$0.006 USD</w:t>
            </w:r>
          </w:p>
        </w:tc>
        <w:tc>
          <w:tcPr>
            <w:tcW w:type="dxa" w:w="2000"/>
            <w:tcBorders>
              <w:top w:val="single" w:color="D1DDE6" w:sz="1"/>
              <w:left w:val="single" w:color="D1DDE6" w:sz="1"/>
              <w:bottom w:val="single" w:color="D1DDE6" w:sz="1"/>
              <w:right w:val="single" w:color="D1DDE6" w:sz="1"/>
            </w:tcBorders>
            <w:shd w:fill="F2F7FA" w:val="clear"/>
            <w:tcMar>
              <w:top w:type="dxa" w:w="100"/>
              <w:left w:type="dxa" w:w="140"/>
              <w:bottom w:type="dxa" w:w="100"/>
              <w:right w:type="dxa" w:w="140"/>
            </w:tcMar>
          </w:tcPr>
          <w:p>
            <w:r>
              <w:rPr>
                <w:rFonts w:ascii="Arial" w:cs="Arial" w:eastAsia="Arial" w:hAnsi="Arial"/>
                <w:color w:val="222222"/>
                <w:sz w:val="20"/>
                <w:szCs w:val="20"/>
              </w:rPr>
              <w:t xml:space="preserve">Haiku 4.5</w:t>
            </w:r>
          </w:p>
        </w:tc>
      </w:tr>
    </w:tbl>
    <w:p>
      <w:r>
        <w:br w:type="page"/>
      </w:r>
    </w:p>
    <w:p>
      <w:pPr>
        <w:pStyle w:val="Heading1"/>
        <w:spacing w:after="180" w:before="400"/>
      </w:pPr>
      <w:r>
        <w:rPr>
          <w:rFonts w:ascii="Arial" w:cs="Arial" w:eastAsia="Arial" w:hAnsi="Arial"/>
          <w:b/>
          <w:bCs/>
          <w:color w:val="1B3A5C"/>
          <w:sz w:val="32"/>
          <w:szCs w:val="32"/>
        </w:rPr>
        <w:t xml:space="preserve">12. Conclusiones</w:t>
      </w:r>
    </w:p>
    <w:p>
      <w:pPr>
        <w:spacing w:after="100" w:before="60"/>
      </w:pPr>
      <w:r>
        <w:rPr>
          <w:rFonts w:ascii="Arial" w:cs="Arial" w:eastAsia="Arial" w:hAnsi="Arial"/>
          <w:sz w:val="22"/>
          <w:szCs w:val="22"/>
        </w:rPr>
        <w:t xml:space="preserve">El pipeline M1–M8 demuestra que es técnicamente viable automatizar el ciclo completo de gestión de peticiones ciudadanas de la URAB con IA agéntica, supervisión humana en los puntos de mayor riesgo jurídico, medidas concretas de inclusión para siete grupos diferenciales, y soberanía total de datos cuando la Defensoría lo requiera.</w:t>
      </w:r>
    </w:p>
    <w:p>
      <w:pPr>
        <w:spacing w:after="100" w:before="60"/>
      </w:pPr>
      <w:r>
        <w:rPr>
          <w:rFonts w:ascii="Arial" w:cs="Arial" w:eastAsia="Arial" w:hAnsi="Arial"/>
          <w:sz w:val="22"/>
          <w:szCs w:val="22"/>
        </w:rPr>
        <w:t xml:space="preserve">La comparación empírica de cuatro modelos sobre los mismos 20,417 datos es el argumento más sólido frente a la junta: sin IA llegamos al 76%, con BETO gratuito y on-premise llegamos al 82.7%, con Anthropic llegamos al 90%. La diferencia de 7.3 puntos entre las dos últimas opciones es la decisión de la Defensoría, no del proveedor — y el sistema está diseñado para que esa decisión sea reversible con una línea de código.</w:t>
      </w:r>
    </w:p>
    <w:p>
      <w:pPr>
        <w:spacing w:after="100" w:before="60"/>
      </w:pPr>
      <w:r>
        <w:rPr>
          <w:rFonts w:ascii="Arial" w:cs="Arial" w:eastAsia="Arial" w:hAnsi="Arial"/>
          <w:sz w:val="22"/>
          <w:szCs w:val="22"/>
        </w:rPr>
        <w:t xml:space="preserve">El ROI de 4.5x en el primer año — basado únicamente en las 13,320 horas anuales liberadas del doble registro — es verificable desde el primer día de operación de la Fase 3. Los 7,600 urgentes adicionales atendidos a tiempo representan el argumento misional que ninguna cifra puede capturar completamente.</w:t>
      </w:r>
    </w:p>
    <w:p>
      <w:pPr>
        <w:pBdr>
          <w:bottom w:val="single" w:color="028090" w:sz="4" w:space="1"/>
        </w:pBdr>
        <w:spacing w:after="200" w:before="200"/>
      </w:pPr>
    </w:p>
    <w:p>
      <w:pPr>
        <w:spacing w:after="40" w:before="200"/>
        <w:jc w:val="center"/>
      </w:pPr>
      <w:r>
        <w:rPr>
          <w:rFonts w:ascii="Arial" w:cs="Arial" w:eastAsia="Arial" w:hAnsi="Arial"/>
          <w:color w:val="888888"/>
          <w:sz w:val="18"/>
          <w:szCs w:val="18"/>
        </w:rPr>
        <w:t xml:space="preserve">Legal Strategy Lab 2026 — Facultad de Derecho, Universidad Externado de Colombia</w:t>
      </w:r>
    </w:p>
    <w:p>
      <w:pPr>
        <w:spacing w:before="0"/>
        <w:jc w:val="center"/>
      </w:pPr>
      <w:r>
        <w:rPr>
          <w:rFonts w:ascii="Arial" w:cs="Arial" w:eastAsia="Arial" w:hAnsi="Arial"/>
          <w:color w:val="028090"/>
          <w:sz w:val="18"/>
          <w:szCs w:val="18"/>
        </w:rPr>
        <w:t xml:space="preserve">github.com/MireyaCamacho/agentes-defensoria-lsl2026</w:t>
      </w:r>
    </w:p>
    <w:sectPr>
      <w:headerReference w:type="default" r:id="rId7"/>
      <w:footerReference w:type="default" r:id="rId8"/>
      <w:pgSz w:w="11906" w:h="16838" w:orient="portrait"/>
      <w:pgMar w:top="144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DE6" w:sz="4" w:space="6"/>
      </w:pBdr>
    </w:pPr>
    <w:r>
      <w:rPr>
        <w:rFonts w:ascii="Arial" w:cs="Arial" w:eastAsia="Arial" w:hAnsi="Arial"/>
        <w:color w:val="999999"/>
        <w:sz w:val="16"/>
        <w:szCs w:val="16"/>
      </w:rPr>
      <w:t xml:space="preserve">agentes-defensoria-lsl2026 · github.com/MireyaCamacho/agentes-defensoria-lsl2026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6"/>
      </w:pBdr>
    </w:pPr>
    <w:r>
      <w:rPr>
        <w:rFonts w:ascii="Arial" w:cs="Arial" w:eastAsia="Arial" w:hAnsi="Arial"/>
        <w:color w:val="666666"/>
        <w:sz w:val="18"/>
        <w:szCs w:val="18"/>
      </w:rPr>
      <w:t xml:space="preserve">Informe Técnico — Pipeline IA · Defensoría del Pueblo / URAB · LSL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2026-05-22T01:17:35.955Z</dcterms:created>
  <dcterms:modified xsi:type="dcterms:W3CDTF">2026-05-22T01:17:35.969Z</dcterms:modified>
</cp:coreProperties>
</file>

<file path=docProps/custom.xml><?xml version="1.0" encoding="utf-8"?>
<Properties xmlns="http://schemas.openxmlformats.org/officeDocument/2006/custom-properties" xmlns:vt="http://schemas.openxmlformats.org/officeDocument/2006/docPropsVTypes"/>
</file>