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440"/>
              <w:left w:type="dxa" w:w="440"/>
              <w:bottom w:type="dxa" w:w="440"/>
              <w:right w:type="dxa" w:w="440"/>
            </w:tcMar>
          </w:tcPr>
          <w:p>
            <w:pPr>
              <w:spacing w:after="120" w:before="0"/>
              <w:jc w:val="center"/>
            </w:pPr>
            <w:r>
              <w:rPr>
                <w:rFonts w:ascii="Arial" w:cs="Arial" w:eastAsia="Arial" w:hAnsi="Arial"/>
                <w:b/>
                <w:bCs/>
                <w:color w:val="FFFFFF"/>
                <w:sz w:val="36"/>
                <w:szCs w:val="36"/>
              </w:rPr>
              <w:t xml:space="preserve">RED TEAMING DE PROPUESTA</w:t>
            </w:r>
          </w:p>
          <w:p>
            <w:pPr>
              <w:spacing w:after="120" w:before="0"/>
              <w:jc w:val="center"/>
            </w:pPr>
            <w:r>
              <w:rPr>
                <w:rFonts w:ascii="Arial" w:cs="Arial" w:eastAsia="Arial" w:hAnsi="Arial"/>
                <w:color w:val="BDD7EE"/>
                <w:sz w:val="24"/>
                <w:szCs w:val="24"/>
              </w:rPr>
              <w:t xml:space="preserve">Arquitectura BETO / RoBERTa-es + Claude API (M6)</w:t>
            </w:r>
          </w:p>
          <w:p>
            <w:pPr>
              <w:spacing w:after="160" w:before="0"/>
              <w:jc w:val="center"/>
            </w:pPr>
            <w:r>
              <w:rPr>
                <w:rFonts w:ascii="Arial" w:cs="Arial" w:eastAsia="Arial" w:hAnsi="Arial"/>
                <w:color w:val="9DC3E6"/>
                <w:sz w:val="22"/>
                <w:szCs w:val="22"/>
              </w:rPr>
              <w:t xml:space="preserve">Identificación de vulnerabilidades como argumento de descarte</w:t>
            </w:r>
          </w:p>
          <w:p>
            <w:pPr>
              <w:spacing w:after="0" w:before="0"/>
              <w:jc w:val="center"/>
            </w:pPr>
            <w:r>
              <w:rPr>
                <w:rFonts w:ascii="Arial" w:cs="Arial" w:eastAsia="Arial" w:hAnsi="Arial"/>
                <w:color w:val="FFE08A"/>
                <w:sz w:val="19"/>
                <w:szCs w:val="19"/>
              </w:rPr>
              <w:t xml:space="preserve">Marcos: Directiva 007/2025 · NIST AI RMF · ISO/IEC 42001:2023</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Arial" w:cs="Arial" w:eastAsia="Arial" w:hAnsi="Arial"/>
                <w:b/>
                <w:bCs/>
                <w:color w:val="1F4E79"/>
                <w:sz w:val="20"/>
                <w:szCs w:val="20"/>
              </w:rPr>
              <w:t xml:space="preserve">Legal Strategy Lab 2026</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Arial" w:cs="Arial" w:eastAsia="Arial" w:hAnsi="Arial"/>
                <w:b w:val="false"/>
                <w:bCs w:val="false"/>
                <w:color w:val="1F4E79"/>
                <w:sz w:val="20"/>
                <w:szCs w:val="20"/>
              </w:rPr>
              <w:t xml:space="preserve">Universidad Externado de Colombia</w:t>
            </w:r>
          </w:p>
        </w:tc>
        <w:tc>
          <w:tcPr>
            <w:tcW w:type="dxa" w:w="312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Arial" w:cs="Arial" w:eastAsia="Arial" w:hAnsi="Arial"/>
                <w:b w:val="false"/>
                <w:bCs w:val="false"/>
                <w:color w:val="1F4E79"/>
                <w:sz w:val="20"/>
                <w:szCs w:val="20"/>
              </w:rPr>
              <w:t xml:space="preserve">Defensoría del Pueblo — URAB</w:t>
            </w:r>
          </w:p>
        </w:tc>
      </w:tr>
    </w:tbl>
    <w:p>
      <w:pPr>
        <w:spacing w:after="0" w:before="160"/>
      </w:pPr>
    </w:p>
    <w:p>
      <w:r>
        <w:br w:type="page"/>
      </w:r>
    </w:p>
    <w:p>
      <w:pPr>
        <w:pStyle w:val="Heading1"/>
        <w:spacing w:after="200" w:before="400"/>
      </w:pPr>
      <w:r>
        <w:rPr>
          <w:rFonts w:ascii="Arial" w:cs="Arial" w:eastAsia="Arial" w:hAnsi="Arial"/>
          <w:b/>
          <w:bCs/>
          <w:color w:val="1F4E79"/>
          <w:sz w:val="32"/>
          <w:szCs w:val="32"/>
        </w:rPr>
        <w:t xml:space="preserve">Introducción y propósito del ejercicio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color w:val="1F4E79"/>
                <w:sz w:val="20"/>
                <w:szCs w:val="20"/>
              </w:rPr>
              <w:t xml:space="preserve">Este documento aplica red teaming a la arquitectura original del proyecto: BETO / RoBERTa-es en M1–M5 y Claude API únicamente en M6. El objetivo es identificar vulnerabilidades específicas con evidencia técnica, operativa, jurídica y de cohesión — usando cada una como argumento defensible para justificar la migración a Claude API como motor cognitivo unificado. Las vulnerabilidades se evalúan contra tres marcos simultáneos: normativa colombiana (Directiva 007/2025, Ley 1581, Art. 29 CP), NIST AI RMF y ISO/IEC 42001:2023.</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1"/>
              <w:left w:val="single" w:color="CCCCCC" w:sz="1"/>
              <w:bottom w:val="single" w:color="CCCCCC" w:sz="1"/>
              <w:right w:val="single" w:color="CCCCCC" w:sz="1"/>
            </w:tcBorders>
            <w:shd w:fill="5B2C8D" w:val="clear"/>
            <w:tcMar>
              <w:top w:type="dxa" w:w="100"/>
              <w:left w:type="dxa" w:w="150"/>
              <w:bottom w:type="dxa" w:w="100"/>
              <w:right w:type="dxa" w:w="150"/>
            </w:tcMar>
          </w:tcPr>
          <w:p>
            <w:r>
              <w:rPr>
                <w:rFonts w:ascii="Arial" w:cs="Arial" w:eastAsia="Arial" w:hAnsi="Arial"/>
                <w:b/>
                <w:bCs/>
                <w:color w:val="FFFFFF"/>
                <w:sz w:val="22"/>
                <w:szCs w:val="22"/>
              </w:rPr>
              <w:t xml:space="preserve">Marcos de referencia incorporados en este red teaming</w:t>
            </w:r>
          </w:p>
        </w:tc>
      </w:tr>
      <w:tr>
        <w:tc>
          <w:tcPr>
            <w:tcW w:type="dxa" w:w="4680"/>
            <w:tcBorders>
              <w:top w:val="single" w:color="CCCCCC" w:sz="1"/>
              <w:left w:val="single" w:color="CCCCCC" w:sz="1"/>
              <w:bottom w:val="single" w:color="CCCCCC" w:sz="1"/>
              <w:right w:val="single" w:color="CCCCCC" w:sz="1"/>
            </w:tcBorders>
            <w:shd w:fill="EDE0FF" w:val="clear"/>
            <w:tcMar>
              <w:top w:type="dxa" w:w="100"/>
              <w:left w:type="dxa" w:w="150"/>
              <w:bottom w:type="dxa" w:w="100"/>
              <w:right w:type="dxa" w:w="150"/>
            </w:tcMar>
          </w:tcPr>
          <w:p>
            <w:r>
              <w:rPr>
                <w:rFonts w:ascii="Arial" w:cs="Arial" w:eastAsia="Arial" w:hAnsi="Arial"/>
                <w:b/>
                <w:bCs/>
                <w:color w:val="5B2C8D"/>
                <w:sz w:val="20"/>
                <w:szCs w:val="20"/>
              </w:rPr>
              <w:t xml:space="preserve">NIST AI RMF (AI Risk Management Framework)</w:t>
            </w:r>
          </w:p>
          <w:p>
            <w:r>
              <w:rPr>
                <w:rFonts w:ascii="Arial" w:cs="Arial" w:eastAsia="Arial" w:hAnsi="Arial"/>
                <w:color w:val="333333"/>
                <w:sz w:val="18"/>
                <w:szCs w:val="18"/>
              </w:rPr>
              <w:t xml:space="preserve">4 funciones: GOVERN · MAP · MEASURE · MANAGE</w:t>
            </w:r>
          </w:p>
        </w:tc>
        <w:tc>
          <w:tcPr>
            <w:tcW w:type="dxa" w:w="4680"/>
            <w:tcBorders>
              <w:top w:val="single" w:color="CCCCCC" w:sz="1"/>
              <w:left w:val="single" w:color="CCCCCC" w:sz="1"/>
              <w:bottom w:val="single" w:color="CCCCCC" w:sz="1"/>
              <w:right w:val="single" w:color="CCCCCC" w:sz="1"/>
            </w:tcBorders>
            <w:shd w:fill="D6F0F0" w:val="clear"/>
            <w:tcMar>
              <w:top w:type="dxa" w:w="100"/>
              <w:left w:type="dxa" w:w="150"/>
              <w:bottom w:type="dxa" w:w="100"/>
              <w:right w:type="dxa" w:w="150"/>
            </w:tcMar>
          </w:tcPr>
          <w:p>
            <w:r>
              <w:rPr>
                <w:rFonts w:ascii="Arial" w:cs="Arial" w:eastAsia="Arial" w:hAnsi="Arial"/>
                <w:b/>
                <w:bCs/>
                <w:color w:val="1A6B6B"/>
                <w:sz w:val="20"/>
                <w:szCs w:val="20"/>
              </w:rPr>
              <w:t xml:space="preserve">ISO/IEC 42001:2023 — Sistema de Gestión de IA</w:t>
            </w:r>
          </w:p>
          <w:p>
            <w:r>
              <w:rPr>
                <w:rFonts w:ascii="Arial" w:cs="Arial" w:eastAsia="Arial" w:hAnsi="Arial"/>
                <w:color w:val="333333"/>
                <w:sz w:val="18"/>
                <w:szCs w:val="18"/>
              </w:rPr>
              <w:t xml:space="preserve">Cláusulas aplicadas: §6.1 · §8.4 · §8.5 · §9.1 · §10.1</w:t>
            </w:r>
          </w:p>
        </w:tc>
      </w:tr>
      <w:tr>
        <w:tc>
          <w:tcPr>
            <w:tcW w:type="dxa" w:w="9360"/>
            <w:gridSpan w:val="2"/>
            <w:tcBorders>
              <w:top w:val="single" w:color="CCCCCC" w:sz="1"/>
              <w:left w:val="single" w:color="CCCCCC" w:sz="1"/>
              <w:bottom w:val="single" w:color="CCCCCC" w:sz="1"/>
              <w:right w:val="single" w:color="CCCCCC" w:sz="1"/>
            </w:tcBorders>
            <w:shd w:fill="F5F5F5" w:val="clear"/>
            <w:tcMar>
              <w:top w:type="dxa" w:w="80"/>
              <w:left w:type="dxa" w:w="150"/>
              <w:bottom w:type="dxa" w:w="80"/>
              <w:right w:type="dxa" w:w="150"/>
            </w:tcMar>
          </w:tcPr>
          <w:p>
            <w:r>
              <w:rPr>
                <w:rFonts w:ascii="Arial" w:cs="Arial" w:eastAsia="Arial" w:hAnsi="Arial"/>
                <w:color w:val="555555"/>
                <w:sz w:val="18"/>
                <w:szCs w:val="18"/>
              </w:rPr>
              <w:t xml:space="preserve">Marco colombiano: Directiva Conjunta 007/2025 · CONPES 4144 · Ley 1581/2012 · Art. 29 CP</w:t>
            </w:r>
          </w:p>
        </w:tc>
      </w:tr>
    </w:tbl>
    <w:p>
      <w:pPr>
        <w:spacing w:after="0" w:before="160"/>
      </w:pPr>
    </w:p>
    <w:p>
      <w:pPr>
        <w:spacing w:after="80" w:before="80"/>
      </w:pPr>
      <w:r>
        <w:rPr>
          <w:rFonts w:ascii="Arial" w:cs="Arial" w:eastAsia="Arial" w:hAnsi="Arial"/>
          <w:b w:val="false"/>
          <w:bCs w:val="false"/>
          <w:color w:val="000000"/>
          <w:sz w:val="20"/>
          <w:szCs w:val="20"/>
        </w:rPr>
        <w:t xml:space="preserve">El ejercicio está organizado en cuatro capítulos:</w:t>
      </w:r>
    </w:p>
    <w:p>
      <w:pPr>
        <w:pStyle w:val="ListParagraph"/>
        <w:numPr>
          <w:ilvl w:val="0"/>
          <w:numId w:val="2"/>
        </w:numPr>
        <w:spacing w:after="40" w:before="40"/>
      </w:pPr>
      <w:r>
        <w:rPr>
          <w:rFonts w:ascii="Arial" w:cs="Arial" w:eastAsia="Arial" w:hAnsi="Arial"/>
          <w:b w:val="false"/>
          <w:bCs w:val="false"/>
          <w:color w:val="000000"/>
          <w:sz w:val="20"/>
          <w:szCs w:val="20"/>
        </w:rPr>
        <w:t xml:space="preserve">Capítulo 1 — Vulnerabilidades técnicas (5): corpus, drift, latencia, embeddings, validación distribuida</w:t>
      </w:r>
    </w:p>
    <w:p>
      <w:pPr>
        <w:pStyle w:val="ListParagraph"/>
        <w:numPr>
          <w:ilvl w:val="0"/>
          <w:numId w:val="2"/>
        </w:numPr>
        <w:spacing w:after="40" w:before="40"/>
      </w:pPr>
      <w:r>
        <w:rPr>
          <w:rFonts w:ascii="Arial" w:cs="Arial" w:eastAsia="Arial" w:hAnsi="Arial"/>
          <w:b w:val="false"/>
          <w:bCs w:val="false"/>
          <w:color w:val="000000"/>
          <w:sz w:val="20"/>
          <w:szCs w:val="20"/>
        </w:rPr>
        <w:t xml:space="preserve">Capítulo 2 — Vulnerabilidades operativas (4): GPU, mantenimiento, regresión, registro de riesgos</w:t>
      </w:r>
    </w:p>
    <w:p>
      <w:pPr>
        <w:pStyle w:val="ListParagraph"/>
        <w:numPr>
          <w:ilvl w:val="0"/>
          <w:numId w:val="2"/>
        </w:numPr>
        <w:spacing w:after="40" w:before="40"/>
      </w:pPr>
      <w:r>
        <w:rPr>
          <w:rFonts w:ascii="Arial" w:cs="Arial" w:eastAsia="Arial" w:hAnsi="Arial"/>
          <w:b w:val="false"/>
          <w:bCs w:val="false"/>
          <w:color w:val="000000"/>
          <w:sz w:val="20"/>
          <w:szCs w:val="20"/>
        </w:rPr>
        <w:t xml:space="preserve">Capítulo 3 — Vulnerabilidades jurídicas (5): cascada, XAI, impugnación, Ley 1581, impact assessment</w:t>
      </w:r>
    </w:p>
    <w:p>
      <w:pPr>
        <w:pStyle w:val="ListParagraph"/>
        <w:numPr>
          <w:ilvl w:val="0"/>
          <w:numId w:val="2"/>
        </w:numPr>
        <w:spacing w:after="40" w:before="40"/>
      </w:pPr>
      <w:r>
        <w:rPr>
          <w:rFonts w:ascii="Arial" w:cs="Arial" w:eastAsia="Arial" w:hAnsi="Arial"/>
          <w:b w:val="false"/>
          <w:bCs w:val="false"/>
          <w:color w:val="000000"/>
          <w:sz w:val="20"/>
          <w:szCs w:val="20"/>
        </w:rPr>
        <w:t xml:space="preserve">Capítulo 4 — Vulnerabilidades de cohesión (4): ruptura semántica, inconsistencia, pipeline ciego, sesgo acumulativo</w:t>
      </w:r>
    </w:p>
    <w:p>
      <w:pPr>
        <w:spacing w:after="0" w:before="160"/>
      </w:pPr>
    </w:p>
    <w:p>
      <w:pPr>
        <w:pStyle w:val="Heading2"/>
        <w:pBdr>
          <w:bottom w:val="single" w:color="1F4E79" w:sz="4" w:space="4"/>
        </w:pBdr>
        <w:spacing w:after="150" w:before="300"/>
      </w:pPr>
      <w:r>
        <w:rPr>
          <w:rFonts w:ascii="Arial" w:cs="Arial" w:eastAsia="Arial" w:hAnsi="Arial"/>
          <w:b/>
          <w:bCs/>
          <w:color w:val="1F4E79"/>
          <w:sz w:val="26"/>
          <w:szCs w:val="26"/>
        </w:rPr>
        <w:t xml:space="preserve">Resumen ejecutivo de hallazgos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4260"/>
        <w:gridCol w:w="2800"/>
      </w:tblGrid>
      <w:tr>
        <w:tc>
          <w:tcPr>
            <w:tcW w:type="dxa" w:w="1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Capítulo</w:t>
            </w:r>
          </w:p>
        </w:tc>
        <w:tc>
          <w:tcPr>
            <w:tcW w:type="dxa" w:w="7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w:t>
            </w:r>
          </w:p>
        </w:tc>
        <w:tc>
          <w:tcPr>
            <w:tcW w:type="dxa" w:w="42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Vulnerabilidades clave</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Marcos adicionales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Técnico</w:t>
            </w:r>
          </w:p>
        </w:tc>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842B2B"/>
                <w:sz w:val="20"/>
                <w:szCs w:val="20"/>
              </w:rPr>
              <w:t xml:space="preserve">5</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Corpus ES/ibérico, drift, embeddings, validación distribuida</w:t>
            </w:r>
          </w:p>
        </w:tc>
        <w:tc>
          <w:tcPr>
            <w:tcW w:type="dxa" w:w="2800"/>
            <w:tcBorders>
              <w:top w:val="single" w:color="CCCCCC" w:sz="1"/>
              <w:left w:val="single" w:color="CCCCCC" w:sz="1"/>
              <w:bottom w:val="single" w:color="CCCCCC" w:sz="1"/>
              <w:right w:val="single" w:color="CCCCCC" w:sz="1"/>
            </w:tcBorders>
            <w:shd w:fill="EDE0FF" w:val="clear"/>
            <w:tcMar>
              <w:top w:type="dxa" w:w="100"/>
              <w:left w:type="dxa" w:w="150"/>
              <w:bottom w:type="dxa" w:w="100"/>
              <w:right w:type="dxa" w:w="150"/>
            </w:tcMar>
            <w:vAlign w:val="center"/>
          </w:tcPr>
          <w:p>
            <w:pPr>
              <w:jc w:val="left"/>
            </w:pPr>
            <w:r>
              <w:rPr>
                <w:rFonts w:ascii="Arial" w:cs="Arial" w:eastAsia="Arial" w:hAnsi="Arial"/>
                <w:b w:val="false"/>
                <w:bCs w:val="false"/>
                <w:color w:val="5B2C8D"/>
                <w:sz w:val="20"/>
                <w:szCs w:val="20"/>
              </w:rPr>
              <w:t xml:space="preserve">NIST MEASURE + ISO §9.1</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Operativo</w:t>
            </w:r>
          </w:p>
        </w:tc>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842B2B"/>
                <w:sz w:val="20"/>
                <w:szCs w:val="20"/>
              </w:rPr>
              <w:t xml:space="preserve">4</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GPU capex, mantenimiento dual, regresión, registro de riesgos</w:t>
            </w:r>
          </w:p>
        </w:tc>
        <w:tc>
          <w:tcPr>
            <w:tcW w:type="dxa" w:w="2800"/>
            <w:tcBorders>
              <w:top w:val="single" w:color="CCCCCC" w:sz="1"/>
              <w:left w:val="single" w:color="CCCCCC" w:sz="1"/>
              <w:bottom w:val="single" w:color="CCCCCC" w:sz="1"/>
              <w:right w:val="single" w:color="CCCCCC" w:sz="1"/>
            </w:tcBorders>
            <w:shd w:fill="EDE0FF" w:val="clear"/>
            <w:tcMar>
              <w:top w:type="dxa" w:w="100"/>
              <w:left w:type="dxa" w:w="150"/>
              <w:bottom w:type="dxa" w:w="100"/>
              <w:right w:type="dxa" w:w="150"/>
            </w:tcMar>
            <w:vAlign w:val="center"/>
          </w:tcPr>
          <w:p>
            <w:pPr>
              <w:jc w:val="left"/>
            </w:pPr>
            <w:r>
              <w:rPr>
                <w:rFonts w:ascii="Arial" w:cs="Arial" w:eastAsia="Arial" w:hAnsi="Arial"/>
                <w:b w:val="false"/>
                <w:bCs w:val="false"/>
                <w:color w:val="5B2C8D"/>
                <w:sz w:val="20"/>
                <w:szCs w:val="20"/>
              </w:rPr>
              <w:t xml:space="preserve">NIST GOVERN + ISO §6.1/§8.4</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Jurídico</w:t>
            </w:r>
          </w:p>
        </w:tc>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842B2B"/>
                <w:sz w:val="20"/>
                <w:szCs w:val="20"/>
              </w:rPr>
              <w:t xml:space="preserve">5</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Cascada, XAI Directiva 007, impugnación, Ley 1581, impact assessment</w:t>
            </w:r>
          </w:p>
        </w:tc>
        <w:tc>
          <w:tcPr>
            <w:tcW w:type="dxa" w:w="2800"/>
            <w:tcBorders>
              <w:top w:val="single" w:color="CCCCCC" w:sz="1"/>
              <w:left w:val="single" w:color="CCCCCC" w:sz="1"/>
              <w:bottom w:val="single" w:color="CCCCCC" w:sz="1"/>
              <w:right w:val="single" w:color="CCCCCC" w:sz="1"/>
            </w:tcBorders>
            <w:shd w:fill="EDE0FF" w:val="clear"/>
            <w:tcMar>
              <w:top w:type="dxa" w:w="100"/>
              <w:left w:type="dxa" w:w="150"/>
              <w:bottom w:type="dxa" w:w="100"/>
              <w:right w:type="dxa" w:w="150"/>
            </w:tcMar>
            <w:vAlign w:val="center"/>
          </w:tcPr>
          <w:p>
            <w:pPr>
              <w:jc w:val="left"/>
            </w:pPr>
            <w:r>
              <w:rPr>
                <w:rFonts w:ascii="Arial" w:cs="Arial" w:eastAsia="Arial" w:hAnsi="Arial"/>
                <w:b w:val="false"/>
                <w:bCs w:val="false"/>
                <w:color w:val="5B2C8D"/>
                <w:sz w:val="20"/>
                <w:szCs w:val="20"/>
              </w:rPr>
              <w:t xml:space="preserve">NIST MAP + ISO §8.4</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Cohesión</w:t>
            </w:r>
          </w:p>
        </w:tc>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842B2B"/>
                <w:sz w:val="20"/>
                <w:szCs w:val="20"/>
              </w:rPr>
              <w:t xml:space="preserve">4</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Ruptura semántica, inconsistencia, pipeline ciego, sesgo acumulativo</w:t>
            </w:r>
          </w:p>
        </w:tc>
        <w:tc>
          <w:tcPr>
            <w:tcW w:type="dxa" w:w="2800"/>
            <w:tcBorders>
              <w:top w:val="single" w:color="CCCCCC" w:sz="1"/>
              <w:left w:val="single" w:color="CCCCCC" w:sz="1"/>
              <w:bottom w:val="single" w:color="CCCCCC" w:sz="1"/>
              <w:right w:val="single" w:color="CCCCCC" w:sz="1"/>
            </w:tcBorders>
            <w:shd w:fill="EDE0FF" w:val="clear"/>
            <w:tcMar>
              <w:top w:type="dxa" w:w="100"/>
              <w:left w:type="dxa" w:w="150"/>
              <w:bottom w:type="dxa" w:w="100"/>
              <w:right w:type="dxa" w:w="150"/>
            </w:tcMar>
            <w:vAlign w:val="center"/>
          </w:tcPr>
          <w:p>
            <w:pPr>
              <w:jc w:val="left"/>
            </w:pPr>
            <w:r>
              <w:rPr>
                <w:rFonts w:ascii="Arial" w:cs="Arial" w:eastAsia="Arial" w:hAnsi="Arial"/>
                <w:b w:val="false"/>
                <w:bCs w:val="false"/>
                <w:color w:val="5B2C8D"/>
                <w:sz w:val="20"/>
                <w:szCs w:val="20"/>
              </w:rPr>
              <w:t xml:space="preserve">NIST MEASURE bias + ISO §8.5</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r>
              <w:rPr>
                <w:rFonts w:ascii="Arial" w:cs="Arial" w:eastAsia="Arial" w:hAnsi="Arial"/>
                <w:color w:val="7B4D00"/>
                <w:sz w:val="20"/>
                <w:szCs w:val="20"/>
              </w:rPr>
              <w:t xml:space="preserve">Conclusión anticipada: la arquitectura split genera 18 vulnerabilidades en 4 dimensiones. Su acumulación produce un sistema frágil, costoso de mantener y difícil de auditar. La migración a Claude API como motor cognitivo unificado resuelve 16 de las 18 vulnerabilidades estructuralmente. Las 2 vulnerabilidades residuales (V-J4 y V-C4) se mitigan mediante instrumentos contractuales (DPA Anthropic enterprise con zero data retention + GDPR-compliance) y de gobernanza (model cards auditadas + evaluación de sesgo propia sobre corpus URAB). Las 18 quedan cubiertas con su plan de mitigación documentado.</w:t>
            </w:r>
          </w:p>
        </w:tc>
      </w:tr>
    </w:tbl>
    <w:p>
      <w:r>
        <w:br w:type="page"/>
      </w:r>
    </w:p>
    <w:p>
      <w:pPr>
        <w:pStyle w:val="Heading1"/>
        <w:spacing w:after="200" w:before="400"/>
      </w:pPr>
      <w:r>
        <w:rPr>
          <w:rFonts w:ascii="Arial" w:cs="Arial" w:eastAsia="Arial" w:hAnsi="Arial"/>
          <w:b/>
          <w:bCs/>
          <w:color w:val="1F4E79"/>
          <w:sz w:val="32"/>
          <w:szCs w:val="32"/>
        </w:rPr>
        <w:t xml:space="preserve">Capítulo 1 — Vulnerabilidades Técnicas</w:t>
      </w:r>
    </w:p>
    <w:p>
      <w:pPr>
        <w:pStyle w:val="Heading2"/>
        <w:pBdr>
          <w:bottom w:val="single" w:color="1F4E79" w:sz="4" w:space="4"/>
        </w:pBdr>
        <w:spacing w:after="150" w:before="300"/>
      </w:pPr>
      <w:r>
        <w:rPr>
          <w:rFonts w:ascii="Arial" w:cs="Arial" w:eastAsia="Arial" w:hAnsi="Arial"/>
          <w:b/>
          <w:bCs/>
          <w:color w:val="1F4E79"/>
          <w:sz w:val="26"/>
          <w:szCs w:val="26"/>
        </w:rPr>
        <w:t xml:space="preserve">Corpus, drift, latencia, embeddings y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color w:val="1F4E79"/>
                <w:sz w:val="20"/>
                <w:szCs w:val="20"/>
              </w:rPr>
              <w:t xml:space="preserve">La arquitectura original asume que BETO y RoBERTa-es son modelos adecuados para el español jurídico colombiano y el lenguaje coloquial de peticiones ciudadanas. Este capítulo evalúa esa suposición desde cinco ángulos técnicos, incluyendo los requisitos de validación continua del NIST AI RMF y la ISO/IEC 42001:2023.</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C55A11" w:val="clear"/>
            <w:tcMar>
              <w:top w:type="dxa" w:w="120"/>
              <w:left w:type="dxa" w:w="150"/>
              <w:bottom w:type="dxa" w:w="120"/>
              <w:right w:type="dxa" w:w="150"/>
            </w:tcMar>
          </w:tcPr>
          <w:p>
            <w:r>
              <w:rPr>
                <w:rFonts w:ascii="Arial" w:cs="Arial" w:eastAsia="Arial" w:hAnsi="Arial"/>
                <w:b/>
                <w:bCs/>
                <w:color w:val="FFFFFF"/>
                <w:sz w:val="22"/>
                <w:szCs w:val="22"/>
              </w:rPr>
              <w:t xml:space="preserve">VT1  </w:t>
            </w:r>
            <w:r>
              <w:rPr>
                <w:rFonts w:ascii="Arial" w:cs="Arial" w:eastAsia="Arial" w:hAnsi="Arial"/>
                <w:b/>
                <w:bCs/>
                <w:color w:val="FFFFFF"/>
                <w:sz w:val="22"/>
                <w:szCs w:val="22"/>
              </w:rPr>
              <w:t xml:space="preserve">Desajuste de corpus — BETO</w:t>
            </w:r>
          </w:p>
        </w:tc>
      </w:tr>
      <w:tr>
        <w:tc>
          <w:tcPr>
            <w:tcW w:type="dxa" w:w="2000"/>
            <w:tcBorders>
              <w:top w:val="single" w:color="CCCCCC" w:sz="1"/>
              <w:left w:val="single" w:color="CCCCCC" w:sz="1"/>
              <w:bottom w:val="single" w:color="CCCCCC" w:sz="1"/>
              <w:right w:val="single" w:color="CCCCCC" w:sz="1"/>
            </w:tcBorders>
            <w:shd w:fill="8B1A1A" w:val="clear"/>
            <w:tcMar>
              <w:top w:type="dxa" w:w="100"/>
              <w:left w:type="dxa" w:w="150"/>
              <w:bottom w:type="dxa" w:w="100"/>
              <w:right w:type="dxa" w:w="150"/>
            </w:tcMar>
            <w:vAlign w:val="center"/>
          </w:tcPr>
          <w:p>
            <w:r>
              <w:rPr>
                <w:rFonts w:ascii="Arial" w:cs="Arial" w:eastAsia="Arial" w:hAnsi="Arial"/>
                <w:b/>
                <w:bCs/>
                <w:color w:val="FFFFFF"/>
                <w:sz w:val="18"/>
                <w:szCs w:val="18"/>
              </w:rPr>
              <w:t xml:space="preserve">🎯  ATAQUE</w:t>
            </w:r>
          </w:p>
        </w:tc>
        <w:tc>
          <w:tcPr>
            <w:tcW w:type="dxa" w:w="73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sz w:val="20"/>
                <w:szCs w:val="20"/>
              </w:rPr>
              <w:t xml:space="preserve">BETO fue entrenado sobre Wikipedia en español, no sobre peticiones ciudadanas colombianas. El vocabulario institucional de la Defensoría ("tutela", "mecanismo de protección", "trámite preferente") y el lenguaje coloquial de los peticionarios están subrepresentados o ausentes en su distribución de entrenamiento.</w:t>
            </w:r>
          </w:p>
        </w:tc>
      </w:tr>
      <w:tr>
        <w:tc>
          <w:tcPr>
            <w:tcW w:type="dxa" w:w="2000"/>
            <w:tcBorders>
              <w:top w:val="single" w:color="CCCCCC" w:sz="1"/>
              <w:left w:val="single" w:color="CCCCCC" w:sz="1"/>
              <w:bottom w:val="single" w:color="CCCCCC" w:sz="1"/>
              <w:right w:val="single" w:color="CCCCCC" w:sz="1"/>
            </w:tcBorders>
            <w:shd w:fill="5B5B5B" w:val="clear"/>
            <w:tcMar>
              <w:top w:type="dxa" w:w="100"/>
              <w:left w:type="dxa" w:w="150"/>
              <w:bottom w:type="dxa" w:w="100"/>
              <w:right w:type="dxa" w:w="150"/>
            </w:tcMar>
            <w:vAlign w:val="center"/>
          </w:tcPr>
          <w:p>
            <w:r>
              <w:rPr>
                <w:rFonts w:ascii="Arial" w:cs="Arial" w:eastAsia="Arial" w:hAnsi="Arial"/>
                <w:b/>
                <w:bCs/>
                <w:color w:val="FFFFFF"/>
                <w:sz w:val="18"/>
                <w:szCs w:val="18"/>
              </w:rPr>
              <w:t xml:space="preserve">📋  EVIDENCIA</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0"/>
                <w:szCs w:val="20"/>
              </w:rPr>
              <w:t xml:space="preserve">Paper original BETO (Cañete et al., 2019): entrenamiento sobre Wikipedia ES y OpenSubtitles. Ninguno contiene jerga jurídica colombiana ni lenguaje administrativo institucional. La distancia de distribución entre corpus de entrenamiento y texto de URAB es alta.</w:t>
            </w:r>
          </w:p>
        </w:tc>
      </w:tr>
      <w:tr>
        <w:tc>
          <w:tcPr>
            <w:tcW w:type="dxa" w:w="2000"/>
            <w:tcBorders>
              <w:top w:val="single" w:color="CCCCCC" w:sz="1"/>
              <w:left w:val="single" w:color="CCCCCC" w:sz="1"/>
              <w:bottom w:val="single" w:color="CCCCCC" w:sz="1"/>
              <w:right w:val="single" w:color="CCCCCC" w:sz="1"/>
            </w:tcBorders>
            <w:shd w:fill="843C0C" w:val="clear"/>
            <w:tcMar>
              <w:top w:type="dxa" w:w="100"/>
              <w:left w:type="dxa" w:w="150"/>
              <w:bottom w:type="dxa" w:w="100"/>
              <w:right w:type="dxa" w:w="150"/>
            </w:tcMar>
            <w:vAlign w:val="center"/>
          </w:tcPr>
          <w:p>
            <w:r>
              <w:rPr>
                <w:rFonts w:ascii="Arial" w:cs="Arial" w:eastAsia="Arial" w:hAnsi="Arial"/>
                <w:b/>
                <w:bCs/>
                <w:color w:val="FFFFFF"/>
                <w:sz w:val="18"/>
                <w:szCs w:val="18"/>
              </w:rPr>
              <w:t xml:space="preserve">⚡  IMPACTO</w:t>
            </w:r>
          </w:p>
        </w:tc>
        <w:tc>
          <w:tcPr>
            <w:tcW w:type="dxa" w:w="73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rFonts w:ascii="Arial" w:cs="Arial" w:eastAsia="Arial" w:hAnsi="Arial"/>
                <w:sz w:val="20"/>
                <w:szCs w:val="20"/>
              </w:rPr>
              <w:t xml:space="preserve">Clasificaciones erróneas en M1 (NER) y M2 (triage) para peticiones con lenguaje informal, regionalismos o terminología institucional específica. Urgentes pueden quedar mal etiquetados.</w:t>
            </w:r>
          </w:p>
        </w:tc>
      </w:tr>
      <w:tr>
        <w:tc>
          <w:tcPr>
            <w:tcW w:type="dxa" w:w="2000"/>
            <w:tcBorders>
              <w:top w:val="single" w:color="CCCCCC" w:sz="1"/>
              <w:left w:val="single" w:color="CCCCCC" w:sz="1"/>
              <w:bottom w:val="single" w:color="CCCCCC" w:sz="1"/>
              <w:right w:val="single" w:color="CCCCCC" w:sz="1"/>
            </w:tcBorders>
            <w:shd w:fill="2D6A2D" w:val="clear"/>
            <w:tcMar>
              <w:top w:type="dxa" w:w="100"/>
              <w:left w:type="dxa" w:w="150"/>
              <w:bottom w:type="dxa" w:w="100"/>
              <w:right w:type="dxa" w:w="150"/>
            </w:tcMar>
            <w:vAlign w:val="center"/>
          </w:tcPr>
          <w:p>
            <w:r>
              <w:rPr>
                <w:rFonts w:ascii="Arial" w:cs="Arial" w:eastAsia="Arial" w:hAnsi="Arial"/>
                <w:b/>
                <w:bCs/>
                <w:color w:val="FFFFFF"/>
                <w:sz w:val="18"/>
                <w:szCs w:val="18"/>
              </w:rPr>
              <w:t xml:space="preserve">✅  RESOLUCIÓN</w:t>
            </w:r>
          </w:p>
        </w:tc>
        <w:tc>
          <w:tcPr>
            <w:tcW w:type="dxa" w:w="7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Arial" w:cs="Arial" w:eastAsia="Arial" w:hAnsi="Arial"/>
                <w:sz w:val="20"/>
                <w:szCs w:val="20"/>
              </w:rPr>
              <w:t xml:space="preserve">Claude API fue entrenado con corpus multilingüe que incluye documentos legales latinoamericanos, lenguaje institucional colombiano y lenguaje coloquial. No requiere fine-tuning para el dominio.</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C55A11" w:val="clear"/>
            <w:tcMar>
              <w:top w:type="dxa" w:w="120"/>
              <w:left w:type="dxa" w:w="150"/>
              <w:bottom w:type="dxa" w:w="120"/>
              <w:right w:type="dxa" w:w="150"/>
            </w:tcMar>
          </w:tcPr>
          <w:p>
            <w:r>
              <w:rPr>
                <w:rFonts w:ascii="Arial" w:cs="Arial" w:eastAsia="Arial" w:hAnsi="Arial"/>
                <w:b/>
                <w:bCs/>
                <w:color w:val="FFFFFF"/>
                <w:sz w:val="22"/>
                <w:szCs w:val="22"/>
              </w:rPr>
              <w:t xml:space="preserve">VT2  </w:t>
            </w:r>
            <w:r>
              <w:rPr>
                <w:rFonts w:ascii="Arial" w:cs="Arial" w:eastAsia="Arial" w:hAnsi="Arial"/>
                <w:b/>
                <w:bCs/>
                <w:color w:val="FFFFFF"/>
                <w:sz w:val="22"/>
                <w:szCs w:val="22"/>
              </w:rPr>
              <w:t xml:space="preserve">Desajuste de corpus — RoBERTa-lex</w:t>
            </w:r>
          </w:p>
        </w:tc>
      </w:tr>
      <w:tr>
        <w:tc>
          <w:tcPr>
            <w:tcW w:type="dxa" w:w="2000"/>
            <w:tcBorders>
              <w:top w:val="single" w:color="CCCCCC" w:sz="1"/>
              <w:left w:val="single" w:color="CCCCCC" w:sz="1"/>
              <w:bottom w:val="single" w:color="CCCCCC" w:sz="1"/>
              <w:right w:val="single" w:color="CCCCCC" w:sz="1"/>
            </w:tcBorders>
            <w:shd w:fill="8B1A1A" w:val="clear"/>
            <w:tcMar>
              <w:top w:type="dxa" w:w="100"/>
              <w:left w:type="dxa" w:w="150"/>
              <w:bottom w:type="dxa" w:w="100"/>
              <w:right w:type="dxa" w:w="150"/>
            </w:tcMar>
            <w:vAlign w:val="center"/>
          </w:tcPr>
          <w:p>
            <w:r>
              <w:rPr>
                <w:rFonts w:ascii="Arial" w:cs="Arial" w:eastAsia="Arial" w:hAnsi="Arial"/>
                <w:b/>
                <w:bCs/>
                <w:color w:val="FFFFFF"/>
                <w:sz w:val="18"/>
                <w:szCs w:val="18"/>
              </w:rPr>
              <w:t xml:space="preserve">🎯  ATAQUE</w:t>
            </w:r>
          </w:p>
        </w:tc>
        <w:tc>
          <w:tcPr>
            <w:tcW w:type="dxa" w:w="73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sz w:val="20"/>
                <w:szCs w:val="20"/>
              </w:rPr>
              <w:t xml:space="preserve">RoBERTa-lex fue entrenado sobre corpus jurídico ibérico (España). La Defensoría del Pueblo no existe en el sistema español, 'tutela' tiene significado distinto, y la Corte Constitucional colombiana es inexistente en ese corpus.</w:t>
            </w:r>
          </w:p>
        </w:tc>
      </w:tr>
      <w:tr>
        <w:tc>
          <w:tcPr>
            <w:tcW w:type="dxa" w:w="2000"/>
            <w:tcBorders>
              <w:top w:val="single" w:color="CCCCCC" w:sz="1"/>
              <w:left w:val="single" w:color="CCCCCC" w:sz="1"/>
              <w:bottom w:val="single" w:color="CCCCCC" w:sz="1"/>
              <w:right w:val="single" w:color="CCCCCC" w:sz="1"/>
            </w:tcBorders>
            <w:shd w:fill="5B5B5B" w:val="clear"/>
            <w:tcMar>
              <w:top w:type="dxa" w:w="100"/>
              <w:left w:type="dxa" w:w="150"/>
              <w:bottom w:type="dxa" w:w="100"/>
              <w:right w:type="dxa" w:w="150"/>
            </w:tcMar>
            <w:vAlign w:val="center"/>
          </w:tcPr>
          <w:p>
            <w:r>
              <w:rPr>
                <w:rFonts w:ascii="Arial" w:cs="Arial" w:eastAsia="Arial" w:hAnsi="Arial"/>
                <w:b/>
                <w:bCs/>
                <w:color w:val="FFFFFF"/>
                <w:sz w:val="18"/>
                <w:szCs w:val="18"/>
              </w:rPr>
              <w:t xml:space="preserve">📋  EVIDENCIA</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0"/>
                <w:szCs w:val="20"/>
              </w:rPr>
              <w:t xml:space="preserve">Repositorio HuggingFace de RoBERTa-lex: corpus BOE (Boletín Oficial del Estado español) y jurisprudencia del Tribunal Supremo de España. No incluye jurisprudencia de la Corte Constitucional colombiana ni del Consejo de Estado.</w:t>
            </w:r>
          </w:p>
        </w:tc>
      </w:tr>
      <w:tr>
        <w:tc>
          <w:tcPr>
            <w:tcW w:type="dxa" w:w="2000"/>
            <w:tcBorders>
              <w:top w:val="single" w:color="CCCCCC" w:sz="1"/>
              <w:left w:val="single" w:color="CCCCCC" w:sz="1"/>
              <w:bottom w:val="single" w:color="CCCCCC" w:sz="1"/>
              <w:right w:val="single" w:color="CCCCCC" w:sz="1"/>
            </w:tcBorders>
            <w:shd w:fill="843C0C" w:val="clear"/>
            <w:tcMar>
              <w:top w:type="dxa" w:w="100"/>
              <w:left w:type="dxa" w:w="150"/>
              <w:bottom w:type="dxa" w:w="100"/>
              <w:right w:type="dxa" w:w="150"/>
            </w:tcMar>
            <w:vAlign w:val="center"/>
          </w:tcPr>
          <w:p>
            <w:r>
              <w:rPr>
                <w:rFonts w:ascii="Arial" w:cs="Arial" w:eastAsia="Arial" w:hAnsi="Arial"/>
                <w:b/>
                <w:bCs/>
                <w:color w:val="FFFFFF"/>
                <w:sz w:val="18"/>
                <w:szCs w:val="18"/>
              </w:rPr>
              <w:t xml:space="preserve">⚡  IMPACTO</w:t>
            </w:r>
          </w:p>
        </w:tc>
        <w:tc>
          <w:tcPr>
            <w:tcW w:type="dxa" w:w="73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rFonts w:ascii="Arial" w:cs="Arial" w:eastAsia="Arial" w:hAnsi="Arial"/>
                <w:sz w:val="20"/>
                <w:szCs w:val="20"/>
              </w:rPr>
              <w:t xml:space="preserve">Las categorías de urgencia y temática en M2 pueden estar sesgadas hacia categorías jurídicas españolas inexistentes en el contexto colombiano, generando confusión en la taxonomía del sistema.</w:t>
            </w:r>
          </w:p>
        </w:tc>
      </w:tr>
      <w:tr>
        <w:tc>
          <w:tcPr>
            <w:tcW w:type="dxa" w:w="2000"/>
            <w:tcBorders>
              <w:top w:val="single" w:color="CCCCCC" w:sz="1"/>
              <w:left w:val="single" w:color="CCCCCC" w:sz="1"/>
              <w:bottom w:val="single" w:color="CCCCCC" w:sz="1"/>
              <w:right w:val="single" w:color="CCCCCC" w:sz="1"/>
            </w:tcBorders>
            <w:shd w:fill="2D6A2D" w:val="clear"/>
            <w:tcMar>
              <w:top w:type="dxa" w:w="100"/>
              <w:left w:type="dxa" w:w="150"/>
              <w:bottom w:type="dxa" w:w="100"/>
              <w:right w:type="dxa" w:w="150"/>
            </w:tcMar>
            <w:vAlign w:val="center"/>
          </w:tcPr>
          <w:p>
            <w:r>
              <w:rPr>
                <w:rFonts w:ascii="Arial" w:cs="Arial" w:eastAsia="Arial" w:hAnsi="Arial"/>
                <w:b/>
                <w:bCs/>
                <w:color w:val="FFFFFF"/>
                <w:sz w:val="18"/>
                <w:szCs w:val="18"/>
              </w:rPr>
              <w:t xml:space="preserve">✅  RESOLUCIÓN</w:t>
            </w:r>
          </w:p>
        </w:tc>
        <w:tc>
          <w:tcPr>
            <w:tcW w:type="dxa" w:w="7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Arial" w:cs="Arial" w:eastAsia="Arial" w:hAnsi="Arial"/>
                <w:sz w:val="20"/>
                <w:szCs w:val="20"/>
              </w:rPr>
              <w:t xml:space="preserve">Claude API con RAG sobre corpus institucional propio razona sobre jurisprudencia colombiana real inyectada en contexto. No depende del corpus de entrenamiento para el conocimiento jurídico específico.</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C55A11" w:val="clear"/>
            <w:tcMar>
              <w:top w:type="dxa" w:w="120"/>
              <w:left w:type="dxa" w:w="150"/>
              <w:bottom w:type="dxa" w:w="120"/>
              <w:right w:type="dxa" w:w="150"/>
            </w:tcMar>
          </w:tcPr>
          <w:p>
            <w:r>
              <w:rPr>
                <w:rFonts w:ascii="Arial" w:cs="Arial" w:eastAsia="Arial" w:hAnsi="Arial"/>
                <w:b/>
                <w:bCs/>
                <w:color w:val="FFFFFF"/>
                <w:sz w:val="22"/>
                <w:szCs w:val="22"/>
              </w:rPr>
              <w:t xml:space="preserve">VT3  </w:t>
            </w:r>
            <w:r>
              <w:rPr>
                <w:rFonts w:ascii="Arial" w:cs="Arial" w:eastAsia="Arial" w:hAnsi="Arial"/>
                <w:b/>
                <w:bCs/>
                <w:color w:val="FFFFFF"/>
                <w:sz w:val="22"/>
                <w:szCs w:val="22"/>
              </w:rPr>
              <w:t xml:space="preserve">Degradación por deriva (model drift)</w:t>
            </w:r>
          </w:p>
        </w:tc>
      </w:tr>
      <w:tr>
        <w:tc>
          <w:tcPr>
            <w:tcW w:type="dxa" w:w="2000"/>
            <w:tcBorders>
              <w:top w:val="single" w:color="CCCCCC" w:sz="1"/>
              <w:left w:val="single" w:color="CCCCCC" w:sz="1"/>
              <w:bottom w:val="single" w:color="CCCCCC" w:sz="1"/>
              <w:right w:val="single" w:color="CCCCCC" w:sz="1"/>
            </w:tcBorders>
            <w:shd w:fill="8B1A1A" w:val="clear"/>
            <w:tcMar>
              <w:top w:type="dxa" w:w="100"/>
              <w:left w:type="dxa" w:w="150"/>
              <w:bottom w:type="dxa" w:w="100"/>
              <w:right w:type="dxa" w:w="150"/>
            </w:tcMar>
            <w:vAlign w:val="center"/>
          </w:tcPr>
          <w:p>
            <w:r>
              <w:rPr>
                <w:rFonts w:ascii="Arial" w:cs="Arial" w:eastAsia="Arial" w:hAnsi="Arial"/>
                <w:b/>
                <w:bCs/>
                <w:color w:val="FFFFFF"/>
                <w:sz w:val="18"/>
                <w:szCs w:val="18"/>
              </w:rPr>
              <w:t xml:space="preserve">🎯  ATAQUE</w:t>
            </w:r>
          </w:p>
        </w:tc>
        <w:tc>
          <w:tcPr>
            <w:tcW w:type="dxa" w:w="73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sz w:val="20"/>
                <w:szCs w:val="20"/>
              </w:rPr>
              <w:t xml:space="preserve">Los modelos fine-tuneados se degradan con el tiempo a medida que el lenguaje de las peticiones evoluciona: nuevas temáticas, nuevas normativas, cambios en el lenguaje institucional. Sin reentrenamiento periódico, la precisión cae progresivamente.</w:t>
            </w:r>
          </w:p>
        </w:tc>
      </w:tr>
      <w:tr>
        <w:tc>
          <w:tcPr>
            <w:tcW w:type="dxa" w:w="2000"/>
            <w:tcBorders>
              <w:top w:val="single" w:color="CCCCCC" w:sz="1"/>
              <w:left w:val="single" w:color="CCCCCC" w:sz="1"/>
              <w:bottom w:val="single" w:color="CCCCCC" w:sz="1"/>
              <w:right w:val="single" w:color="CCCCCC" w:sz="1"/>
            </w:tcBorders>
            <w:shd w:fill="5B5B5B" w:val="clear"/>
            <w:tcMar>
              <w:top w:type="dxa" w:w="100"/>
              <w:left w:type="dxa" w:w="150"/>
              <w:bottom w:type="dxa" w:w="100"/>
              <w:right w:type="dxa" w:w="150"/>
            </w:tcMar>
            <w:vAlign w:val="center"/>
          </w:tcPr>
          <w:p>
            <w:r>
              <w:rPr>
                <w:rFonts w:ascii="Arial" w:cs="Arial" w:eastAsia="Arial" w:hAnsi="Arial"/>
                <w:b/>
                <w:bCs/>
                <w:color w:val="FFFFFF"/>
                <w:sz w:val="18"/>
                <w:szCs w:val="18"/>
              </w:rPr>
              <w:t xml:space="preserve">📋  EVIDENCIA</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0"/>
                <w:szCs w:val="20"/>
              </w:rPr>
              <w:t xml:space="preserve">El RFP §4.6 exige evaluación periódica por deriva y canal de retroalimentación. La arquitectura on-premise requiere ciclos activos de reentrenamiento para cumplirlo.</w:t>
            </w:r>
          </w:p>
        </w:tc>
      </w:tr>
      <w:tr>
        <w:tc>
          <w:tcPr>
            <w:tcW w:type="dxa" w:w="2000"/>
            <w:tcBorders>
              <w:top w:val="single" w:color="CCCCCC" w:sz="1"/>
              <w:left w:val="single" w:color="CCCCCC" w:sz="1"/>
              <w:bottom w:val="single" w:color="CCCCCC" w:sz="1"/>
              <w:right w:val="single" w:color="CCCCCC" w:sz="1"/>
            </w:tcBorders>
            <w:shd w:fill="843C0C" w:val="clear"/>
            <w:tcMar>
              <w:top w:type="dxa" w:w="100"/>
              <w:left w:type="dxa" w:w="150"/>
              <w:bottom w:type="dxa" w:w="100"/>
              <w:right w:type="dxa" w:w="150"/>
            </w:tcMar>
            <w:vAlign w:val="center"/>
          </w:tcPr>
          <w:p>
            <w:r>
              <w:rPr>
                <w:rFonts w:ascii="Arial" w:cs="Arial" w:eastAsia="Arial" w:hAnsi="Arial"/>
                <w:b/>
                <w:bCs/>
                <w:color w:val="FFFFFF"/>
                <w:sz w:val="18"/>
                <w:szCs w:val="18"/>
              </w:rPr>
              <w:t xml:space="preserve">⚡  IMPACTO</w:t>
            </w:r>
          </w:p>
        </w:tc>
        <w:tc>
          <w:tcPr>
            <w:tcW w:type="dxa" w:w="73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rFonts w:ascii="Arial" w:cs="Arial" w:eastAsia="Arial" w:hAnsi="Arial"/>
                <w:sz w:val="20"/>
                <w:szCs w:val="20"/>
              </w:rPr>
              <w:t xml:space="preserve">La Defensoría no cuenta con equipo MLOps permanente. El drift no detectado genera fallos silenciosos de clasificación: el sistema sigue operando con precisión decreciente, afectando los urgentes sin generar alertas.</w:t>
            </w:r>
          </w:p>
        </w:tc>
      </w:tr>
      <w:tr>
        <w:tc>
          <w:tcPr>
            <w:tcW w:type="dxa" w:w="2000"/>
            <w:tcBorders>
              <w:top w:val="single" w:color="CCCCCC" w:sz="1"/>
              <w:left w:val="single" w:color="CCCCCC" w:sz="1"/>
              <w:bottom w:val="single" w:color="CCCCCC" w:sz="1"/>
              <w:right w:val="single" w:color="CCCCCC" w:sz="1"/>
            </w:tcBorders>
            <w:shd w:fill="2D6A2D" w:val="clear"/>
            <w:tcMar>
              <w:top w:type="dxa" w:w="100"/>
              <w:left w:type="dxa" w:w="150"/>
              <w:bottom w:type="dxa" w:w="100"/>
              <w:right w:type="dxa" w:w="150"/>
            </w:tcMar>
            <w:vAlign w:val="center"/>
          </w:tcPr>
          <w:p>
            <w:r>
              <w:rPr>
                <w:rFonts w:ascii="Arial" w:cs="Arial" w:eastAsia="Arial" w:hAnsi="Arial"/>
                <w:b/>
                <w:bCs/>
                <w:color w:val="FFFFFF"/>
                <w:sz w:val="18"/>
                <w:szCs w:val="18"/>
              </w:rPr>
              <w:t xml:space="preserve">✅  RESOLUCIÓN</w:t>
            </w:r>
          </w:p>
        </w:tc>
        <w:tc>
          <w:tcPr>
            <w:tcW w:type="dxa" w:w="7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Arial" w:cs="Arial" w:eastAsia="Arial" w:hAnsi="Arial"/>
                <w:sz w:val="20"/>
                <w:szCs w:val="20"/>
              </w:rPr>
              <w:t xml:space="preserve">Claude API se actualiza continuamente por Anthropic. El canal de retroalimentación opera vía HITL sin ciclos de reentrenamiento a cargo de la URAB.</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C55A11" w:val="clear"/>
            <w:tcMar>
              <w:top w:type="dxa" w:w="120"/>
              <w:left w:type="dxa" w:w="150"/>
              <w:bottom w:type="dxa" w:w="120"/>
              <w:right w:type="dxa" w:w="150"/>
            </w:tcMar>
          </w:tcPr>
          <w:p>
            <w:r>
              <w:rPr>
                <w:rFonts w:ascii="Arial" w:cs="Arial" w:eastAsia="Arial" w:hAnsi="Arial"/>
                <w:b/>
                <w:bCs/>
                <w:color w:val="FFFFFF"/>
                <w:sz w:val="22"/>
                <w:szCs w:val="22"/>
              </w:rPr>
              <w:t xml:space="preserve">VT4  </w:t>
            </w:r>
            <w:r>
              <w:rPr>
                <w:rFonts w:ascii="Arial" w:cs="Arial" w:eastAsia="Arial" w:hAnsi="Arial"/>
                <w:b/>
                <w:bCs/>
                <w:color w:val="FFFFFF"/>
                <w:sz w:val="22"/>
                <w:szCs w:val="22"/>
              </w:rPr>
              <w:t xml:space="preserve">Incompatibilidad de espacios de embeddings</w:t>
            </w:r>
          </w:p>
        </w:tc>
      </w:tr>
      <w:tr>
        <w:tc>
          <w:tcPr>
            <w:tcW w:type="dxa" w:w="2000"/>
            <w:tcBorders>
              <w:top w:val="single" w:color="CCCCCC" w:sz="1"/>
              <w:left w:val="single" w:color="CCCCCC" w:sz="1"/>
              <w:bottom w:val="single" w:color="CCCCCC" w:sz="1"/>
              <w:right w:val="single" w:color="CCCCCC" w:sz="1"/>
            </w:tcBorders>
            <w:shd w:fill="8B1A1A" w:val="clear"/>
            <w:tcMar>
              <w:top w:type="dxa" w:w="100"/>
              <w:left w:type="dxa" w:w="150"/>
              <w:bottom w:type="dxa" w:w="100"/>
              <w:right w:type="dxa" w:w="150"/>
            </w:tcMar>
            <w:vAlign w:val="center"/>
          </w:tcPr>
          <w:p>
            <w:r>
              <w:rPr>
                <w:rFonts w:ascii="Arial" w:cs="Arial" w:eastAsia="Arial" w:hAnsi="Arial"/>
                <w:b/>
                <w:bCs/>
                <w:color w:val="FFFFFF"/>
                <w:sz w:val="18"/>
                <w:szCs w:val="18"/>
              </w:rPr>
              <w:t xml:space="preserve">🎯  ATAQUE</w:t>
            </w:r>
          </w:p>
        </w:tc>
        <w:tc>
          <w:tcPr>
            <w:tcW w:type="dxa" w:w="73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sz w:val="20"/>
                <w:szCs w:val="20"/>
              </w:rPr>
              <w:t xml:space="preserve">BETO y Claude API generan embeddings en espacios vectoriales distintos e incompatibles. Cuando M2 pasa su clasificación a M6, no hay puente semántico: Claude no accede a la representación interna con la que BETO procesó el texto.</w:t>
            </w:r>
          </w:p>
        </w:tc>
      </w:tr>
      <w:tr>
        <w:tc>
          <w:tcPr>
            <w:tcW w:type="dxa" w:w="2000"/>
            <w:tcBorders>
              <w:top w:val="single" w:color="CCCCCC" w:sz="1"/>
              <w:left w:val="single" w:color="CCCCCC" w:sz="1"/>
              <w:bottom w:val="single" w:color="CCCCCC" w:sz="1"/>
              <w:right w:val="single" w:color="CCCCCC" w:sz="1"/>
            </w:tcBorders>
            <w:shd w:fill="5B5B5B" w:val="clear"/>
            <w:tcMar>
              <w:top w:type="dxa" w:w="100"/>
              <w:left w:type="dxa" w:w="150"/>
              <w:bottom w:type="dxa" w:w="100"/>
              <w:right w:type="dxa" w:w="150"/>
            </w:tcMar>
            <w:vAlign w:val="center"/>
          </w:tcPr>
          <w:p>
            <w:r>
              <w:rPr>
                <w:rFonts w:ascii="Arial" w:cs="Arial" w:eastAsia="Arial" w:hAnsi="Arial"/>
                <w:b/>
                <w:bCs/>
                <w:color w:val="FFFFFF"/>
                <w:sz w:val="18"/>
                <w:szCs w:val="18"/>
              </w:rPr>
              <w:t xml:space="preserve">📋  EVIDENCIA</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0"/>
                <w:szCs w:val="20"/>
              </w:rPr>
              <w:t xml:space="preserve">Es matemáticamente imposible proyectar embeddings de BETO al espacio de Claude sin una capa de traducción entrenada específicamente. Esto no está previsto en la arquitectura original.</w:t>
            </w:r>
          </w:p>
        </w:tc>
      </w:tr>
      <w:tr>
        <w:tc>
          <w:tcPr>
            <w:tcW w:type="dxa" w:w="2000"/>
            <w:tcBorders>
              <w:top w:val="single" w:color="CCCCCC" w:sz="1"/>
              <w:left w:val="single" w:color="CCCCCC" w:sz="1"/>
              <w:bottom w:val="single" w:color="CCCCCC" w:sz="1"/>
              <w:right w:val="single" w:color="CCCCCC" w:sz="1"/>
            </w:tcBorders>
            <w:shd w:fill="843C0C" w:val="clear"/>
            <w:tcMar>
              <w:top w:type="dxa" w:w="100"/>
              <w:left w:type="dxa" w:w="150"/>
              <w:bottom w:type="dxa" w:w="100"/>
              <w:right w:type="dxa" w:w="150"/>
            </w:tcMar>
            <w:vAlign w:val="center"/>
          </w:tcPr>
          <w:p>
            <w:r>
              <w:rPr>
                <w:rFonts w:ascii="Arial" w:cs="Arial" w:eastAsia="Arial" w:hAnsi="Arial"/>
                <w:b/>
                <w:bCs/>
                <w:color w:val="FFFFFF"/>
                <w:sz w:val="18"/>
                <w:szCs w:val="18"/>
              </w:rPr>
              <w:t xml:space="preserve">⚡  IMPACTO</w:t>
            </w:r>
          </w:p>
        </w:tc>
        <w:tc>
          <w:tcPr>
            <w:tcW w:type="dxa" w:w="73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rFonts w:ascii="Arial" w:cs="Arial" w:eastAsia="Arial" w:hAnsi="Arial"/>
                <w:sz w:val="20"/>
                <w:szCs w:val="20"/>
              </w:rPr>
              <w:t xml:space="preserve">Claude en M6 recibe solo el output de M2 (etiqueta + campos extraídos), no la comprensión semántica completa. El borrador generado puede ser correcto para la etiqueta pero inconsistente con el texto original.</w:t>
            </w:r>
          </w:p>
        </w:tc>
      </w:tr>
      <w:tr>
        <w:tc>
          <w:tcPr>
            <w:tcW w:type="dxa" w:w="2000"/>
            <w:tcBorders>
              <w:top w:val="single" w:color="CCCCCC" w:sz="1"/>
              <w:left w:val="single" w:color="CCCCCC" w:sz="1"/>
              <w:bottom w:val="single" w:color="CCCCCC" w:sz="1"/>
              <w:right w:val="single" w:color="CCCCCC" w:sz="1"/>
            </w:tcBorders>
            <w:shd w:fill="2D6A2D" w:val="clear"/>
            <w:tcMar>
              <w:top w:type="dxa" w:w="100"/>
              <w:left w:type="dxa" w:w="150"/>
              <w:bottom w:type="dxa" w:w="100"/>
              <w:right w:type="dxa" w:w="150"/>
            </w:tcMar>
            <w:vAlign w:val="center"/>
          </w:tcPr>
          <w:p>
            <w:r>
              <w:rPr>
                <w:rFonts w:ascii="Arial" w:cs="Arial" w:eastAsia="Arial" w:hAnsi="Arial"/>
                <w:b/>
                <w:bCs/>
                <w:color w:val="FFFFFF"/>
                <w:sz w:val="18"/>
                <w:szCs w:val="18"/>
              </w:rPr>
              <w:t xml:space="preserve">✅  RESOLUCIÓN</w:t>
            </w:r>
          </w:p>
        </w:tc>
        <w:tc>
          <w:tcPr>
            <w:tcW w:type="dxa" w:w="7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Arial" w:cs="Arial" w:eastAsia="Arial" w:hAnsi="Arial"/>
                <w:sz w:val="20"/>
                <w:szCs w:val="20"/>
              </w:rPr>
              <w:t xml:space="preserve">Con Claude API en todo el pipeline, el texto se procesa en un único espacio semántico de extremo a extremo. No hay pérdida de representación entre módulos.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C55A11" w:val="clear"/>
            <w:tcMar>
              <w:top w:type="dxa" w:w="120"/>
              <w:left w:type="dxa" w:w="150"/>
              <w:bottom w:type="dxa" w:w="120"/>
              <w:right w:type="dxa" w:w="150"/>
            </w:tcMar>
          </w:tcPr>
          <w:p>
            <w:r>
              <w:rPr>
                <w:rFonts w:ascii="Arial" w:cs="Arial" w:eastAsia="Arial" w:hAnsi="Arial"/>
                <w:b/>
                <w:bCs/>
                <w:color w:val="FFFFFF"/>
                <w:sz w:val="22"/>
                <w:szCs w:val="22"/>
              </w:rPr>
              <w:t xml:space="preserve">VT5  </w:t>
            </w:r>
            <w:r>
              <w:rPr>
                <w:rFonts w:ascii="Arial" w:cs="Arial" w:eastAsia="Arial" w:hAnsi="Arial"/>
                <w:b/>
                <w:bCs/>
                <w:color w:val="FFFFFF"/>
                <w:sz w:val="22"/>
                <w:szCs w:val="22"/>
              </w:rPr>
              <w:t xml:space="preserve">Validación distribuida incumple NIST MEASURE 2.5/2.6 e ISO §9.1</w:t>
            </w:r>
            <w:r>
              <w:rPr>
                <w:rFonts w:ascii="Arial" w:cs="Arial" w:eastAsia="Arial" w:hAnsi="Arial"/>
                <w:b w:val="false"/>
                <w:bCs w:val="false"/>
                <w:color w:val="FFE08A"/>
                <w:sz w:val="18"/>
                <w:szCs w:val="18"/>
              </w:rPr>
              <w:t xml:space="preserve">    [NIST MEASURE 2.5/2.6  |  ISO 42001 §9.1]</w:t>
            </w:r>
          </w:p>
        </w:tc>
      </w:tr>
      <w:tr>
        <w:tc>
          <w:tcPr>
            <w:tcW w:type="dxa" w:w="2000"/>
            <w:tcBorders>
              <w:top w:val="single" w:color="CCCCCC" w:sz="1"/>
              <w:left w:val="single" w:color="CCCCCC" w:sz="1"/>
              <w:bottom w:val="single" w:color="CCCCCC" w:sz="1"/>
              <w:right w:val="single" w:color="CCCCCC" w:sz="1"/>
            </w:tcBorders>
            <w:shd w:fill="8B1A1A" w:val="clear"/>
            <w:tcMar>
              <w:top w:type="dxa" w:w="100"/>
              <w:left w:type="dxa" w:w="150"/>
              <w:bottom w:type="dxa" w:w="100"/>
              <w:right w:type="dxa" w:w="150"/>
            </w:tcMar>
            <w:vAlign w:val="center"/>
          </w:tcPr>
          <w:p>
            <w:r>
              <w:rPr>
                <w:rFonts w:ascii="Arial" w:cs="Arial" w:eastAsia="Arial" w:hAnsi="Arial"/>
                <w:b/>
                <w:bCs/>
                <w:color w:val="FFFFFF"/>
                <w:sz w:val="18"/>
                <w:szCs w:val="18"/>
              </w:rPr>
              <w:t xml:space="preserve">🎯  ATAQUE</w:t>
            </w:r>
          </w:p>
        </w:tc>
        <w:tc>
          <w:tcPr>
            <w:tcW w:type="dxa" w:w="73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sz w:val="20"/>
                <w:szCs w:val="20"/>
              </w:rPr>
              <w:t xml:space="preserve">El NIST AI RMF (MEASURE 2.5 y 2.6) exige demostrar que el sistema es confiable y evaluarlo regularmente para su fiabilidad. La ISO/IEC 42001:2023 §9.1 requiere monitoreo, medición, análisis y evaluación continuos del sistema de gestión de IA. En la arquitectura split esto implica suites de validación separadas para BETO, RoBERTa y Claude API.</w:t>
            </w:r>
          </w:p>
        </w:tc>
      </w:tr>
      <w:tr>
        <w:tc>
          <w:tcPr>
            <w:tcW w:type="dxa" w:w="2000"/>
            <w:tcBorders>
              <w:top w:val="single" w:color="CCCCCC" w:sz="1"/>
              <w:left w:val="single" w:color="CCCCCC" w:sz="1"/>
              <w:bottom w:val="single" w:color="CCCCCC" w:sz="1"/>
              <w:right w:val="single" w:color="CCCCCC" w:sz="1"/>
            </w:tcBorders>
            <w:shd w:fill="5B5B5B" w:val="clear"/>
            <w:tcMar>
              <w:top w:type="dxa" w:w="100"/>
              <w:left w:type="dxa" w:w="150"/>
              <w:bottom w:type="dxa" w:w="100"/>
              <w:right w:type="dxa" w:w="150"/>
            </w:tcMar>
            <w:vAlign w:val="center"/>
          </w:tcPr>
          <w:p>
            <w:r>
              <w:rPr>
                <w:rFonts w:ascii="Arial" w:cs="Arial" w:eastAsia="Arial" w:hAnsi="Arial"/>
                <w:b/>
                <w:bCs/>
                <w:color w:val="FFFFFF"/>
                <w:sz w:val="18"/>
                <w:szCs w:val="18"/>
              </w:rPr>
              <w:t xml:space="preserve">📋  EVIDENCIA</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0"/>
                <w:szCs w:val="20"/>
              </w:rPr>
              <w:t xml:space="preserve">NIST AI RMF MEASURE 2.5: 'La confiabilidad del sistema de IA a desplegar se demuestra'. MEASURE 2.6: 'El sistema se evalúa regularmente para su trustworthiness'. ISO 42001 §9.1: 'La organización debe monitorear, medir, analizar y evaluar el desempeño del sistema de IA'. Ninguno de estos controles admite métricas fragmentadas entre modelos.</w:t>
            </w:r>
          </w:p>
        </w:tc>
      </w:tr>
      <w:tr>
        <w:tc>
          <w:tcPr>
            <w:tcW w:type="dxa" w:w="2000"/>
            <w:tcBorders>
              <w:top w:val="single" w:color="CCCCCC" w:sz="1"/>
              <w:left w:val="single" w:color="CCCCCC" w:sz="1"/>
              <w:bottom w:val="single" w:color="CCCCCC" w:sz="1"/>
              <w:right w:val="single" w:color="CCCCCC" w:sz="1"/>
            </w:tcBorders>
            <w:shd w:fill="843C0C" w:val="clear"/>
            <w:tcMar>
              <w:top w:type="dxa" w:w="100"/>
              <w:left w:type="dxa" w:w="150"/>
              <w:bottom w:type="dxa" w:w="100"/>
              <w:right w:type="dxa" w:w="150"/>
            </w:tcMar>
            <w:vAlign w:val="center"/>
          </w:tcPr>
          <w:p>
            <w:r>
              <w:rPr>
                <w:rFonts w:ascii="Arial" w:cs="Arial" w:eastAsia="Arial" w:hAnsi="Arial"/>
                <w:b/>
                <w:bCs/>
                <w:color w:val="FFFFFF"/>
                <w:sz w:val="18"/>
                <w:szCs w:val="18"/>
              </w:rPr>
              <w:t xml:space="preserve">⚡  IMPACTO</w:t>
            </w:r>
          </w:p>
        </w:tc>
        <w:tc>
          <w:tcPr>
            <w:tcW w:type="dxa" w:w="73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rFonts w:ascii="Arial" w:cs="Arial" w:eastAsia="Arial" w:hAnsi="Arial"/>
                <w:sz w:val="20"/>
                <w:szCs w:val="20"/>
              </w:rPr>
              <w:t xml:space="preserve">Tres suites de validación independientes generan métricas no comparables y un pipeline de CI/CD de validación 3x más complejo. El NIST exige métricas end-to-end del sistema, no solo por componente. El jurado puede preguntar: ¿cuál es la precisión del sistema? — no hay una sola respuesta.</w:t>
            </w:r>
          </w:p>
        </w:tc>
      </w:tr>
      <w:tr>
        <w:tc>
          <w:tcPr>
            <w:tcW w:type="dxa" w:w="2000"/>
            <w:tcBorders>
              <w:top w:val="single" w:color="CCCCCC" w:sz="1"/>
              <w:left w:val="single" w:color="CCCCCC" w:sz="1"/>
              <w:bottom w:val="single" w:color="CCCCCC" w:sz="1"/>
              <w:right w:val="single" w:color="CCCCCC" w:sz="1"/>
            </w:tcBorders>
            <w:shd w:fill="2D6A2D" w:val="clear"/>
            <w:tcMar>
              <w:top w:type="dxa" w:w="100"/>
              <w:left w:type="dxa" w:w="150"/>
              <w:bottom w:type="dxa" w:w="100"/>
              <w:right w:type="dxa" w:w="150"/>
            </w:tcMar>
            <w:vAlign w:val="center"/>
          </w:tcPr>
          <w:p>
            <w:r>
              <w:rPr>
                <w:rFonts w:ascii="Arial" w:cs="Arial" w:eastAsia="Arial" w:hAnsi="Arial"/>
                <w:b/>
                <w:bCs/>
                <w:color w:val="FFFFFF"/>
                <w:sz w:val="18"/>
                <w:szCs w:val="18"/>
              </w:rPr>
              <w:t xml:space="preserve">✅  RESOLUCIÓN</w:t>
            </w:r>
          </w:p>
        </w:tc>
        <w:tc>
          <w:tcPr>
            <w:tcW w:type="dxa" w:w="7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Arial" w:cs="Arial" w:eastAsia="Arial" w:hAnsi="Arial"/>
                <w:sz w:val="20"/>
                <w:szCs w:val="20"/>
              </w:rPr>
              <w:t xml:space="preserve">Con Claude API unificado, existe una única suite de validación con métricas end-to-end. El cumplimiento de NIST MEASURE 2.5/2.6 e ISO §9.1 se demuestra con un solo conjunto de indicadores auditables.</w:t>
            </w:r>
          </w:p>
        </w:tc>
      </w:tr>
    </w:tbl>
    <w:p>
      <w:pPr>
        <w:spacing w:after="0" w:before="200"/>
      </w:pPr>
    </w:p>
    <w:p>
      <w:r>
        <w:br w:type="page"/>
      </w:r>
    </w:p>
    <w:p>
      <w:pPr>
        <w:pStyle w:val="Heading1"/>
        <w:spacing w:after="200" w:before="400"/>
      </w:pPr>
      <w:r>
        <w:rPr>
          <w:rFonts w:ascii="Arial" w:cs="Arial" w:eastAsia="Arial" w:hAnsi="Arial"/>
          <w:b/>
          <w:bCs/>
          <w:color w:val="1F4E79"/>
          <w:sz w:val="32"/>
          <w:szCs w:val="32"/>
        </w:rPr>
        <w:t xml:space="preserve">Capítulo 2 — Vulnerabilidades Operativas</w:t>
      </w:r>
    </w:p>
    <w:p>
      <w:pPr>
        <w:pStyle w:val="Heading2"/>
        <w:pBdr>
          <w:bottom w:val="single" w:color="1F4E79" w:sz="4" w:space="4"/>
        </w:pBdr>
        <w:spacing w:after="150" w:before="300"/>
      </w:pPr>
      <w:r>
        <w:rPr>
          <w:rFonts w:ascii="Arial" w:cs="Arial" w:eastAsia="Arial" w:hAnsi="Arial"/>
          <w:b/>
          <w:bCs/>
          <w:color w:val="1F4E79"/>
          <w:sz w:val="26"/>
          <w:szCs w:val="26"/>
        </w:rPr>
        <w:t xml:space="preserve">Infraestructura, mantenimiento, versionamiento y gestión de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color w:val="1F4E79"/>
                <w:sz w:val="20"/>
                <w:szCs w:val="20"/>
              </w:rPr>
              <w:t xml:space="preserve">Este capítulo evalúa si la URAB tiene capacidad operativa para sostener la arquitectura split, incorporando los requisitos de NIST GOVERN y la cláusula de gestión de riesgos de ISO/IEC 42001:2023.</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C55A11" w:val="clear"/>
            <w:tcMar>
              <w:top w:type="dxa" w:w="120"/>
              <w:left w:type="dxa" w:w="150"/>
              <w:bottom w:type="dxa" w:w="120"/>
              <w:right w:type="dxa" w:w="150"/>
            </w:tcMar>
          </w:tcPr>
          <w:p>
            <w:r>
              <w:rPr>
                <w:rFonts w:ascii="Arial" w:cs="Arial" w:eastAsia="Arial" w:hAnsi="Arial"/>
                <w:b/>
                <w:bCs/>
                <w:color w:val="FFFFFF"/>
                <w:sz w:val="22"/>
                <w:szCs w:val="22"/>
              </w:rPr>
              <w:t xml:space="preserve">VO1  </w:t>
            </w:r>
            <w:r>
              <w:rPr>
                <w:rFonts w:ascii="Arial" w:cs="Arial" w:eastAsia="Arial" w:hAnsi="Arial"/>
                <w:b/>
                <w:bCs/>
                <w:color w:val="FFFFFF"/>
                <w:sz w:val="22"/>
                <w:szCs w:val="22"/>
              </w:rPr>
              <w:t xml:space="preserve">Infraestructura GPU — CAPEX desproporcionado</w:t>
            </w:r>
          </w:p>
        </w:tc>
      </w:tr>
      <w:tr>
        <w:tc>
          <w:tcPr>
            <w:tcW w:type="dxa" w:w="2000"/>
            <w:tcBorders>
              <w:top w:val="single" w:color="CCCCCC" w:sz="1"/>
              <w:left w:val="single" w:color="CCCCCC" w:sz="1"/>
              <w:bottom w:val="single" w:color="CCCCCC" w:sz="1"/>
              <w:right w:val="single" w:color="CCCCCC" w:sz="1"/>
            </w:tcBorders>
            <w:shd w:fill="8B1A1A" w:val="clear"/>
            <w:tcMar>
              <w:top w:type="dxa" w:w="100"/>
              <w:left w:type="dxa" w:w="150"/>
              <w:bottom w:type="dxa" w:w="100"/>
              <w:right w:type="dxa" w:w="150"/>
            </w:tcMar>
            <w:vAlign w:val="center"/>
          </w:tcPr>
          <w:p>
            <w:r>
              <w:rPr>
                <w:rFonts w:ascii="Arial" w:cs="Arial" w:eastAsia="Arial" w:hAnsi="Arial"/>
                <w:b/>
                <w:bCs/>
                <w:color w:val="FFFFFF"/>
                <w:sz w:val="18"/>
                <w:szCs w:val="18"/>
              </w:rPr>
              <w:t xml:space="preserve">🎯  ATAQUE</w:t>
            </w:r>
          </w:p>
        </w:tc>
        <w:tc>
          <w:tcPr>
            <w:tcW w:type="dxa" w:w="73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sz w:val="20"/>
                <w:szCs w:val="20"/>
              </w:rPr>
              <w:t xml:space="preserve">El fine-tuning y la inferencia eficiente de BETO/RoBERTa requieren GPUs dedicadas (mínimo NVIDIA A10/A100). Para una entidad pública con presupuesto TI limitado, este CAPEX es difícil de justificar ante el jurado cuando existen alternativas API.</w:t>
            </w:r>
          </w:p>
        </w:tc>
      </w:tr>
      <w:tr>
        <w:tc>
          <w:tcPr>
            <w:tcW w:type="dxa" w:w="2000"/>
            <w:tcBorders>
              <w:top w:val="single" w:color="CCCCCC" w:sz="1"/>
              <w:left w:val="single" w:color="CCCCCC" w:sz="1"/>
              <w:bottom w:val="single" w:color="CCCCCC" w:sz="1"/>
              <w:right w:val="single" w:color="CCCCCC" w:sz="1"/>
            </w:tcBorders>
            <w:shd w:fill="5B5B5B" w:val="clear"/>
            <w:tcMar>
              <w:top w:type="dxa" w:w="100"/>
              <w:left w:type="dxa" w:w="150"/>
              <w:bottom w:type="dxa" w:w="100"/>
              <w:right w:type="dxa" w:w="150"/>
            </w:tcMar>
            <w:vAlign w:val="center"/>
          </w:tcPr>
          <w:p>
            <w:r>
              <w:rPr>
                <w:rFonts w:ascii="Arial" w:cs="Arial" w:eastAsia="Arial" w:hAnsi="Arial"/>
                <w:b/>
                <w:bCs/>
                <w:color w:val="FFFFFF"/>
                <w:sz w:val="18"/>
                <w:szCs w:val="18"/>
              </w:rPr>
              <w:t xml:space="preserve">📋  EVIDENCIA</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0"/>
                <w:szCs w:val="20"/>
              </w:rPr>
              <w:t xml:space="preserve">BETO con fine-tuning requiere ~16GB VRAM para entrenamiento y ~4GB para inferencia. A 300 peticiones/día con SLA de triage &lt;2h, la inferencia debe ser en tiempo real con GPU disponible 24/7.</w:t>
            </w:r>
          </w:p>
        </w:tc>
      </w:tr>
      <w:tr>
        <w:tc>
          <w:tcPr>
            <w:tcW w:type="dxa" w:w="2000"/>
            <w:tcBorders>
              <w:top w:val="single" w:color="CCCCCC" w:sz="1"/>
              <w:left w:val="single" w:color="CCCCCC" w:sz="1"/>
              <w:bottom w:val="single" w:color="CCCCCC" w:sz="1"/>
              <w:right w:val="single" w:color="CCCCCC" w:sz="1"/>
            </w:tcBorders>
            <w:shd w:fill="843C0C" w:val="clear"/>
            <w:tcMar>
              <w:top w:type="dxa" w:w="100"/>
              <w:left w:type="dxa" w:w="150"/>
              <w:bottom w:type="dxa" w:w="100"/>
              <w:right w:type="dxa" w:w="150"/>
            </w:tcMar>
            <w:vAlign w:val="center"/>
          </w:tcPr>
          <w:p>
            <w:r>
              <w:rPr>
                <w:rFonts w:ascii="Arial" w:cs="Arial" w:eastAsia="Arial" w:hAnsi="Arial"/>
                <w:b/>
                <w:bCs/>
                <w:color w:val="FFFFFF"/>
                <w:sz w:val="18"/>
                <w:szCs w:val="18"/>
              </w:rPr>
              <w:t xml:space="preserve">⚡  IMPACTO</w:t>
            </w:r>
          </w:p>
        </w:tc>
        <w:tc>
          <w:tcPr>
            <w:tcW w:type="dxa" w:w="73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rFonts w:ascii="Arial" w:cs="Arial" w:eastAsia="Arial" w:hAnsi="Arial"/>
                <w:sz w:val="20"/>
                <w:szCs w:val="20"/>
              </w:rPr>
              <w:t xml:space="preserve">El costo de infraestructura GPU on-premise compite directamente con el costo de la API. En el modelo de costos a 3 años (RFP §7.2), el CAPEX + OPEX de GPU puede superar el costo total de la API.</w:t>
            </w:r>
          </w:p>
        </w:tc>
      </w:tr>
      <w:tr>
        <w:tc>
          <w:tcPr>
            <w:tcW w:type="dxa" w:w="2000"/>
            <w:tcBorders>
              <w:top w:val="single" w:color="CCCCCC" w:sz="1"/>
              <w:left w:val="single" w:color="CCCCCC" w:sz="1"/>
              <w:bottom w:val="single" w:color="CCCCCC" w:sz="1"/>
              <w:right w:val="single" w:color="CCCCCC" w:sz="1"/>
            </w:tcBorders>
            <w:shd w:fill="2D6A2D" w:val="clear"/>
            <w:tcMar>
              <w:top w:type="dxa" w:w="100"/>
              <w:left w:type="dxa" w:w="150"/>
              <w:bottom w:type="dxa" w:w="100"/>
              <w:right w:type="dxa" w:w="150"/>
            </w:tcMar>
            <w:vAlign w:val="center"/>
          </w:tcPr>
          <w:p>
            <w:r>
              <w:rPr>
                <w:rFonts w:ascii="Arial" w:cs="Arial" w:eastAsia="Arial" w:hAnsi="Arial"/>
                <w:b/>
                <w:bCs/>
                <w:color w:val="FFFFFF"/>
                <w:sz w:val="18"/>
                <w:szCs w:val="18"/>
              </w:rPr>
              <w:t xml:space="preserve">✅  RESOLUCIÓN</w:t>
            </w:r>
          </w:p>
        </w:tc>
        <w:tc>
          <w:tcPr>
            <w:tcW w:type="dxa" w:w="7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Arial" w:cs="Arial" w:eastAsia="Arial" w:hAnsi="Arial"/>
                <w:sz w:val="20"/>
                <w:szCs w:val="20"/>
              </w:rPr>
              <w:t xml:space="preserve">Claude API elimina el CAPEX de GPU. Costo variable por token, predecible y calculable. Para 300 peticiones/día con prompts de ~2,000 tokens, el costo mensual es acotado y transparente.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C55A11" w:val="clear"/>
            <w:tcMar>
              <w:top w:type="dxa" w:w="120"/>
              <w:left w:type="dxa" w:w="150"/>
              <w:bottom w:type="dxa" w:w="120"/>
              <w:right w:type="dxa" w:w="150"/>
            </w:tcMar>
          </w:tcPr>
          <w:p>
            <w:r>
              <w:rPr>
                <w:rFonts w:ascii="Arial" w:cs="Arial" w:eastAsia="Arial" w:hAnsi="Arial"/>
                <w:b/>
                <w:bCs/>
                <w:color w:val="FFFFFF"/>
                <w:sz w:val="22"/>
                <w:szCs w:val="22"/>
              </w:rPr>
              <w:t xml:space="preserve">VO2  </w:t>
            </w:r>
            <w:r>
              <w:rPr>
                <w:rFonts w:ascii="Arial" w:cs="Arial" w:eastAsia="Arial" w:hAnsi="Arial"/>
                <w:b/>
                <w:bCs/>
                <w:color w:val="FFFFFF"/>
                <w:sz w:val="22"/>
                <w:szCs w:val="22"/>
              </w:rPr>
              <w:t xml:space="preserve">Mantenimiento de dos familias de modelos en paralelo</w:t>
            </w:r>
          </w:p>
        </w:tc>
      </w:tr>
      <w:tr>
        <w:tc>
          <w:tcPr>
            <w:tcW w:type="dxa" w:w="2000"/>
            <w:tcBorders>
              <w:top w:val="single" w:color="CCCCCC" w:sz="1"/>
              <w:left w:val="single" w:color="CCCCCC" w:sz="1"/>
              <w:bottom w:val="single" w:color="CCCCCC" w:sz="1"/>
              <w:right w:val="single" w:color="CCCCCC" w:sz="1"/>
            </w:tcBorders>
            <w:shd w:fill="8B1A1A" w:val="clear"/>
            <w:tcMar>
              <w:top w:type="dxa" w:w="100"/>
              <w:left w:type="dxa" w:w="150"/>
              <w:bottom w:type="dxa" w:w="100"/>
              <w:right w:type="dxa" w:w="150"/>
            </w:tcMar>
            <w:vAlign w:val="center"/>
          </w:tcPr>
          <w:p>
            <w:r>
              <w:rPr>
                <w:rFonts w:ascii="Arial" w:cs="Arial" w:eastAsia="Arial" w:hAnsi="Arial"/>
                <w:b/>
                <w:bCs/>
                <w:color w:val="FFFFFF"/>
                <w:sz w:val="18"/>
                <w:szCs w:val="18"/>
              </w:rPr>
              <w:t xml:space="preserve">🎯  ATAQUE</w:t>
            </w:r>
          </w:p>
        </w:tc>
        <w:tc>
          <w:tcPr>
            <w:tcW w:type="dxa" w:w="73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sz w:val="20"/>
                <w:szCs w:val="20"/>
              </w:rPr>
              <w:t xml:space="preserve">La arquitectura split obliga a mantener simultáneamente: BETO fine-tuneado para NER en M1, RoBERTa-lex para clasificación en M2, y la integración con Claude API en M6. Cada familia requiere expertos distintos, ciclos de actualización distintos y pipelines de validación distintos.</w:t>
            </w:r>
          </w:p>
        </w:tc>
      </w:tr>
      <w:tr>
        <w:tc>
          <w:tcPr>
            <w:tcW w:type="dxa" w:w="2000"/>
            <w:tcBorders>
              <w:top w:val="single" w:color="CCCCCC" w:sz="1"/>
              <w:left w:val="single" w:color="CCCCCC" w:sz="1"/>
              <w:bottom w:val="single" w:color="CCCCCC" w:sz="1"/>
              <w:right w:val="single" w:color="CCCCCC" w:sz="1"/>
            </w:tcBorders>
            <w:shd w:fill="5B5B5B" w:val="clear"/>
            <w:tcMar>
              <w:top w:type="dxa" w:w="100"/>
              <w:left w:type="dxa" w:w="150"/>
              <w:bottom w:type="dxa" w:w="100"/>
              <w:right w:type="dxa" w:w="150"/>
            </w:tcMar>
            <w:vAlign w:val="center"/>
          </w:tcPr>
          <w:p>
            <w:r>
              <w:rPr>
                <w:rFonts w:ascii="Arial" w:cs="Arial" w:eastAsia="Arial" w:hAnsi="Arial"/>
                <w:b/>
                <w:bCs/>
                <w:color w:val="FFFFFF"/>
                <w:sz w:val="18"/>
                <w:szCs w:val="18"/>
              </w:rPr>
              <w:t xml:space="preserve">📋  EVIDENCIA</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0"/>
                <w:szCs w:val="20"/>
              </w:rPr>
              <w:t xml:space="preserve">El RFP §4.6 exige versionamiento de modelos, evaluación de drift, canal de retroalimentación y política de actualización controlada. Cumplir esto para tres sistemas triplica la carga operativa del equipo técnico.</w:t>
            </w:r>
          </w:p>
        </w:tc>
      </w:tr>
      <w:tr>
        <w:tc>
          <w:tcPr>
            <w:tcW w:type="dxa" w:w="2000"/>
            <w:tcBorders>
              <w:top w:val="single" w:color="CCCCCC" w:sz="1"/>
              <w:left w:val="single" w:color="CCCCCC" w:sz="1"/>
              <w:bottom w:val="single" w:color="CCCCCC" w:sz="1"/>
              <w:right w:val="single" w:color="CCCCCC" w:sz="1"/>
            </w:tcBorders>
            <w:shd w:fill="843C0C" w:val="clear"/>
            <w:tcMar>
              <w:top w:type="dxa" w:w="100"/>
              <w:left w:type="dxa" w:w="150"/>
              <w:bottom w:type="dxa" w:w="100"/>
              <w:right w:type="dxa" w:w="150"/>
            </w:tcMar>
            <w:vAlign w:val="center"/>
          </w:tcPr>
          <w:p>
            <w:r>
              <w:rPr>
                <w:rFonts w:ascii="Arial" w:cs="Arial" w:eastAsia="Arial" w:hAnsi="Arial"/>
                <w:b/>
                <w:bCs/>
                <w:color w:val="FFFFFF"/>
                <w:sz w:val="18"/>
                <w:szCs w:val="18"/>
              </w:rPr>
              <w:t xml:space="preserve">⚡  IMPACTO</w:t>
            </w:r>
          </w:p>
        </w:tc>
        <w:tc>
          <w:tcPr>
            <w:tcW w:type="dxa" w:w="73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rFonts w:ascii="Arial" w:cs="Arial" w:eastAsia="Arial" w:hAnsi="Arial"/>
                <w:sz w:val="20"/>
                <w:szCs w:val="20"/>
              </w:rPr>
              <w:t xml:space="preserve">La URAB no cuenta con equipo ML permanente. La dependencia de proveedores externos para mantener los modelos on-premise genera riesgo de continuidad: si el proveedor sale del proyecto, los modelos quedan sin soporte.</w:t>
            </w:r>
          </w:p>
        </w:tc>
      </w:tr>
      <w:tr>
        <w:tc>
          <w:tcPr>
            <w:tcW w:type="dxa" w:w="2000"/>
            <w:tcBorders>
              <w:top w:val="single" w:color="CCCCCC" w:sz="1"/>
              <w:left w:val="single" w:color="CCCCCC" w:sz="1"/>
              <w:bottom w:val="single" w:color="CCCCCC" w:sz="1"/>
              <w:right w:val="single" w:color="CCCCCC" w:sz="1"/>
            </w:tcBorders>
            <w:shd w:fill="2D6A2D" w:val="clear"/>
            <w:tcMar>
              <w:top w:type="dxa" w:w="100"/>
              <w:left w:type="dxa" w:w="150"/>
              <w:bottom w:type="dxa" w:w="100"/>
              <w:right w:type="dxa" w:w="150"/>
            </w:tcMar>
            <w:vAlign w:val="center"/>
          </w:tcPr>
          <w:p>
            <w:r>
              <w:rPr>
                <w:rFonts w:ascii="Arial" w:cs="Arial" w:eastAsia="Arial" w:hAnsi="Arial"/>
                <w:b/>
                <w:bCs/>
                <w:color w:val="FFFFFF"/>
                <w:sz w:val="18"/>
                <w:szCs w:val="18"/>
              </w:rPr>
              <w:t xml:space="preserve">✅  RESOLUCIÓN</w:t>
            </w:r>
          </w:p>
        </w:tc>
        <w:tc>
          <w:tcPr>
            <w:tcW w:type="dxa" w:w="7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Arial" w:cs="Arial" w:eastAsia="Arial" w:hAnsi="Arial"/>
                <w:sz w:val="20"/>
                <w:szCs w:val="20"/>
              </w:rPr>
              <w:t xml:space="preserve">Con Claude API unificado, el mantenimiento del modelo es de Anthropic. El equipo de la URAB solo mantiene prompts, corpus RAG y conectores — capacidades de menor especialización técnica.</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C55A11" w:val="clear"/>
            <w:tcMar>
              <w:top w:type="dxa" w:w="120"/>
              <w:left w:type="dxa" w:w="150"/>
              <w:bottom w:type="dxa" w:w="120"/>
              <w:right w:type="dxa" w:w="150"/>
            </w:tcMar>
          </w:tcPr>
          <w:p>
            <w:r>
              <w:rPr>
                <w:rFonts w:ascii="Arial" w:cs="Arial" w:eastAsia="Arial" w:hAnsi="Arial"/>
                <w:b/>
                <w:bCs/>
                <w:color w:val="FFFFFF"/>
                <w:sz w:val="22"/>
                <w:szCs w:val="22"/>
              </w:rPr>
              <w:t xml:space="preserve">VO3  </w:t>
            </w:r>
            <w:r>
              <w:rPr>
                <w:rFonts w:ascii="Arial" w:cs="Arial" w:eastAsia="Arial" w:hAnsi="Arial"/>
                <w:b/>
                <w:bCs/>
                <w:color w:val="FFFFFF"/>
                <w:sz w:val="22"/>
                <w:szCs w:val="22"/>
              </w:rPr>
              <w:t xml:space="preserve">Coordinación de versiones — riesgo de regresión</w:t>
            </w:r>
          </w:p>
        </w:tc>
      </w:tr>
      <w:tr>
        <w:tc>
          <w:tcPr>
            <w:tcW w:type="dxa" w:w="2000"/>
            <w:tcBorders>
              <w:top w:val="single" w:color="CCCCCC" w:sz="1"/>
              <w:left w:val="single" w:color="CCCCCC" w:sz="1"/>
              <w:bottom w:val="single" w:color="CCCCCC" w:sz="1"/>
              <w:right w:val="single" w:color="CCCCCC" w:sz="1"/>
            </w:tcBorders>
            <w:shd w:fill="8B1A1A" w:val="clear"/>
            <w:tcMar>
              <w:top w:type="dxa" w:w="100"/>
              <w:left w:type="dxa" w:w="150"/>
              <w:bottom w:type="dxa" w:w="100"/>
              <w:right w:type="dxa" w:w="150"/>
            </w:tcMar>
            <w:vAlign w:val="center"/>
          </w:tcPr>
          <w:p>
            <w:r>
              <w:rPr>
                <w:rFonts w:ascii="Arial" w:cs="Arial" w:eastAsia="Arial" w:hAnsi="Arial"/>
                <w:b/>
                <w:bCs/>
                <w:color w:val="FFFFFF"/>
                <w:sz w:val="18"/>
                <w:szCs w:val="18"/>
              </w:rPr>
              <w:t xml:space="preserve">🎯  ATAQUE</w:t>
            </w:r>
          </w:p>
        </w:tc>
        <w:tc>
          <w:tcPr>
            <w:tcW w:type="dxa" w:w="73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sz w:val="20"/>
                <w:szCs w:val="20"/>
              </w:rPr>
              <w:t xml:space="preserve">Cada actualización de uno de los tres modelos exige una suite de pruebas de regresión completa en todo el pipeline para garantizar que la actualización de M2 no rompa el comportamiento esperado de M6, y viceversa.</w:t>
            </w:r>
          </w:p>
        </w:tc>
      </w:tr>
      <w:tr>
        <w:tc>
          <w:tcPr>
            <w:tcW w:type="dxa" w:w="2000"/>
            <w:tcBorders>
              <w:top w:val="single" w:color="CCCCCC" w:sz="1"/>
              <w:left w:val="single" w:color="CCCCCC" w:sz="1"/>
              <w:bottom w:val="single" w:color="CCCCCC" w:sz="1"/>
              <w:right w:val="single" w:color="CCCCCC" w:sz="1"/>
            </w:tcBorders>
            <w:shd w:fill="5B5B5B" w:val="clear"/>
            <w:tcMar>
              <w:top w:type="dxa" w:w="100"/>
              <w:left w:type="dxa" w:w="150"/>
              <w:bottom w:type="dxa" w:w="100"/>
              <w:right w:type="dxa" w:w="150"/>
            </w:tcMar>
            <w:vAlign w:val="center"/>
          </w:tcPr>
          <w:p>
            <w:r>
              <w:rPr>
                <w:rFonts w:ascii="Arial" w:cs="Arial" w:eastAsia="Arial" w:hAnsi="Arial"/>
                <w:b/>
                <w:bCs/>
                <w:color w:val="FFFFFF"/>
                <w:sz w:val="18"/>
                <w:szCs w:val="18"/>
              </w:rPr>
              <w:t xml:space="preserve">📋  EVIDENCIA</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0"/>
                <w:szCs w:val="20"/>
              </w:rPr>
              <w:t xml:space="preserve">Este es un problema estándar de MLOps multi-modelo: la compatibilidad de versiones entre modelos en pipeline no es transitiva. BETO v1.1 + RoBERTa v2.0 puede funcionar; BETO v1.2 + RoBERTa v2.0 puede no hacerlo.</w:t>
            </w:r>
          </w:p>
        </w:tc>
      </w:tr>
      <w:tr>
        <w:tc>
          <w:tcPr>
            <w:tcW w:type="dxa" w:w="2000"/>
            <w:tcBorders>
              <w:top w:val="single" w:color="CCCCCC" w:sz="1"/>
              <w:left w:val="single" w:color="CCCCCC" w:sz="1"/>
              <w:bottom w:val="single" w:color="CCCCCC" w:sz="1"/>
              <w:right w:val="single" w:color="CCCCCC" w:sz="1"/>
            </w:tcBorders>
            <w:shd w:fill="843C0C" w:val="clear"/>
            <w:tcMar>
              <w:top w:type="dxa" w:w="100"/>
              <w:left w:type="dxa" w:w="150"/>
              <w:bottom w:type="dxa" w:w="100"/>
              <w:right w:type="dxa" w:w="150"/>
            </w:tcMar>
            <w:vAlign w:val="center"/>
          </w:tcPr>
          <w:p>
            <w:r>
              <w:rPr>
                <w:rFonts w:ascii="Arial" w:cs="Arial" w:eastAsia="Arial" w:hAnsi="Arial"/>
                <w:b/>
                <w:bCs/>
                <w:color w:val="FFFFFF"/>
                <w:sz w:val="18"/>
                <w:szCs w:val="18"/>
              </w:rPr>
              <w:t xml:space="preserve">⚡  IMPACTO</w:t>
            </w:r>
          </w:p>
        </w:tc>
        <w:tc>
          <w:tcPr>
            <w:tcW w:type="dxa" w:w="73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rFonts w:ascii="Arial" w:cs="Arial" w:eastAsia="Arial" w:hAnsi="Arial"/>
                <w:sz w:val="20"/>
                <w:szCs w:val="20"/>
              </w:rPr>
              <w:t xml:space="preserve">Un fallo de regresión no detectado en producción puede resultar en clasificaciones erradas de urgentes sin que el sistema genere alertas. El registro de cambios exigido en RFP §4.6 queda incompleto sin pruebas de integración.</w:t>
            </w:r>
          </w:p>
        </w:tc>
      </w:tr>
      <w:tr>
        <w:tc>
          <w:tcPr>
            <w:tcW w:type="dxa" w:w="2000"/>
            <w:tcBorders>
              <w:top w:val="single" w:color="CCCCCC" w:sz="1"/>
              <w:left w:val="single" w:color="CCCCCC" w:sz="1"/>
              <w:bottom w:val="single" w:color="CCCCCC" w:sz="1"/>
              <w:right w:val="single" w:color="CCCCCC" w:sz="1"/>
            </w:tcBorders>
            <w:shd w:fill="2D6A2D" w:val="clear"/>
            <w:tcMar>
              <w:top w:type="dxa" w:w="100"/>
              <w:left w:type="dxa" w:w="150"/>
              <w:bottom w:type="dxa" w:w="100"/>
              <w:right w:type="dxa" w:w="150"/>
            </w:tcMar>
            <w:vAlign w:val="center"/>
          </w:tcPr>
          <w:p>
            <w:r>
              <w:rPr>
                <w:rFonts w:ascii="Arial" w:cs="Arial" w:eastAsia="Arial" w:hAnsi="Arial"/>
                <w:b/>
                <w:bCs/>
                <w:color w:val="FFFFFF"/>
                <w:sz w:val="18"/>
                <w:szCs w:val="18"/>
              </w:rPr>
              <w:t xml:space="preserve">✅  RESOLUCIÓN</w:t>
            </w:r>
          </w:p>
        </w:tc>
        <w:tc>
          <w:tcPr>
            <w:tcW w:type="dxa" w:w="7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Arial" w:cs="Arial" w:eastAsia="Arial" w:hAnsi="Arial"/>
                <w:sz w:val="20"/>
                <w:szCs w:val="20"/>
              </w:rPr>
              <w:t xml:space="preserve">Con Claude API como motor único, no existe compatibilidad de versiones entre modelos distintos. Los cambios de versión de la API son gestionados por Anthropic con compatibilidad hacia atrás documentada y períodos de deprecación anunciados.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C55A11" w:val="clear"/>
            <w:tcMar>
              <w:top w:type="dxa" w:w="120"/>
              <w:left w:type="dxa" w:w="150"/>
              <w:bottom w:type="dxa" w:w="120"/>
              <w:right w:type="dxa" w:w="150"/>
            </w:tcMar>
          </w:tcPr>
          <w:p>
            <w:r>
              <w:rPr>
                <w:rFonts w:ascii="Arial" w:cs="Arial" w:eastAsia="Arial" w:hAnsi="Arial"/>
                <w:b/>
                <w:bCs/>
                <w:color w:val="FFFFFF"/>
                <w:sz w:val="22"/>
                <w:szCs w:val="22"/>
              </w:rPr>
              <w:t xml:space="preserve">VO4  </w:t>
            </w:r>
            <w:r>
              <w:rPr>
                <w:rFonts w:ascii="Arial" w:cs="Arial" w:eastAsia="Arial" w:hAnsi="Arial"/>
                <w:b/>
                <w:bCs/>
                <w:color w:val="FFFFFF"/>
                <w:sz w:val="22"/>
                <w:szCs w:val="22"/>
              </w:rPr>
              <w:t xml:space="preserve">Registro de riesgos fragmentado incumple NIST GOVERN 1.1 e ISO §6.1 / §8.4</w:t>
            </w:r>
            <w:r>
              <w:rPr>
                <w:rFonts w:ascii="Arial" w:cs="Arial" w:eastAsia="Arial" w:hAnsi="Arial"/>
                <w:b w:val="false"/>
                <w:bCs w:val="false"/>
                <w:color w:val="FFE08A"/>
                <w:sz w:val="18"/>
                <w:szCs w:val="18"/>
              </w:rPr>
              <w:t xml:space="preserve">    [NIST GOVERN 1.1  |  ISO 42001 §6.1 / §8.4]</w:t>
            </w:r>
          </w:p>
        </w:tc>
      </w:tr>
      <w:tr>
        <w:tc>
          <w:tcPr>
            <w:tcW w:type="dxa" w:w="2000"/>
            <w:tcBorders>
              <w:top w:val="single" w:color="CCCCCC" w:sz="1"/>
              <w:left w:val="single" w:color="CCCCCC" w:sz="1"/>
              <w:bottom w:val="single" w:color="CCCCCC" w:sz="1"/>
              <w:right w:val="single" w:color="CCCCCC" w:sz="1"/>
            </w:tcBorders>
            <w:shd w:fill="8B1A1A" w:val="clear"/>
            <w:tcMar>
              <w:top w:type="dxa" w:w="100"/>
              <w:left w:type="dxa" w:w="150"/>
              <w:bottom w:type="dxa" w:w="100"/>
              <w:right w:type="dxa" w:w="150"/>
            </w:tcMar>
            <w:vAlign w:val="center"/>
          </w:tcPr>
          <w:p>
            <w:r>
              <w:rPr>
                <w:rFonts w:ascii="Arial" w:cs="Arial" w:eastAsia="Arial" w:hAnsi="Arial"/>
                <w:b/>
                <w:bCs/>
                <w:color w:val="FFFFFF"/>
                <w:sz w:val="18"/>
                <w:szCs w:val="18"/>
              </w:rPr>
              <w:t xml:space="preserve">🎯  ATAQUE</w:t>
            </w:r>
          </w:p>
        </w:tc>
        <w:tc>
          <w:tcPr>
            <w:tcW w:type="dxa" w:w="73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sz w:val="20"/>
                <w:szCs w:val="20"/>
              </w:rPr>
              <w:t xml:space="preserve">NIST AI RMF GOVERN 1.1 exige que las políticas, procesos y procedimientos para la gestión de riesgos de IA estén establecidos y documentados. ISO/IEC 42001:2023 §6.1 requiere un registro de riesgos unificado; §8.4 exige un impact assessment del sistema de IA como unidad. La arquitectura split hace imposible un registro de riesgos o impact assessment verdaderamente unificado.</w:t>
            </w:r>
          </w:p>
        </w:tc>
      </w:tr>
      <w:tr>
        <w:tc>
          <w:tcPr>
            <w:tcW w:type="dxa" w:w="2000"/>
            <w:tcBorders>
              <w:top w:val="single" w:color="CCCCCC" w:sz="1"/>
              <w:left w:val="single" w:color="CCCCCC" w:sz="1"/>
              <w:bottom w:val="single" w:color="CCCCCC" w:sz="1"/>
              <w:right w:val="single" w:color="CCCCCC" w:sz="1"/>
            </w:tcBorders>
            <w:shd w:fill="5B5B5B" w:val="clear"/>
            <w:tcMar>
              <w:top w:type="dxa" w:w="100"/>
              <w:left w:type="dxa" w:w="150"/>
              <w:bottom w:type="dxa" w:w="100"/>
              <w:right w:type="dxa" w:w="150"/>
            </w:tcMar>
            <w:vAlign w:val="center"/>
          </w:tcPr>
          <w:p>
            <w:r>
              <w:rPr>
                <w:rFonts w:ascii="Arial" w:cs="Arial" w:eastAsia="Arial" w:hAnsi="Arial"/>
                <w:b/>
                <w:bCs/>
                <w:color w:val="FFFFFF"/>
                <w:sz w:val="18"/>
                <w:szCs w:val="18"/>
              </w:rPr>
              <w:t xml:space="preserve">📋  EVIDENCIA</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0"/>
                <w:szCs w:val="20"/>
              </w:rPr>
              <w:t xml:space="preserve">NIST AI RMF GOVERN 1.1: 'Policies, processes, procedures and practices across the organization related to the mapping, measuring and managing of AI risks are in place'. ISO 42001 §6.1: 'Actions to address risks and opportunities'. §8.4: 'AI system impact assessment' — el impact assessment debe cubrir el sistema como unidad, no como suma de componentes.</w:t>
            </w:r>
          </w:p>
        </w:tc>
      </w:tr>
      <w:tr>
        <w:tc>
          <w:tcPr>
            <w:tcW w:type="dxa" w:w="2000"/>
            <w:tcBorders>
              <w:top w:val="single" w:color="CCCCCC" w:sz="1"/>
              <w:left w:val="single" w:color="CCCCCC" w:sz="1"/>
              <w:bottom w:val="single" w:color="CCCCCC" w:sz="1"/>
              <w:right w:val="single" w:color="CCCCCC" w:sz="1"/>
            </w:tcBorders>
            <w:shd w:fill="843C0C" w:val="clear"/>
            <w:tcMar>
              <w:top w:type="dxa" w:w="100"/>
              <w:left w:type="dxa" w:w="150"/>
              <w:bottom w:type="dxa" w:w="100"/>
              <w:right w:type="dxa" w:w="150"/>
            </w:tcMar>
            <w:vAlign w:val="center"/>
          </w:tcPr>
          <w:p>
            <w:r>
              <w:rPr>
                <w:rFonts w:ascii="Arial" w:cs="Arial" w:eastAsia="Arial" w:hAnsi="Arial"/>
                <w:b/>
                <w:bCs/>
                <w:color w:val="FFFFFF"/>
                <w:sz w:val="18"/>
                <w:szCs w:val="18"/>
              </w:rPr>
              <w:t xml:space="preserve">⚡  IMPACTO</w:t>
            </w:r>
          </w:p>
        </w:tc>
        <w:tc>
          <w:tcPr>
            <w:tcW w:type="dxa" w:w="73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rFonts w:ascii="Arial" w:cs="Arial" w:eastAsia="Arial" w:hAnsi="Arial"/>
                <w:sz w:val="20"/>
                <w:szCs w:val="20"/>
              </w:rPr>
              <w:t xml:space="preserve">Con tres modelos independientes, el registro de riesgos tiene tres secciones no relacionadas entre sí. El impact assessment de §8.4 no puede evaluar efectos sistémicos emergentes (como el error en cascada V-J1) porque cada modelo se evalúa de forma aislada. El jurado puede solicitar el impact assessment y recibir tres documentos inconexos.</w:t>
            </w:r>
          </w:p>
        </w:tc>
      </w:tr>
      <w:tr>
        <w:tc>
          <w:tcPr>
            <w:tcW w:type="dxa" w:w="2000"/>
            <w:tcBorders>
              <w:top w:val="single" w:color="CCCCCC" w:sz="1"/>
              <w:left w:val="single" w:color="CCCCCC" w:sz="1"/>
              <w:bottom w:val="single" w:color="CCCCCC" w:sz="1"/>
              <w:right w:val="single" w:color="CCCCCC" w:sz="1"/>
            </w:tcBorders>
            <w:shd w:fill="2D6A2D" w:val="clear"/>
            <w:tcMar>
              <w:top w:type="dxa" w:w="100"/>
              <w:left w:type="dxa" w:w="150"/>
              <w:bottom w:type="dxa" w:w="100"/>
              <w:right w:type="dxa" w:w="150"/>
            </w:tcMar>
            <w:vAlign w:val="center"/>
          </w:tcPr>
          <w:p>
            <w:r>
              <w:rPr>
                <w:rFonts w:ascii="Arial" w:cs="Arial" w:eastAsia="Arial" w:hAnsi="Arial"/>
                <w:b/>
                <w:bCs/>
                <w:color w:val="FFFFFF"/>
                <w:sz w:val="18"/>
                <w:szCs w:val="18"/>
              </w:rPr>
              <w:t xml:space="preserve">✅  RESOLUCIÓN</w:t>
            </w:r>
          </w:p>
        </w:tc>
        <w:tc>
          <w:tcPr>
            <w:tcW w:type="dxa" w:w="7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Arial" w:cs="Arial" w:eastAsia="Arial" w:hAnsi="Arial"/>
                <w:sz w:val="20"/>
                <w:szCs w:val="20"/>
              </w:rPr>
              <w:t xml:space="preserve">Con Claude API unificado, el registro de riesgos es un único documento. El impact assessment de ISO §8.4 cubre el sistema completo, incluyendo efectos emergentes. El cumplimiento de NIST GOVERN 1.1 se demuestra con una sola política de gestión de riesgos.</w:t>
            </w:r>
          </w:p>
        </w:tc>
      </w:tr>
    </w:tbl>
    <w:p>
      <w:pPr>
        <w:spacing w:after="0" w:before="200"/>
      </w:pPr>
    </w:p>
    <w:p>
      <w:r>
        <w:br w:type="page"/>
      </w:r>
    </w:p>
    <w:p>
      <w:pPr>
        <w:pStyle w:val="Heading1"/>
        <w:spacing w:after="200" w:before="400"/>
      </w:pPr>
      <w:r>
        <w:rPr>
          <w:rFonts w:ascii="Arial" w:cs="Arial" w:eastAsia="Arial" w:hAnsi="Arial"/>
          <w:b/>
          <w:bCs/>
          <w:color w:val="1F4E79"/>
          <w:sz w:val="32"/>
          <w:szCs w:val="32"/>
        </w:rPr>
        <w:t xml:space="preserve">Capítulo 3 — Vulnerabilidades Jurídicas</w:t>
      </w:r>
    </w:p>
    <w:p>
      <w:pPr>
        <w:pStyle w:val="Heading2"/>
        <w:pBdr>
          <w:bottom w:val="single" w:color="1F4E79" w:sz="4" w:space="4"/>
        </w:pBdr>
        <w:spacing w:after="150" w:before="300"/>
      </w:pPr>
      <w:r>
        <w:rPr>
          <w:rFonts w:ascii="Arial" w:cs="Arial" w:eastAsia="Arial" w:hAnsi="Arial"/>
          <w:b/>
          <w:bCs/>
          <w:color w:val="1F4E79"/>
          <w:sz w:val="26"/>
          <w:szCs w:val="26"/>
        </w:rPr>
        <w:t xml:space="preserve">Trazabilidad, responsabilidad, Directiva 007, Ley 1581 e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color w:val="1F4E79"/>
                <w:sz w:val="20"/>
                <w:szCs w:val="20"/>
              </w:rPr>
              <w:t xml:space="preserve">Este capítulo evalúa el cumplimiento normativo de la arquitectura split bajo la normativa colombiana y los marcos internacionales NIST MAP e ISO §8.4, que complementan y amplían los requisitos de la Directiva 007/2025.</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C55A11" w:val="clear"/>
            <w:tcMar>
              <w:top w:type="dxa" w:w="120"/>
              <w:left w:type="dxa" w:w="150"/>
              <w:bottom w:type="dxa" w:w="120"/>
              <w:right w:type="dxa" w:w="150"/>
            </w:tcMar>
          </w:tcPr>
          <w:p>
            <w:r>
              <w:rPr>
                <w:rFonts w:ascii="Arial" w:cs="Arial" w:eastAsia="Arial" w:hAnsi="Arial"/>
                <w:b/>
                <w:bCs/>
                <w:color w:val="FFFFFF"/>
                <w:sz w:val="22"/>
                <w:szCs w:val="22"/>
              </w:rPr>
              <w:t xml:space="preserve">VJ1  </w:t>
            </w:r>
            <w:r>
              <w:rPr>
                <w:rFonts w:ascii="Arial" w:cs="Arial" w:eastAsia="Arial" w:hAnsi="Arial"/>
                <w:b/>
                <w:bCs/>
                <w:color w:val="FFFFFF"/>
                <w:sz w:val="22"/>
                <w:szCs w:val="22"/>
              </w:rPr>
              <w:t xml:space="preserve">Error en cascada — responsabilidad jurídica sin origen claro</w:t>
            </w:r>
          </w:p>
        </w:tc>
      </w:tr>
      <w:tr>
        <w:tc>
          <w:tcPr>
            <w:tcW w:type="dxa" w:w="2000"/>
            <w:tcBorders>
              <w:top w:val="single" w:color="CCCCCC" w:sz="1"/>
              <w:left w:val="single" w:color="CCCCCC" w:sz="1"/>
              <w:bottom w:val="single" w:color="CCCCCC" w:sz="1"/>
              <w:right w:val="single" w:color="CCCCCC" w:sz="1"/>
            </w:tcBorders>
            <w:shd w:fill="8B1A1A" w:val="clear"/>
            <w:tcMar>
              <w:top w:type="dxa" w:w="100"/>
              <w:left w:type="dxa" w:w="150"/>
              <w:bottom w:type="dxa" w:w="100"/>
              <w:right w:type="dxa" w:w="150"/>
            </w:tcMar>
            <w:vAlign w:val="center"/>
          </w:tcPr>
          <w:p>
            <w:r>
              <w:rPr>
                <w:rFonts w:ascii="Arial" w:cs="Arial" w:eastAsia="Arial" w:hAnsi="Arial"/>
                <w:b/>
                <w:bCs/>
                <w:color w:val="FFFFFF"/>
                <w:sz w:val="18"/>
                <w:szCs w:val="18"/>
              </w:rPr>
              <w:t xml:space="preserve">🎯  ATAQUE</w:t>
            </w:r>
          </w:p>
        </w:tc>
        <w:tc>
          <w:tcPr>
            <w:tcW w:type="dxa" w:w="73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sz w:val="20"/>
                <w:szCs w:val="20"/>
              </w:rPr>
              <w:t xml:space="preserve">Si BETO clasifica incorrectamente en M1 y RoBERTa asigna prioridad errónea en M2, Claude en M6 genera un borrador coherente con esa clasificación equivocada. El ciudadano recibe una respuesta formalmente correcta pero sustancialmente inadecuada. ¿Quién es responsable: el modelo que clasificó mal o el que generó la respuesta?</w:t>
            </w:r>
          </w:p>
        </w:tc>
      </w:tr>
      <w:tr>
        <w:tc>
          <w:tcPr>
            <w:tcW w:type="dxa" w:w="2000"/>
            <w:tcBorders>
              <w:top w:val="single" w:color="CCCCCC" w:sz="1"/>
              <w:left w:val="single" w:color="CCCCCC" w:sz="1"/>
              <w:bottom w:val="single" w:color="CCCCCC" w:sz="1"/>
              <w:right w:val="single" w:color="CCCCCC" w:sz="1"/>
            </w:tcBorders>
            <w:shd w:fill="5B5B5B" w:val="clear"/>
            <w:tcMar>
              <w:top w:type="dxa" w:w="100"/>
              <w:left w:type="dxa" w:w="150"/>
              <w:bottom w:type="dxa" w:w="100"/>
              <w:right w:type="dxa" w:w="150"/>
            </w:tcMar>
            <w:vAlign w:val="center"/>
          </w:tcPr>
          <w:p>
            <w:r>
              <w:rPr>
                <w:rFonts w:ascii="Arial" w:cs="Arial" w:eastAsia="Arial" w:hAnsi="Arial"/>
                <w:b/>
                <w:bCs/>
                <w:color w:val="FFFFFF"/>
                <w:sz w:val="18"/>
                <w:szCs w:val="18"/>
              </w:rPr>
              <w:t xml:space="preserve">📋  EVIDENCIA</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0"/>
                <w:szCs w:val="20"/>
              </w:rPr>
              <w:t xml:space="preserve">El Art. 29 CP establece responsabilidad institucional en el procedimiento administrativo. Cuando una cadena de decisiones automatizadas conduce a un acto administrativo, la responsabilidad recae en la entidad. Trazar el origen del error a través de tres modelos distintos es procesalmente complejo.</w:t>
            </w:r>
          </w:p>
        </w:tc>
      </w:tr>
      <w:tr>
        <w:tc>
          <w:tcPr>
            <w:tcW w:type="dxa" w:w="2000"/>
            <w:tcBorders>
              <w:top w:val="single" w:color="CCCCCC" w:sz="1"/>
              <w:left w:val="single" w:color="CCCCCC" w:sz="1"/>
              <w:bottom w:val="single" w:color="CCCCCC" w:sz="1"/>
              <w:right w:val="single" w:color="CCCCCC" w:sz="1"/>
            </w:tcBorders>
            <w:shd w:fill="843C0C" w:val="clear"/>
            <w:tcMar>
              <w:top w:type="dxa" w:w="100"/>
              <w:left w:type="dxa" w:w="150"/>
              <w:bottom w:type="dxa" w:w="100"/>
              <w:right w:type="dxa" w:w="150"/>
            </w:tcMar>
            <w:vAlign w:val="center"/>
          </w:tcPr>
          <w:p>
            <w:r>
              <w:rPr>
                <w:rFonts w:ascii="Arial" w:cs="Arial" w:eastAsia="Arial" w:hAnsi="Arial"/>
                <w:b/>
                <w:bCs/>
                <w:color w:val="FFFFFF"/>
                <w:sz w:val="18"/>
                <w:szCs w:val="18"/>
              </w:rPr>
              <w:t xml:space="preserve">⚡  IMPACTO</w:t>
            </w:r>
          </w:p>
        </w:tc>
        <w:tc>
          <w:tcPr>
            <w:tcW w:type="dxa" w:w="73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rFonts w:ascii="Arial" w:cs="Arial" w:eastAsia="Arial" w:hAnsi="Arial"/>
                <w:sz w:val="20"/>
                <w:szCs w:val="20"/>
              </w:rPr>
              <w:t xml:space="preserve">En caso de daño antijurídico (un urgente mal clasificado que resulta en lesión de derechos), la entidad enfrenta una cadena de responsabilidad difícil de documentar ante un Comité de Ética o un juez.</w:t>
            </w:r>
          </w:p>
        </w:tc>
      </w:tr>
      <w:tr>
        <w:tc>
          <w:tcPr>
            <w:tcW w:type="dxa" w:w="2000"/>
            <w:tcBorders>
              <w:top w:val="single" w:color="CCCCCC" w:sz="1"/>
              <w:left w:val="single" w:color="CCCCCC" w:sz="1"/>
              <w:bottom w:val="single" w:color="CCCCCC" w:sz="1"/>
              <w:right w:val="single" w:color="CCCCCC" w:sz="1"/>
            </w:tcBorders>
            <w:shd w:fill="2D6A2D" w:val="clear"/>
            <w:tcMar>
              <w:top w:type="dxa" w:w="100"/>
              <w:left w:type="dxa" w:w="150"/>
              <w:bottom w:type="dxa" w:w="100"/>
              <w:right w:type="dxa" w:w="150"/>
            </w:tcMar>
            <w:vAlign w:val="center"/>
          </w:tcPr>
          <w:p>
            <w:r>
              <w:rPr>
                <w:rFonts w:ascii="Arial" w:cs="Arial" w:eastAsia="Arial" w:hAnsi="Arial"/>
                <w:b/>
                <w:bCs/>
                <w:color w:val="FFFFFF"/>
                <w:sz w:val="18"/>
                <w:szCs w:val="18"/>
              </w:rPr>
              <w:t xml:space="preserve">✅  RESOLUCIÓN</w:t>
            </w:r>
          </w:p>
        </w:tc>
        <w:tc>
          <w:tcPr>
            <w:tcW w:type="dxa" w:w="7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Arial" w:cs="Arial" w:eastAsia="Arial" w:hAnsi="Arial"/>
                <w:sz w:val="20"/>
                <w:szCs w:val="20"/>
              </w:rPr>
              <w:t xml:space="preserve">Con Claude API unificado, toda la cadena de decisión está en un solo log estructurado. La trazabilidad del error es lineal: prompt de entrada → razonamiento → output. La auditoría es un solo documento.</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C55A11" w:val="clear"/>
            <w:tcMar>
              <w:top w:type="dxa" w:w="120"/>
              <w:left w:type="dxa" w:w="150"/>
              <w:bottom w:type="dxa" w:w="120"/>
              <w:right w:type="dxa" w:w="150"/>
            </w:tcMar>
          </w:tcPr>
          <w:p>
            <w:r>
              <w:rPr>
                <w:rFonts w:ascii="Arial" w:cs="Arial" w:eastAsia="Arial" w:hAnsi="Arial"/>
                <w:b/>
                <w:bCs/>
                <w:color w:val="FFFFFF"/>
                <w:sz w:val="22"/>
                <w:szCs w:val="22"/>
              </w:rPr>
              <w:t xml:space="preserve">VJ2  </w:t>
            </w:r>
            <w:r>
              <w:rPr>
                <w:rFonts w:ascii="Arial" w:cs="Arial" w:eastAsia="Arial" w:hAnsi="Arial"/>
                <w:b/>
                <w:bCs/>
                <w:color w:val="FFFFFF"/>
                <w:sz w:val="22"/>
                <w:szCs w:val="22"/>
              </w:rPr>
              <w:t xml:space="preserve">Directiva 007/2025 — explicabilidad de sistemas multi-modelo</w:t>
            </w:r>
          </w:p>
        </w:tc>
      </w:tr>
      <w:tr>
        <w:tc>
          <w:tcPr>
            <w:tcW w:type="dxa" w:w="2000"/>
            <w:tcBorders>
              <w:top w:val="single" w:color="CCCCCC" w:sz="1"/>
              <w:left w:val="single" w:color="CCCCCC" w:sz="1"/>
              <w:bottom w:val="single" w:color="CCCCCC" w:sz="1"/>
              <w:right w:val="single" w:color="CCCCCC" w:sz="1"/>
            </w:tcBorders>
            <w:shd w:fill="8B1A1A" w:val="clear"/>
            <w:tcMar>
              <w:top w:type="dxa" w:w="100"/>
              <w:left w:type="dxa" w:w="150"/>
              <w:bottom w:type="dxa" w:w="100"/>
              <w:right w:type="dxa" w:w="150"/>
            </w:tcMar>
            <w:vAlign w:val="center"/>
          </w:tcPr>
          <w:p>
            <w:r>
              <w:rPr>
                <w:rFonts w:ascii="Arial" w:cs="Arial" w:eastAsia="Arial" w:hAnsi="Arial"/>
                <w:b/>
                <w:bCs/>
                <w:color w:val="FFFFFF"/>
                <w:sz w:val="18"/>
                <w:szCs w:val="18"/>
              </w:rPr>
              <w:t xml:space="preserve">🎯  ATAQUE</w:t>
            </w:r>
          </w:p>
        </w:tc>
        <w:tc>
          <w:tcPr>
            <w:tcW w:type="dxa" w:w="73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sz w:val="20"/>
                <w:szCs w:val="20"/>
              </w:rPr>
              <w:t xml:space="preserve">La Directiva 007 exige que los Sistemas de Decisión Automatizada (SDA) cuenten con explicación significativa. En la arquitectura split, explicar cómo M2 (RoBERTa) llegó a una clasificación requiere interpretar pesos de atención del transformer — técnicamente XAI. Hacerlo para tres modelos y comunicarlo en lenguaje ciudadano es extraordinariamente complejo.</w:t>
            </w:r>
          </w:p>
        </w:tc>
      </w:tr>
      <w:tr>
        <w:tc>
          <w:tcPr>
            <w:tcW w:type="dxa" w:w="2000"/>
            <w:tcBorders>
              <w:top w:val="single" w:color="CCCCCC" w:sz="1"/>
              <w:left w:val="single" w:color="CCCCCC" w:sz="1"/>
              <w:bottom w:val="single" w:color="CCCCCC" w:sz="1"/>
              <w:right w:val="single" w:color="CCCCCC" w:sz="1"/>
            </w:tcBorders>
            <w:shd w:fill="5B5B5B" w:val="clear"/>
            <w:tcMar>
              <w:top w:type="dxa" w:w="100"/>
              <w:left w:type="dxa" w:w="150"/>
              <w:bottom w:type="dxa" w:w="100"/>
              <w:right w:type="dxa" w:w="150"/>
            </w:tcMar>
            <w:vAlign w:val="center"/>
          </w:tcPr>
          <w:p>
            <w:r>
              <w:rPr>
                <w:rFonts w:ascii="Arial" w:cs="Arial" w:eastAsia="Arial" w:hAnsi="Arial"/>
                <w:b/>
                <w:bCs/>
                <w:color w:val="FFFFFF"/>
                <w:sz w:val="18"/>
                <w:szCs w:val="18"/>
              </w:rPr>
              <w:t xml:space="preserve">📋  EVIDENCIA</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0"/>
                <w:szCs w:val="20"/>
              </w:rPr>
              <w:t xml:space="preserve">Directiva 007 §3.4 prohíbe explícitamente las 'cajas negras' y exige que el ciudadano pueda entender los criterios de clasificación. Los transformers BERT-based producen explicaciones de atención técnicas, difíciles de traducir a lenguaje ciudadano.</w:t>
            </w:r>
          </w:p>
        </w:tc>
      </w:tr>
      <w:tr>
        <w:tc>
          <w:tcPr>
            <w:tcW w:type="dxa" w:w="2000"/>
            <w:tcBorders>
              <w:top w:val="single" w:color="CCCCCC" w:sz="1"/>
              <w:left w:val="single" w:color="CCCCCC" w:sz="1"/>
              <w:bottom w:val="single" w:color="CCCCCC" w:sz="1"/>
              <w:right w:val="single" w:color="CCCCCC" w:sz="1"/>
            </w:tcBorders>
            <w:shd w:fill="843C0C" w:val="clear"/>
            <w:tcMar>
              <w:top w:type="dxa" w:w="100"/>
              <w:left w:type="dxa" w:w="150"/>
              <w:bottom w:type="dxa" w:w="100"/>
              <w:right w:type="dxa" w:w="150"/>
            </w:tcMar>
            <w:vAlign w:val="center"/>
          </w:tcPr>
          <w:p>
            <w:r>
              <w:rPr>
                <w:rFonts w:ascii="Arial" w:cs="Arial" w:eastAsia="Arial" w:hAnsi="Arial"/>
                <w:b/>
                <w:bCs/>
                <w:color w:val="FFFFFF"/>
                <w:sz w:val="18"/>
                <w:szCs w:val="18"/>
              </w:rPr>
              <w:t xml:space="preserve">⚡  IMPACTO</w:t>
            </w:r>
          </w:p>
        </w:tc>
        <w:tc>
          <w:tcPr>
            <w:tcW w:type="dxa" w:w="73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rFonts w:ascii="Arial" w:cs="Arial" w:eastAsia="Arial" w:hAnsi="Arial"/>
                <w:sz w:val="20"/>
                <w:szCs w:val="20"/>
              </w:rPr>
              <w:t xml:space="preserve">Sin capacidad de explicar la clasificación de M2 en términos comprensibles, la propuesta incumple la Directiva 007 antes del go-live. El inventario público de algoritmos requerido no puede cumplirse para modelos cuya explicabilidad es opaca.</w:t>
            </w:r>
          </w:p>
        </w:tc>
      </w:tr>
      <w:tr>
        <w:tc>
          <w:tcPr>
            <w:tcW w:type="dxa" w:w="2000"/>
            <w:tcBorders>
              <w:top w:val="single" w:color="CCCCCC" w:sz="1"/>
              <w:left w:val="single" w:color="CCCCCC" w:sz="1"/>
              <w:bottom w:val="single" w:color="CCCCCC" w:sz="1"/>
              <w:right w:val="single" w:color="CCCCCC" w:sz="1"/>
            </w:tcBorders>
            <w:shd w:fill="2D6A2D" w:val="clear"/>
            <w:tcMar>
              <w:top w:type="dxa" w:w="100"/>
              <w:left w:type="dxa" w:w="150"/>
              <w:bottom w:type="dxa" w:w="100"/>
              <w:right w:type="dxa" w:w="150"/>
            </w:tcMar>
            <w:vAlign w:val="center"/>
          </w:tcPr>
          <w:p>
            <w:r>
              <w:rPr>
                <w:rFonts w:ascii="Arial" w:cs="Arial" w:eastAsia="Arial" w:hAnsi="Arial"/>
                <w:b/>
                <w:bCs/>
                <w:color w:val="FFFFFF"/>
                <w:sz w:val="18"/>
                <w:szCs w:val="18"/>
              </w:rPr>
              <w:t xml:space="preserve">✅  RESOLUCIÓN</w:t>
            </w:r>
          </w:p>
        </w:tc>
        <w:tc>
          <w:tcPr>
            <w:tcW w:type="dxa" w:w="7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Arial" w:cs="Arial" w:eastAsia="Arial" w:hAnsi="Arial"/>
                <w:sz w:val="20"/>
                <w:szCs w:val="20"/>
              </w:rPr>
              <w:t xml:space="preserve">Claude API permite prompts de razonamiento explícito (chain-of-thought) que generan explicaciones legibles: 'Su petición fue clasificada como urgente porque menciona amenaza a la integridad física (Art. 11 CP) y una fecha límite inminente.' Esto cumple directamente el XAI de la Directiva 007.</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C55A11" w:val="clear"/>
            <w:tcMar>
              <w:top w:type="dxa" w:w="120"/>
              <w:left w:type="dxa" w:w="150"/>
              <w:bottom w:type="dxa" w:w="120"/>
              <w:right w:type="dxa" w:w="150"/>
            </w:tcMar>
          </w:tcPr>
          <w:p>
            <w:r>
              <w:rPr>
                <w:rFonts w:ascii="Arial" w:cs="Arial" w:eastAsia="Arial" w:hAnsi="Arial"/>
                <w:b/>
                <w:bCs/>
                <w:color w:val="FFFFFF"/>
                <w:sz w:val="22"/>
                <w:szCs w:val="22"/>
              </w:rPr>
              <w:t xml:space="preserve">VJ3  </w:t>
            </w:r>
            <w:r>
              <w:rPr>
                <w:rFonts w:ascii="Arial" w:cs="Arial" w:eastAsia="Arial" w:hAnsi="Arial"/>
                <w:b/>
                <w:bCs/>
                <w:color w:val="FFFFFF"/>
                <w:sz w:val="22"/>
                <w:szCs w:val="22"/>
              </w:rPr>
              <w:t xml:space="preserve">Canal de impugnación ciudadana — Art. 29 CP sin contenido real</w:t>
            </w:r>
          </w:p>
        </w:tc>
      </w:tr>
      <w:tr>
        <w:tc>
          <w:tcPr>
            <w:tcW w:type="dxa" w:w="2000"/>
            <w:tcBorders>
              <w:top w:val="single" w:color="CCCCCC" w:sz="1"/>
              <w:left w:val="single" w:color="CCCCCC" w:sz="1"/>
              <w:bottom w:val="single" w:color="CCCCCC" w:sz="1"/>
              <w:right w:val="single" w:color="CCCCCC" w:sz="1"/>
            </w:tcBorders>
            <w:shd w:fill="8B1A1A" w:val="clear"/>
            <w:tcMar>
              <w:top w:type="dxa" w:w="100"/>
              <w:left w:type="dxa" w:w="150"/>
              <w:bottom w:type="dxa" w:w="100"/>
              <w:right w:type="dxa" w:w="150"/>
            </w:tcMar>
            <w:vAlign w:val="center"/>
          </w:tcPr>
          <w:p>
            <w:r>
              <w:rPr>
                <w:rFonts w:ascii="Arial" w:cs="Arial" w:eastAsia="Arial" w:hAnsi="Arial"/>
                <w:b/>
                <w:bCs/>
                <w:color w:val="FFFFFF"/>
                <w:sz w:val="18"/>
                <w:szCs w:val="18"/>
              </w:rPr>
              <w:t xml:space="preserve">🎯  ATAQUE</w:t>
            </w:r>
          </w:p>
        </w:tc>
        <w:tc>
          <w:tcPr>
            <w:tcW w:type="dxa" w:w="73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sz w:val="20"/>
                <w:szCs w:val="20"/>
              </w:rPr>
              <w:t xml:space="preserve">El Art. 29 CP y la Directiva 007 garantizan el derecho a impugnar una clasificación automatizada ante un funcionario en ≤5 días hábiles. Para ejercer ese derecho, el funcionario debe entender por qué el sistema clasificó así. En la arquitectura split esa explicación requiere revisar outputs de tres modelos distintos.</w:t>
            </w:r>
          </w:p>
        </w:tc>
      </w:tr>
      <w:tr>
        <w:tc>
          <w:tcPr>
            <w:tcW w:type="dxa" w:w="2000"/>
            <w:tcBorders>
              <w:top w:val="single" w:color="CCCCCC" w:sz="1"/>
              <w:left w:val="single" w:color="CCCCCC" w:sz="1"/>
              <w:bottom w:val="single" w:color="CCCCCC" w:sz="1"/>
              <w:right w:val="single" w:color="CCCCCC" w:sz="1"/>
            </w:tcBorders>
            <w:shd w:fill="5B5B5B" w:val="clear"/>
            <w:tcMar>
              <w:top w:type="dxa" w:w="100"/>
              <w:left w:type="dxa" w:w="150"/>
              <w:bottom w:type="dxa" w:w="100"/>
              <w:right w:type="dxa" w:w="150"/>
            </w:tcMar>
            <w:vAlign w:val="center"/>
          </w:tcPr>
          <w:p>
            <w:r>
              <w:rPr>
                <w:rFonts w:ascii="Arial" w:cs="Arial" w:eastAsia="Arial" w:hAnsi="Arial"/>
                <w:b/>
                <w:bCs/>
                <w:color w:val="FFFFFF"/>
                <w:sz w:val="18"/>
                <w:szCs w:val="18"/>
              </w:rPr>
              <w:t xml:space="preserve">📋  EVIDENCIA</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0"/>
                <w:szCs w:val="20"/>
              </w:rPr>
              <w:t xml:space="preserve">Un profesional de la URAB sin formación técnica especializada no puede revisar de forma significativa los pesos de atención de BETO o la distribución de probabilidades de RoBERTa. El canal de impugnación quedaría reducido a un proceso formal sin capacidad de revisión real.</w:t>
            </w:r>
          </w:p>
        </w:tc>
      </w:tr>
      <w:tr>
        <w:tc>
          <w:tcPr>
            <w:tcW w:type="dxa" w:w="2000"/>
            <w:tcBorders>
              <w:top w:val="single" w:color="CCCCCC" w:sz="1"/>
              <w:left w:val="single" w:color="CCCCCC" w:sz="1"/>
              <w:bottom w:val="single" w:color="CCCCCC" w:sz="1"/>
              <w:right w:val="single" w:color="CCCCCC" w:sz="1"/>
            </w:tcBorders>
            <w:shd w:fill="843C0C" w:val="clear"/>
            <w:tcMar>
              <w:top w:type="dxa" w:w="100"/>
              <w:left w:type="dxa" w:w="150"/>
              <w:bottom w:type="dxa" w:w="100"/>
              <w:right w:type="dxa" w:w="150"/>
            </w:tcMar>
            <w:vAlign w:val="center"/>
          </w:tcPr>
          <w:p>
            <w:r>
              <w:rPr>
                <w:rFonts w:ascii="Arial" w:cs="Arial" w:eastAsia="Arial" w:hAnsi="Arial"/>
                <w:b/>
                <w:bCs/>
                <w:color w:val="FFFFFF"/>
                <w:sz w:val="18"/>
                <w:szCs w:val="18"/>
              </w:rPr>
              <w:t xml:space="preserve">⚡  IMPACTO</w:t>
            </w:r>
          </w:p>
        </w:tc>
        <w:tc>
          <w:tcPr>
            <w:tcW w:type="dxa" w:w="73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rFonts w:ascii="Arial" w:cs="Arial" w:eastAsia="Arial" w:hAnsi="Arial"/>
                <w:sz w:val="20"/>
                <w:szCs w:val="20"/>
              </w:rPr>
              <w:t xml:space="preserve">El derecho de impugnación del Art. 29 CP se vacía de contenido cuando el funcionario revisor no tiene la capacidad técnica de entender la decisión. Riesgo jurídico de primer orden para la propuesta.</w:t>
            </w:r>
          </w:p>
        </w:tc>
      </w:tr>
      <w:tr>
        <w:tc>
          <w:tcPr>
            <w:tcW w:type="dxa" w:w="2000"/>
            <w:tcBorders>
              <w:top w:val="single" w:color="CCCCCC" w:sz="1"/>
              <w:left w:val="single" w:color="CCCCCC" w:sz="1"/>
              <w:bottom w:val="single" w:color="CCCCCC" w:sz="1"/>
              <w:right w:val="single" w:color="CCCCCC" w:sz="1"/>
            </w:tcBorders>
            <w:shd w:fill="2D6A2D" w:val="clear"/>
            <w:tcMar>
              <w:top w:type="dxa" w:w="100"/>
              <w:left w:type="dxa" w:w="150"/>
              <w:bottom w:type="dxa" w:w="100"/>
              <w:right w:type="dxa" w:w="150"/>
            </w:tcMar>
            <w:vAlign w:val="center"/>
          </w:tcPr>
          <w:p>
            <w:r>
              <w:rPr>
                <w:rFonts w:ascii="Arial" w:cs="Arial" w:eastAsia="Arial" w:hAnsi="Arial"/>
                <w:b/>
                <w:bCs/>
                <w:color w:val="FFFFFF"/>
                <w:sz w:val="18"/>
                <w:szCs w:val="18"/>
              </w:rPr>
              <w:t xml:space="preserve">✅  RESOLUCIÓN</w:t>
            </w:r>
          </w:p>
        </w:tc>
        <w:tc>
          <w:tcPr>
            <w:tcW w:type="dxa" w:w="7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Arial" w:cs="Arial" w:eastAsia="Arial" w:hAnsi="Arial"/>
                <w:sz w:val="20"/>
                <w:szCs w:val="20"/>
              </w:rPr>
              <w:t xml:space="preserve">Con Claude API, el expediente incluye la explicación en lenguaje natural del razonamiento del modelo. La impugnación se ejerce sobre argumentos comprensibles, no sobre métricas técnicas.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C55A11" w:val="clear"/>
            <w:tcMar>
              <w:top w:type="dxa" w:w="120"/>
              <w:left w:type="dxa" w:w="150"/>
              <w:bottom w:type="dxa" w:w="120"/>
              <w:right w:type="dxa" w:w="150"/>
            </w:tcMar>
          </w:tcPr>
          <w:p>
            <w:r>
              <w:rPr>
                <w:rFonts w:ascii="Arial" w:cs="Arial" w:eastAsia="Arial" w:hAnsi="Arial"/>
                <w:b/>
                <w:bCs/>
                <w:color w:val="FFFFFF"/>
                <w:sz w:val="22"/>
                <w:szCs w:val="22"/>
              </w:rPr>
              <w:t xml:space="preserve">VJ4  </w:t>
            </w:r>
            <w:r>
              <w:rPr>
                <w:rFonts w:ascii="Arial" w:cs="Arial" w:eastAsia="Arial" w:hAnsi="Arial"/>
                <w:b/>
                <w:bCs/>
                <w:color w:val="FFFFFF"/>
                <w:sz w:val="22"/>
                <w:szCs w:val="22"/>
              </w:rPr>
              <w:t xml:space="preserve">Ley 1581/2012 — transferencia internacional de datos personales</w:t>
            </w:r>
          </w:p>
        </w:tc>
      </w:tr>
      <w:tr>
        <w:tc>
          <w:tcPr>
            <w:tcW w:type="dxa" w:w="2000"/>
            <w:tcBorders>
              <w:top w:val="single" w:color="CCCCCC" w:sz="1"/>
              <w:left w:val="single" w:color="CCCCCC" w:sz="1"/>
              <w:bottom w:val="single" w:color="CCCCCC" w:sz="1"/>
              <w:right w:val="single" w:color="CCCCCC" w:sz="1"/>
            </w:tcBorders>
            <w:shd w:fill="8B1A1A" w:val="clear"/>
            <w:tcMar>
              <w:top w:type="dxa" w:w="100"/>
              <w:left w:type="dxa" w:w="150"/>
              <w:bottom w:type="dxa" w:w="100"/>
              <w:right w:type="dxa" w:w="150"/>
            </w:tcMar>
            <w:vAlign w:val="center"/>
          </w:tcPr>
          <w:p>
            <w:r>
              <w:rPr>
                <w:rFonts w:ascii="Arial" w:cs="Arial" w:eastAsia="Arial" w:hAnsi="Arial"/>
                <w:b/>
                <w:bCs/>
                <w:color w:val="FFFFFF"/>
                <w:sz w:val="18"/>
                <w:szCs w:val="18"/>
              </w:rPr>
              <w:t xml:space="preserve">🎯  ATAQUE</w:t>
            </w:r>
          </w:p>
        </w:tc>
        <w:tc>
          <w:tcPr>
            <w:tcW w:type="dxa" w:w="73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sz w:val="20"/>
                <w:szCs w:val="20"/>
              </w:rPr>
              <w:t xml:space="preserve">Con Claude API como motor unificado, el 100% de las peticiones ciudadanas se procesan en servidores de Anthropic (EE.UU.). La Ley 1581/2012 y el Decreto 1377/2013 exigen que toda transferencia internacional de datos personales cuente con garantías de protección equivalentes al estándar colombiano. Este riesgo se amplía respecto a la arquitectura split donde solo M6 cruzaba la frontera.</w:t>
            </w:r>
          </w:p>
        </w:tc>
      </w:tr>
      <w:tr>
        <w:tc>
          <w:tcPr>
            <w:tcW w:type="dxa" w:w="2000"/>
            <w:tcBorders>
              <w:top w:val="single" w:color="CCCCCC" w:sz="1"/>
              <w:left w:val="single" w:color="CCCCCC" w:sz="1"/>
              <w:bottom w:val="single" w:color="CCCCCC" w:sz="1"/>
              <w:right w:val="single" w:color="CCCCCC" w:sz="1"/>
            </w:tcBorders>
            <w:shd w:fill="5B5B5B" w:val="clear"/>
            <w:tcMar>
              <w:top w:type="dxa" w:w="100"/>
              <w:left w:type="dxa" w:w="150"/>
              <w:bottom w:type="dxa" w:w="100"/>
              <w:right w:type="dxa" w:w="150"/>
            </w:tcMar>
            <w:vAlign w:val="center"/>
          </w:tcPr>
          <w:p>
            <w:r>
              <w:rPr>
                <w:rFonts w:ascii="Arial" w:cs="Arial" w:eastAsia="Arial" w:hAnsi="Arial"/>
                <w:b/>
                <w:bCs/>
                <w:color w:val="FFFFFF"/>
                <w:sz w:val="18"/>
                <w:szCs w:val="18"/>
              </w:rPr>
              <w:t xml:space="preserve">📋  EVIDENCIA</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0"/>
                <w:szCs w:val="20"/>
              </w:rPr>
              <w:t xml:space="preserve">Ley 1581/2012 Art. 26: 'Está prohibida la transferencia de datos personales de cualquier tipo a países que no proporcionen niveles adecuados de protección'. Decreto 1377/2013 Art. 24: el responsable debe suscribir contratos con el receptor que garanticen protección equivalente. La SIC (Superintendencia de Industria y Comercio) es la autoridad de control.</w:t>
            </w:r>
          </w:p>
        </w:tc>
      </w:tr>
      <w:tr>
        <w:tc>
          <w:tcPr>
            <w:tcW w:type="dxa" w:w="2000"/>
            <w:tcBorders>
              <w:top w:val="single" w:color="CCCCCC" w:sz="1"/>
              <w:left w:val="single" w:color="CCCCCC" w:sz="1"/>
              <w:bottom w:val="single" w:color="CCCCCC" w:sz="1"/>
              <w:right w:val="single" w:color="CCCCCC" w:sz="1"/>
            </w:tcBorders>
            <w:shd w:fill="843C0C" w:val="clear"/>
            <w:tcMar>
              <w:top w:type="dxa" w:w="100"/>
              <w:left w:type="dxa" w:w="150"/>
              <w:bottom w:type="dxa" w:w="100"/>
              <w:right w:type="dxa" w:w="150"/>
            </w:tcMar>
            <w:vAlign w:val="center"/>
          </w:tcPr>
          <w:p>
            <w:r>
              <w:rPr>
                <w:rFonts w:ascii="Arial" w:cs="Arial" w:eastAsia="Arial" w:hAnsi="Arial"/>
                <w:b/>
                <w:bCs/>
                <w:color w:val="FFFFFF"/>
                <w:sz w:val="18"/>
                <w:szCs w:val="18"/>
              </w:rPr>
              <w:t xml:space="preserve">⚡  IMPACTO</w:t>
            </w:r>
          </w:p>
        </w:tc>
        <w:tc>
          <w:tcPr>
            <w:tcW w:type="dxa" w:w="73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rFonts w:ascii="Arial" w:cs="Arial" w:eastAsia="Arial" w:hAnsi="Arial"/>
                <w:sz w:val="20"/>
                <w:szCs w:val="20"/>
              </w:rPr>
              <w:t xml:space="preserve">Sin instrumentos contractuales formales, la transferencia masiva de relatos ciudadanos — que incluyen datos sensibles (salud, violencia, menores) bajo Ley 1581 Art. 5 — constituye un tratamiento internacional de datos sin amparo legal suficiente. Exposición a sanción de la SIC y nulidad de actuaciones administrativas derivadas.</w:t>
            </w:r>
          </w:p>
        </w:tc>
      </w:tr>
      <w:tr>
        <w:tc>
          <w:tcPr>
            <w:tcW w:type="dxa" w:w="2000"/>
            <w:tcBorders>
              <w:top w:val="single" w:color="CCCCCC" w:sz="1"/>
              <w:left w:val="single" w:color="CCCCCC" w:sz="1"/>
              <w:bottom w:val="single" w:color="CCCCCC" w:sz="1"/>
              <w:right w:val="single" w:color="CCCCCC" w:sz="1"/>
            </w:tcBorders>
            <w:shd w:fill="2D6A2D" w:val="clear"/>
            <w:tcMar>
              <w:top w:type="dxa" w:w="100"/>
              <w:left w:type="dxa" w:w="150"/>
              <w:bottom w:type="dxa" w:w="100"/>
              <w:right w:type="dxa" w:w="150"/>
            </w:tcMar>
            <w:vAlign w:val="center"/>
          </w:tcPr>
          <w:p>
            <w:r>
              <w:rPr>
                <w:rFonts w:ascii="Arial" w:cs="Arial" w:eastAsia="Arial" w:hAnsi="Arial"/>
                <w:b/>
                <w:bCs/>
                <w:color w:val="FFFFFF"/>
                <w:sz w:val="18"/>
                <w:szCs w:val="18"/>
              </w:rPr>
              <w:t xml:space="preserve">✅  RESOLUCIÓN</w:t>
            </w:r>
          </w:p>
        </w:tc>
        <w:tc>
          <w:tcPr>
            <w:tcW w:type="dxa" w:w="7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Arial" w:cs="Arial" w:eastAsia="Arial" w:hAnsi="Arial"/>
                <w:sz w:val="20"/>
                <w:szCs w:val="20"/>
              </w:rPr>
              <w:t xml:space="preserve">Mitigación contractual y técnica en tres capas: (1) Data Processing Agreement (DPA) enterprise con Anthropic que incluye cláusulas de zero data retention (datos no almacenados tras el procesamiento), prohibición de uso de datos del cliente para reentrenamiento de modelos, y encriptación AES-256 en tránsito y en reposo bajo TLS 1.3. (2) El DPA de Anthropic es compatible con GDPR (Reglamento UE 2016/679), cuyo nivel de protección la Comisión Europea ha reconocido como adecuado — argumento jurídico válido ante la SIC bajo Decreto 1377/2013 Art. 24 para acreditar 'nivel de protección equivalente'. (3) Anonimización técnica previa al envío mediante seudonimización de identificadores (cédula, nombre, dirección) en la capa on-premise antes de que el texto llegue a la API. El riesgo residual se documenta en el registro de riesgos bajo ISO §6.1 con plan de monitoreo semestral y DPO designado conforme Ley 1581.</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C55A11" w:val="clear"/>
            <w:tcMar>
              <w:top w:type="dxa" w:w="120"/>
              <w:left w:type="dxa" w:w="150"/>
              <w:bottom w:type="dxa" w:w="120"/>
              <w:right w:type="dxa" w:w="150"/>
            </w:tcMar>
          </w:tcPr>
          <w:p>
            <w:r>
              <w:rPr>
                <w:rFonts w:ascii="Arial" w:cs="Arial" w:eastAsia="Arial" w:hAnsi="Arial"/>
                <w:b/>
                <w:bCs/>
                <w:color w:val="FFFFFF"/>
                <w:sz w:val="22"/>
                <w:szCs w:val="22"/>
              </w:rPr>
              <w:t xml:space="preserve">VJ5  </w:t>
            </w:r>
            <w:r>
              <w:rPr>
                <w:rFonts w:ascii="Arial" w:cs="Arial" w:eastAsia="Arial" w:hAnsi="Arial"/>
                <w:b/>
                <w:bCs/>
                <w:color w:val="FFFFFF"/>
                <w:sz w:val="22"/>
                <w:szCs w:val="22"/>
              </w:rPr>
              <w:t xml:space="preserve">Impact assessment sistémico incumple NIST MAP 5.1 e ISO §8.4</w:t>
            </w:r>
            <w:r>
              <w:rPr>
                <w:rFonts w:ascii="Arial" w:cs="Arial" w:eastAsia="Arial" w:hAnsi="Arial"/>
                <w:b w:val="false"/>
                <w:bCs w:val="false"/>
                <w:color w:val="FFE08A"/>
                <w:sz w:val="18"/>
                <w:szCs w:val="18"/>
              </w:rPr>
              <w:t xml:space="preserve">    [NIST MAP 5.1  |  ISO 42001 §8.4]</w:t>
            </w:r>
          </w:p>
        </w:tc>
      </w:tr>
      <w:tr>
        <w:tc>
          <w:tcPr>
            <w:tcW w:type="dxa" w:w="2000"/>
            <w:tcBorders>
              <w:top w:val="single" w:color="CCCCCC" w:sz="1"/>
              <w:left w:val="single" w:color="CCCCCC" w:sz="1"/>
              <w:bottom w:val="single" w:color="CCCCCC" w:sz="1"/>
              <w:right w:val="single" w:color="CCCCCC" w:sz="1"/>
            </w:tcBorders>
            <w:shd w:fill="8B1A1A" w:val="clear"/>
            <w:tcMar>
              <w:top w:type="dxa" w:w="100"/>
              <w:left w:type="dxa" w:w="150"/>
              <w:bottom w:type="dxa" w:w="100"/>
              <w:right w:type="dxa" w:w="150"/>
            </w:tcMar>
            <w:vAlign w:val="center"/>
          </w:tcPr>
          <w:p>
            <w:r>
              <w:rPr>
                <w:rFonts w:ascii="Arial" w:cs="Arial" w:eastAsia="Arial" w:hAnsi="Arial"/>
                <w:b/>
                <w:bCs/>
                <w:color w:val="FFFFFF"/>
                <w:sz w:val="18"/>
                <w:szCs w:val="18"/>
              </w:rPr>
              <w:t xml:space="preserve">🎯  ATAQUE</w:t>
            </w:r>
          </w:p>
        </w:tc>
        <w:tc>
          <w:tcPr>
            <w:tcW w:type="dxa" w:w="73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sz w:val="20"/>
                <w:szCs w:val="20"/>
              </w:rPr>
              <w:t xml:space="preserve">NIST AI RMF MAP 5.1 exige que la probabilidad y magnitud de las consecuencias del sistema estén definidas, incluyendo fallos en cascada. ISO/IEC 42001:2023 §8.4 requiere un AI System Impact Assessment que evalúe efectos sobre personas, derechos y sociedad. En la arquitectura split, este assessment es fragmentado e incompleto.</w:t>
            </w:r>
          </w:p>
        </w:tc>
      </w:tr>
      <w:tr>
        <w:tc>
          <w:tcPr>
            <w:tcW w:type="dxa" w:w="2000"/>
            <w:tcBorders>
              <w:top w:val="single" w:color="CCCCCC" w:sz="1"/>
              <w:left w:val="single" w:color="CCCCCC" w:sz="1"/>
              <w:bottom w:val="single" w:color="CCCCCC" w:sz="1"/>
              <w:right w:val="single" w:color="CCCCCC" w:sz="1"/>
            </w:tcBorders>
            <w:shd w:fill="5B5B5B" w:val="clear"/>
            <w:tcMar>
              <w:top w:type="dxa" w:w="100"/>
              <w:left w:type="dxa" w:w="150"/>
              <w:bottom w:type="dxa" w:w="100"/>
              <w:right w:type="dxa" w:w="150"/>
            </w:tcMar>
            <w:vAlign w:val="center"/>
          </w:tcPr>
          <w:p>
            <w:r>
              <w:rPr>
                <w:rFonts w:ascii="Arial" w:cs="Arial" w:eastAsia="Arial" w:hAnsi="Arial"/>
                <w:b/>
                <w:bCs/>
                <w:color w:val="FFFFFF"/>
                <w:sz w:val="18"/>
                <w:szCs w:val="18"/>
              </w:rPr>
              <w:t xml:space="preserve">📋  EVIDENCIA</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0"/>
                <w:szCs w:val="20"/>
              </w:rPr>
              <w:t xml:space="preserve">NIST MAP 5.1: 'Likelihood of impact on individuals, groups, communities, organizations, and society is examined and documented'. ISO 42001 §8.4: 'The organization shall conduct an AI system impact assessment considering... impacts on individuals and society'. Ambos marcos requieren evaluación del sistema como unidad funcional, no como suma de componentes.</w:t>
            </w:r>
          </w:p>
        </w:tc>
      </w:tr>
      <w:tr>
        <w:tc>
          <w:tcPr>
            <w:tcW w:type="dxa" w:w="2000"/>
            <w:tcBorders>
              <w:top w:val="single" w:color="CCCCCC" w:sz="1"/>
              <w:left w:val="single" w:color="CCCCCC" w:sz="1"/>
              <w:bottom w:val="single" w:color="CCCCCC" w:sz="1"/>
              <w:right w:val="single" w:color="CCCCCC" w:sz="1"/>
            </w:tcBorders>
            <w:shd w:fill="843C0C" w:val="clear"/>
            <w:tcMar>
              <w:top w:type="dxa" w:w="100"/>
              <w:left w:type="dxa" w:w="150"/>
              <w:bottom w:type="dxa" w:w="100"/>
              <w:right w:type="dxa" w:w="150"/>
            </w:tcMar>
            <w:vAlign w:val="center"/>
          </w:tcPr>
          <w:p>
            <w:r>
              <w:rPr>
                <w:rFonts w:ascii="Arial" w:cs="Arial" w:eastAsia="Arial" w:hAnsi="Arial"/>
                <w:b/>
                <w:bCs/>
                <w:color w:val="FFFFFF"/>
                <w:sz w:val="18"/>
                <w:szCs w:val="18"/>
              </w:rPr>
              <w:t xml:space="preserve">⚡  IMPACTO</w:t>
            </w:r>
          </w:p>
        </w:tc>
        <w:tc>
          <w:tcPr>
            <w:tcW w:type="dxa" w:w="73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rFonts w:ascii="Arial" w:cs="Arial" w:eastAsia="Arial" w:hAnsi="Arial"/>
                <w:sz w:val="20"/>
                <w:szCs w:val="20"/>
              </w:rPr>
              <w:t xml:space="preserve">Un impact assessment fragmentado no detecta efectos emergentes del sistema completo, como el escenario de amenaza vital clasificada como urgencia media (V-C2). Ante el jurado o un auditor, presentar tres impact assessments separados es un indicador de falta de comprensión sistémica.</w:t>
            </w:r>
          </w:p>
        </w:tc>
      </w:tr>
      <w:tr>
        <w:tc>
          <w:tcPr>
            <w:tcW w:type="dxa" w:w="2000"/>
            <w:tcBorders>
              <w:top w:val="single" w:color="CCCCCC" w:sz="1"/>
              <w:left w:val="single" w:color="CCCCCC" w:sz="1"/>
              <w:bottom w:val="single" w:color="CCCCCC" w:sz="1"/>
              <w:right w:val="single" w:color="CCCCCC" w:sz="1"/>
            </w:tcBorders>
            <w:shd w:fill="2D6A2D" w:val="clear"/>
            <w:tcMar>
              <w:top w:type="dxa" w:w="100"/>
              <w:left w:type="dxa" w:w="150"/>
              <w:bottom w:type="dxa" w:w="100"/>
              <w:right w:type="dxa" w:w="150"/>
            </w:tcMar>
            <w:vAlign w:val="center"/>
          </w:tcPr>
          <w:p>
            <w:r>
              <w:rPr>
                <w:rFonts w:ascii="Arial" w:cs="Arial" w:eastAsia="Arial" w:hAnsi="Arial"/>
                <w:b/>
                <w:bCs/>
                <w:color w:val="FFFFFF"/>
                <w:sz w:val="18"/>
                <w:szCs w:val="18"/>
              </w:rPr>
              <w:t xml:space="preserve">✅  RESOLUCIÓN</w:t>
            </w:r>
          </w:p>
        </w:tc>
        <w:tc>
          <w:tcPr>
            <w:tcW w:type="dxa" w:w="7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Arial" w:cs="Arial" w:eastAsia="Arial" w:hAnsi="Arial"/>
                <w:sz w:val="20"/>
                <w:szCs w:val="20"/>
              </w:rPr>
              <w:t xml:space="preserve">Con Claude API unificado, el impact assessment ISO §8.4 y el NIST MAP 5.1 cubren el sistema como una sola entidad. Los efectos emergentes, los sesgos acumulativos y los escenarios de fallo de alto impacto son evaluables end-to-end.</w:t>
            </w:r>
          </w:p>
        </w:tc>
      </w:tr>
    </w:tbl>
    <w:p>
      <w:pPr>
        <w:spacing w:after="0" w:before="200"/>
      </w:pPr>
    </w:p>
    <w:p>
      <w:r>
        <w:br w:type="page"/>
      </w:r>
    </w:p>
    <w:p>
      <w:pPr>
        <w:pStyle w:val="Heading1"/>
        <w:spacing w:after="200" w:before="400"/>
      </w:pPr>
      <w:r>
        <w:rPr>
          <w:rFonts w:ascii="Arial" w:cs="Arial" w:eastAsia="Arial" w:hAnsi="Arial"/>
          <w:b/>
          <w:bCs/>
          <w:color w:val="1F4E79"/>
          <w:sz w:val="32"/>
          <w:szCs w:val="32"/>
        </w:rPr>
        <w:t xml:space="preserve">Capítulo 4 — Vulnerabilidades de Cohesión del Sistema</w:t>
      </w:r>
    </w:p>
    <w:p>
      <w:pPr>
        <w:pStyle w:val="Heading2"/>
        <w:pBdr>
          <w:bottom w:val="single" w:color="1F4E79" w:sz="4" w:space="4"/>
        </w:pBdr>
        <w:spacing w:after="150" w:before="300"/>
      </w:pPr>
      <w:r>
        <w:rPr>
          <w:rFonts w:ascii="Arial" w:cs="Arial" w:eastAsia="Arial" w:hAnsi="Arial"/>
          <w:b/>
          <w:bCs/>
          <w:color w:val="1F4E79"/>
          <w:sz w:val="26"/>
          <w:szCs w:val="26"/>
        </w:rPr>
        <w:t xml:space="preserve">Ruptura semántica, inconsistencia, pipeline ciego y sesgo acumulativo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color w:val="1F4E79"/>
                <w:sz w:val="20"/>
                <w:szCs w:val="20"/>
              </w:rPr>
              <w:t xml:space="preserve">Este capítulo evalúa cómo la arquitectura split fragmenta la comprensión del texto a lo largo del pipeline, incorporando los requisitos de evaluación de sesgos del NIST AI RMF y las prácticas de IA responsable de ISO §8.5.</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C55A11" w:val="clear"/>
            <w:tcMar>
              <w:top w:type="dxa" w:w="120"/>
              <w:left w:type="dxa" w:w="150"/>
              <w:bottom w:type="dxa" w:w="120"/>
              <w:right w:type="dxa" w:w="150"/>
            </w:tcMar>
          </w:tcPr>
          <w:p>
            <w:r>
              <w:rPr>
                <w:rFonts w:ascii="Arial" w:cs="Arial" w:eastAsia="Arial" w:hAnsi="Arial"/>
                <w:b/>
                <w:bCs/>
                <w:color w:val="FFFFFF"/>
                <w:sz w:val="22"/>
                <w:szCs w:val="22"/>
              </w:rPr>
              <w:t xml:space="preserve">VC1  </w:t>
            </w:r>
            <w:r>
              <w:rPr>
                <w:rFonts w:ascii="Arial" w:cs="Arial" w:eastAsia="Arial" w:hAnsi="Arial"/>
                <w:b/>
                <w:bCs/>
                <w:color w:val="FFFFFF"/>
                <w:sz w:val="22"/>
                <w:szCs w:val="22"/>
              </w:rPr>
              <w:t xml:space="preserve">Ruptura semántica en la interfaz M2 → M6</w:t>
            </w:r>
          </w:p>
        </w:tc>
      </w:tr>
      <w:tr>
        <w:tc>
          <w:tcPr>
            <w:tcW w:type="dxa" w:w="2000"/>
            <w:tcBorders>
              <w:top w:val="single" w:color="CCCCCC" w:sz="1"/>
              <w:left w:val="single" w:color="CCCCCC" w:sz="1"/>
              <w:bottom w:val="single" w:color="CCCCCC" w:sz="1"/>
              <w:right w:val="single" w:color="CCCCCC" w:sz="1"/>
            </w:tcBorders>
            <w:shd w:fill="8B1A1A" w:val="clear"/>
            <w:tcMar>
              <w:top w:type="dxa" w:w="100"/>
              <w:left w:type="dxa" w:w="150"/>
              <w:bottom w:type="dxa" w:w="100"/>
              <w:right w:type="dxa" w:w="150"/>
            </w:tcMar>
            <w:vAlign w:val="center"/>
          </w:tcPr>
          <w:p>
            <w:r>
              <w:rPr>
                <w:rFonts w:ascii="Arial" w:cs="Arial" w:eastAsia="Arial" w:hAnsi="Arial"/>
                <w:b/>
                <w:bCs/>
                <w:color w:val="FFFFFF"/>
                <w:sz w:val="18"/>
                <w:szCs w:val="18"/>
              </w:rPr>
              <w:t xml:space="preserve">🎯  ATAQUE</w:t>
            </w:r>
          </w:p>
        </w:tc>
        <w:tc>
          <w:tcPr>
            <w:tcW w:type="dxa" w:w="73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sz w:val="20"/>
                <w:szCs w:val="20"/>
              </w:rPr>
              <w:t xml:space="preserve">BETO extrae entidades; RoBERTa clasifica. El output que llega a Claude en M6 es un objeto estructurado: {categoria, urgencia, entidades}. Claude genera el borrador sobre ese objeto, no sobre el texto original. El matiz semántico, el tono emocional y la gravedad narrada por el ciudadano se pierden en la serialización.</w:t>
            </w:r>
          </w:p>
        </w:tc>
      </w:tr>
      <w:tr>
        <w:tc>
          <w:tcPr>
            <w:tcW w:type="dxa" w:w="2000"/>
            <w:tcBorders>
              <w:top w:val="single" w:color="CCCCCC" w:sz="1"/>
              <w:left w:val="single" w:color="CCCCCC" w:sz="1"/>
              <w:bottom w:val="single" w:color="CCCCCC" w:sz="1"/>
              <w:right w:val="single" w:color="CCCCCC" w:sz="1"/>
            </w:tcBorders>
            <w:shd w:fill="5B5B5B" w:val="clear"/>
            <w:tcMar>
              <w:top w:type="dxa" w:w="100"/>
              <w:left w:type="dxa" w:w="150"/>
              <w:bottom w:type="dxa" w:w="100"/>
              <w:right w:type="dxa" w:w="150"/>
            </w:tcMar>
            <w:vAlign w:val="center"/>
          </w:tcPr>
          <w:p>
            <w:r>
              <w:rPr>
                <w:rFonts w:ascii="Arial" w:cs="Arial" w:eastAsia="Arial" w:hAnsi="Arial"/>
                <w:b/>
                <w:bCs/>
                <w:color w:val="FFFFFF"/>
                <w:sz w:val="18"/>
                <w:szCs w:val="18"/>
              </w:rPr>
              <w:t xml:space="preserve">📋  EVIDENCIA</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0"/>
                <w:szCs w:val="20"/>
              </w:rPr>
              <w:t xml:space="preserve">Este es el problema clásico de 'compresión con pérdida' en pipelines NLP multi-etapa. Cada modelo reduce la representación a sus dimensiones de salida, descartando información que puede ser crítica para la siguiente etapa.</w:t>
            </w:r>
          </w:p>
        </w:tc>
      </w:tr>
      <w:tr>
        <w:tc>
          <w:tcPr>
            <w:tcW w:type="dxa" w:w="2000"/>
            <w:tcBorders>
              <w:top w:val="single" w:color="CCCCCC" w:sz="1"/>
              <w:left w:val="single" w:color="CCCCCC" w:sz="1"/>
              <w:bottom w:val="single" w:color="CCCCCC" w:sz="1"/>
              <w:right w:val="single" w:color="CCCCCC" w:sz="1"/>
            </w:tcBorders>
            <w:shd w:fill="843C0C" w:val="clear"/>
            <w:tcMar>
              <w:top w:type="dxa" w:w="100"/>
              <w:left w:type="dxa" w:w="150"/>
              <w:bottom w:type="dxa" w:w="100"/>
              <w:right w:type="dxa" w:w="150"/>
            </w:tcMar>
            <w:vAlign w:val="center"/>
          </w:tcPr>
          <w:p>
            <w:r>
              <w:rPr>
                <w:rFonts w:ascii="Arial" w:cs="Arial" w:eastAsia="Arial" w:hAnsi="Arial"/>
                <w:b/>
                <w:bCs/>
                <w:color w:val="FFFFFF"/>
                <w:sz w:val="18"/>
                <w:szCs w:val="18"/>
              </w:rPr>
              <w:t xml:space="preserve">⚡  IMPACTO</w:t>
            </w:r>
          </w:p>
        </w:tc>
        <w:tc>
          <w:tcPr>
            <w:tcW w:type="dxa" w:w="73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rFonts w:ascii="Arial" w:cs="Arial" w:eastAsia="Arial" w:hAnsi="Arial"/>
                <w:sz w:val="20"/>
                <w:szCs w:val="20"/>
              </w:rPr>
              <w:t xml:space="preserve">Un borrador de Claude que responde a la categoría 'derecho a la vida' con urgencia 'alta' puede ser formal y correcto, pero carecer del reconocimiento del contexto específico. La respuesta llega fría e impersonal, impactando la percepción ciudadana.</w:t>
            </w:r>
          </w:p>
        </w:tc>
      </w:tr>
      <w:tr>
        <w:tc>
          <w:tcPr>
            <w:tcW w:type="dxa" w:w="2000"/>
            <w:tcBorders>
              <w:top w:val="single" w:color="CCCCCC" w:sz="1"/>
              <w:left w:val="single" w:color="CCCCCC" w:sz="1"/>
              <w:bottom w:val="single" w:color="CCCCCC" w:sz="1"/>
              <w:right w:val="single" w:color="CCCCCC" w:sz="1"/>
            </w:tcBorders>
            <w:shd w:fill="2D6A2D" w:val="clear"/>
            <w:tcMar>
              <w:top w:type="dxa" w:w="100"/>
              <w:left w:type="dxa" w:w="150"/>
              <w:bottom w:type="dxa" w:w="100"/>
              <w:right w:type="dxa" w:w="150"/>
            </w:tcMar>
            <w:vAlign w:val="center"/>
          </w:tcPr>
          <w:p>
            <w:r>
              <w:rPr>
                <w:rFonts w:ascii="Arial" w:cs="Arial" w:eastAsia="Arial" w:hAnsi="Arial"/>
                <w:b/>
                <w:bCs/>
                <w:color w:val="FFFFFF"/>
                <w:sz w:val="18"/>
                <w:szCs w:val="18"/>
              </w:rPr>
              <w:t xml:space="preserve">✅  RESOLUCIÓN</w:t>
            </w:r>
          </w:p>
        </w:tc>
        <w:tc>
          <w:tcPr>
            <w:tcW w:type="dxa" w:w="7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Arial" w:cs="Arial" w:eastAsia="Arial" w:hAnsi="Arial"/>
                <w:sz w:val="20"/>
                <w:szCs w:val="20"/>
              </w:rPr>
              <w:t xml:space="preserve">Con Claude API procesando el texto completo en todos los módulos, el contexto original está disponible hasta M6. El borrador referencia directamente lo que el ciudadano narró.</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C55A11" w:val="clear"/>
            <w:tcMar>
              <w:top w:type="dxa" w:w="120"/>
              <w:left w:type="dxa" w:w="150"/>
              <w:bottom w:type="dxa" w:w="120"/>
              <w:right w:type="dxa" w:w="150"/>
            </w:tcMar>
          </w:tcPr>
          <w:p>
            <w:r>
              <w:rPr>
                <w:rFonts w:ascii="Arial" w:cs="Arial" w:eastAsia="Arial" w:hAnsi="Arial"/>
                <w:b/>
                <w:bCs/>
                <w:color w:val="FFFFFF"/>
                <w:sz w:val="22"/>
                <w:szCs w:val="22"/>
              </w:rPr>
              <w:t xml:space="preserve">VC2  </w:t>
            </w:r>
            <w:r>
              <w:rPr>
                <w:rFonts w:ascii="Arial" w:cs="Arial" w:eastAsia="Arial" w:hAnsi="Arial"/>
                <w:b/>
                <w:bCs/>
                <w:color w:val="FFFFFF"/>
                <w:sz w:val="22"/>
                <w:szCs w:val="22"/>
              </w:rPr>
              <w:t xml:space="preserve">Inconsistencia entre clasificación y generación — el escenario de máximo riesgo</w:t>
            </w:r>
          </w:p>
        </w:tc>
      </w:tr>
      <w:tr>
        <w:tc>
          <w:tcPr>
            <w:tcW w:type="dxa" w:w="2000"/>
            <w:tcBorders>
              <w:top w:val="single" w:color="CCCCCC" w:sz="1"/>
              <w:left w:val="single" w:color="CCCCCC" w:sz="1"/>
              <w:bottom w:val="single" w:color="CCCCCC" w:sz="1"/>
              <w:right w:val="single" w:color="CCCCCC" w:sz="1"/>
            </w:tcBorders>
            <w:shd w:fill="8B1A1A" w:val="clear"/>
            <w:tcMar>
              <w:top w:type="dxa" w:w="100"/>
              <w:left w:type="dxa" w:w="150"/>
              <w:bottom w:type="dxa" w:w="100"/>
              <w:right w:type="dxa" w:w="150"/>
            </w:tcMar>
            <w:vAlign w:val="center"/>
          </w:tcPr>
          <w:p>
            <w:r>
              <w:rPr>
                <w:rFonts w:ascii="Arial" w:cs="Arial" w:eastAsia="Arial" w:hAnsi="Arial"/>
                <w:b/>
                <w:bCs/>
                <w:color w:val="FFFFFF"/>
                <w:sz w:val="18"/>
                <w:szCs w:val="18"/>
              </w:rPr>
              <w:t xml:space="preserve">🎯  ATAQUE</w:t>
            </w:r>
          </w:p>
        </w:tc>
        <w:tc>
          <w:tcPr>
            <w:tcW w:type="dxa" w:w="73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sz w:val="20"/>
                <w:szCs w:val="20"/>
              </w:rPr>
              <w:t xml:space="preserve">BETO puede extraer correctamente 'amenaza de muerte' en M1, pero RoBERTa puede asignar urgencia 'media' en M2 si su corpus de entrenamiento no tiene suficientes ejemplos de ese patrón en español colombiano. Claude en M6 recibe urgencia 'media' y genera un borrador de respuesta estándar para una petición que describía una amenaza de muerte.</w:t>
            </w:r>
          </w:p>
        </w:tc>
      </w:tr>
      <w:tr>
        <w:tc>
          <w:tcPr>
            <w:tcW w:type="dxa" w:w="2000"/>
            <w:tcBorders>
              <w:top w:val="single" w:color="CCCCCC" w:sz="1"/>
              <w:left w:val="single" w:color="CCCCCC" w:sz="1"/>
              <w:bottom w:val="single" w:color="CCCCCC" w:sz="1"/>
              <w:right w:val="single" w:color="CCCCCC" w:sz="1"/>
            </w:tcBorders>
            <w:shd w:fill="5B5B5B" w:val="clear"/>
            <w:tcMar>
              <w:top w:type="dxa" w:w="100"/>
              <w:left w:type="dxa" w:w="150"/>
              <w:bottom w:type="dxa" w:w="100"/>
              <w:right w:type="dxa" w:w="150"/>
            </w:tcMar>
            <w:vAlign w:val="center"/>
          </w:tcPr>
          <w:p>
            <w:r>
              <w:rPr>
                <w:rFonts w:ascii="Arial" w:cs="Arial" w:eastAsia="Arial" w:hAnsi="Arial"/>
                <w:b/>
                <w:bCs/>
                <w:color w:val="FFFFFF"/>
                <w:sz w:val="18"/>
                <w:szCs w:val="18"/>
              </w:rPr>
              <w:t xml:space="preserve">📋  EVIDENCIA</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0"/>
                <w:szCs w:val="20"/>
              </w:rPr>
              <w:t xml:space="preserve">Técnicamente posible dado el desajuste de corpus documentado en V-T1 y V-T2. La inconsistencia entre NER (M1) y clasificación (M2) existe, pero Claude en M6 no tiene visibilidad porque solo recibe el output de M2.</w:t>
            </w:r>
          </w:p>
        </w:tc>
      </w:tr>
      <w:tr>
        <w:tc>
          <w:tcPr>
            <w:tcW w:type="dxa" w:w="2000"/>
            <w:tcBorders>
              <w:top w:val="single" w:color="CCCCCC" w:sz="1"/>
              <w:left w:val="single" w:color="CCCCCC" w:sz="1"/>
              <w:bottom w:val="single" w:color="CCCCCC" w:sz="1"/>
              <w:right w:val="single" w:color="CCCCCC" w:sz="1"/>
            </w:tcBorders>
            <w:shd w:fill="843C0C" w:val="clear"/>
            <w:tcMar>
              <w:top w:type="dxa" w:w="100"/>
              <w:left w:type="dxa" w:w="150"/>
              <w:bottom w:type="dxa" w:w="100"/>
              <w:right w:type="dxa" w:w="150"/>
            </w:tcMar>
            <w:vAlign w:val="center"/>
          </w:tcPr>
          <w:p>
            <w:r>
              <w:rPr>
                <w:rFonts w:ascii="Arial" w:cs="Arial" w:eastAsia="Arial" w:hAnsi="Arial"/>
                <w:b/>
                <w:bCs/>
                <w:color w:val="FFFFFF"/>
                <w:sz w:val="18"/>
                <w:szCs w:val="18"/>
              </w:rPr>
              <w:t xml:space="preserve">⚡  IMPACTO</w:t>
            </w:r>
          </w:p>
        </w:tc>
        <w:tc>
          <w:tcPr>
            <w:tcW w:type="dxa" w:w="73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rFonts w:ascii="Arial" w:cs="Arial" w:eastAsia="Arial" w:hAnsi="Arial"/>
                <w:sz w:val="20"/>
                <w:szCs w:val="20"/>
              </w:rPr>
              <w:t xml:space="preserve">Este es el escenario de mayor riesgo del sistema: un caso de amenaza vital clasificado como urgencia media genera un borrador de respuesta rutinaria. El HITL puede capturarlo, pero solo si el profesional lee con atención el texto original y el borrador simultáneamente bajo condiciones de alto volumen.</w:t>
            </w:r>
          </w:p>
        </w:tc>
      </w:tr>
      <w:tr>
        <w:tc>
          <w:tcPr>
            <w:tcW w:type="dxa" w:w="2000"/>
            <w:tcBorders>
              <w:top w:val="single" w:color="CCCCCC" w:sz="1"/>
              <w:left w:val="single" w:color="CCCCCC" w:sz="1"/>
              <w:bottom w:val="single" w:color="CCCCCC" w:sz="1"/>
              <w:right w:val="single" w:color="CCCCCC" w:sz="1"/>
            </w:tcBorders>
            <w:shd w:fill="2D6A2D" w:val="clear"/>
            <w:tcMar>
              <w:top w:type="dxa" w:w="100"/>
              <w:left w:type="dxa" w:w="150"/>
              <w:bottom w:type="dxa" w:w="100"/>
              <w:right w:type="dxa" w:w="150"/>
            </w:tcMar>
            <w:vAlign w:val="center"/>
          </w:tcPr>
          <w:p>
            <w:r>
              <w:rPr>
                <w:rFonts w:ascii="Arial" w:cs="Arial" w:eastAsia="Arial" w:hAnsi="Arial"/>
                <w:b/>
                <w:bCs/>
                <w:color w:val="FFFFFF"/>
                <w:sz w:val="18"/>
                <w:szCs w:val="18"/>
              </w:rPr>
              <w:t xml:space="preserve">✅  RESOLUCIÓN</w:t>
            </w:r>
          </w:p>
        </w:tc>
        <w:tc>
          <w:tcPr>
            <w:tcW w:type="dxa" w:w="7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Arial" w:cs="Arial" w:eastAsia="Arial" w:hAnsi="Arial"/>
                <w:sz w:val="20"/>
                <w:szCs w:val="20"/>
              </w:rPr>
              <w:t xml:space="preserve">Con Claude procesando el texto completo en M2, la clasificación de urgencia se hace sobre el texto original, no sobre entidades serializadas. La inconsistencia desaparece porque extracción y clasificación ocurren en el mismo modelo con el mismo contexto.</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C55A11" w:val="clear"/>
            <w:tcMar>
              <w:top w:type="dxa" w:w="120"/>
              <w:left w:type="dxa" w:w="150"/>
              <w:bottom w:type="dxa" w:w="120"/>
              <w:right w:type="dxa" w:w="150"/>
            </w:tcMar>
          </w:tcPr>
          <w:p>
            <w:r>
              <w:rPr>
                <w:rFonts w:ascii="Arial" w:cs="Arial" w:eastAsia="Arial" w:hAnsi="Arial"/>
                <w:b/>
                <w:bCs/>
                <w:color w:val="FFFFFF"/>
                <w:sz w:val="22"/>
                <w:szCs w:val="22"/>
              </w:rPr>
              <w:t xml:space="preserve">VC3  </w:t>
            </w:r>
            <w:r>
              <w:rPr>
                <w:rFonts w:ascii="Arial" w:cs="Arial" w:eastAsia="Arial" w:hAnsi="Arial"/>
                <w:b/>
                <w:bCs/>
                <w:color w:val="FFFFFF"/>
                <w:sz w:val="22"/>
                <w:szCs w:val="22"/>
              </w:rPr>
              <w:t xml:space="preserve">Ausencia de razonamiento transversal — pipeline ciego</w:t>
            </w:r>
          </w:p>
        </w:tc>
      </w:tr>
      <w:tr>
        <w:tc>
          <w:tcPr>
            <w:tcW w:type="dxa" w:w="2000"/>
            <w:tcBorders>
              <w:top w:val="single" w:color="CCCCCC" w:sz="1"/>
              <w:left w:val="single" w:color="CCCCCC" w:sz="1"/>
              <w:bottom w:val="single" w:color="CCCCCC" w:sz="1"/>
              <w:right w:val="single" w:color="CCCCCC" w:sz="1"/>
            </w:tcBorders>
            <w:shd w:fill="8B1A1A" w:val="clear"/>
            <w:tcMar>
              <w:top w:type="dxa" w:w="100"/>
              <w:left w:type="dxa" w:w="150"/>
              <w:bottom w:type="dxa" w:w="100"/>
              <w:right w:type="dxa" w:w="150"/>
            </w:tcMar>
            <w:vAlign w:val="center"/>
          </w:tcPr>
          <w:p>
            <w:r>
              <w:rPr>
                <w:rFonts w:ascii="Arial" w:cs="Arial" w:eastAsia="Arial" w:hAnsi="Arial"/>
                <w:b/>
                <w:bCs/>
                <w:color w:val="FFFFFF"/>
                <w:sz w:val="18"/>
                <w:szCs w:val="18"/>
              </w:rPr>
              <w:t xml:space="preserve">🎯  ATAQUE</w:t>
            </w:r>
          </w:p>
        </w:tc>
        <w:tc>
          <w:tcPr>
            <w:tcW w:type="dxa" w:w="73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sz w:val="20"/>
                <w:szCs w:val="20"/>
              </w:rPr>
              <w:t xml:space="preserve">En la arquitectura split, ningún modelo tiene visibilidad completa del pipeline. BETO no sabe qué hará RoBERTa. RoBERTa no sabe qué generará Claude. Claude no sabe cómo llegó el caso hasta él. Esto impide razonar sobre inconsistencias internas o generar alertas cuando los outputs de distintos módulos son contradictorios.</w:t>
            </w:r>
          </w:p>
        </w:tc>
      </w:tr>
      <w:tr>
        <w:tc>
          <w:tcPr>
            <w:tcW w:type="dxa" w:w="2000"/>
            <w:tcBorders>
              <w:top w:val="single" w:color="CCCCCC" w:sz="1"/>
              <w:left w:val="single" w:color="CCCCCC" w:sz="1"/>
              <w:bottom w:val="single" w:color="CCCCCC" w:sz="1"/>
              <w:right w:val="single" w:color="CCCCCC" w:sz="1"/>
            </w:tcBorders>
            <w:shd w:fill="5B5B5B" w:val="clear"/>
            <w:tcMar>
              <w:top w:type="dxa" w:w="100"/>
              <w:left w:type="dxa" w:w="150"/>
              <w:bottom w:type="dxa" w:w="100"/>
              <w:right w:type="dxa" w:w="150"/>
            </w:tcMar>
            <w:vAlign w:val="center"/>
          </w:tcPr>
          <w:p>
            <w:r>
              <w:rPr>
                <w:rFonts w:ascii="Arial" w:cs="Arial" w:eastAsia="Arial" w:hAnsi="Arial"/>
                <w:b/>
                <w:bCs/>
                <w:color w:val="FFFFFF"/>
                <w:sz w:val="18"/>
                <w:szCs w:val="18"/>
              </w:rPr>
              <w:t xml:space="preserve">📋  EVIDENCIA</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0"/>
                <w:szCs w:val="20"/>
              </w:rPr>
              <w:t xml:space="preserve">Los sistemas agénticos modernos (LangGraph) resuelven esto con un estado global compartido. En la arquitectura split, ese estado está fragmentado entre tres modelos que no comparten memoria.</w:t>
            </w:r>
          </w:p>
        </w:tc>
      </w:tr>
      <w:tr>
        <w:tc>
          <w:tcPr>
            <w:tcW w:type="dxa" w:w="2000"/>
            <w:tcBorders>
              <w:top w:val="single" w:color="CCCCCC" w:sz="1"/>
              <w:left w:val="single" w:color="CCCCCC" w:sz="1"/>
              <w:bottom w:val="single" w:color="CCCCCC" w:sz="1"/>
              <w:right w:val="single" w:color="CCCCCC" w:sz="1"/>
            </w:tcBorders>
            <w:shd w:fill="843C0C" w:val="clear"/>
            <w:tcMar>
              <w:top w:type="dxa" w:w="100"/>
              <w:left w:type="dxa" w:w="150"/>
              <w:bottom w:type="dxa" w:w="100"/>
              <w:right w:type="dxa" w:w="150"/>
            </w:tcMar>
            <w:vAlign w:val="center"/>
          </w:tcPr>
          <w:p>
            <w:r>
              <w:rPr>
                <w:rFonts w:ascii="Arial" w:cs="Arial" w:eastAsia="Arial" w:hAnsi="Arial"/>
                <w:b/>
                <w:bCs/>
                <w:color w:val="FFFFFF"/>
                <w:sz w:val="18"/>
                <w:szCs w:val="18"/>
              </w:rPr>
              <w:t xml:space="preserve">⚡  IMPACTO</w:t>
            </w:r>
          </w:p>
        </w:tc>
        <w:tc>
          <w:tcPr>
            <w:tcW w:type="dxa" w:w="73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rFonts w:ascii="Arial" w:cs="Arial" w:eastAsia="Arial" w:hAnsi="Arial"/>
                <w:sz w:val="20"/>
                <w:szCs w:val="20"/>
              </w:rPr>
              <w:t xml:space="preserve">El sistema no puede detectar ni alertar sobre sus propias inconsistencias. Un pipeline que produce un borrador de urgencia media para una petición con entidades de amenaza vital no genera ninguna señal de alerta.</w:t>
            </w:r>
          </w:p>
        </w:tc>
      </w:tr>
      <w:tr>
        <w:tc>
          <w:tcPr>
            <w:tcW w:type="dxa" w:w="2000"/>
            <w:tcBorders>
              <w:top w:val="single" w:color="CCCCCC" w:sz="1"/>
              <w:left w:val="single" w:color="CCCCCC" w:sz="1"/>
              <w:bottom w:val="single" w:color="CCCCCC" w:sz="1"/>
              <w:right w:val="single" w:color="CCCCCC" w:sz="1"/>
            </w:tcBorders>
            <w:shd w:fill="2D6A2D" w:val="clear"/>
            <w:tcMar>
              <w:top w:type="dxa" w:w="100"/>
              <w:left w:type="dxa" w:w="150"/>
              <w:bottom w:type="dxa" w:w="100"/>
              <w:right w:type="dxa" w:w="150"/>
            </w:tcMar>
            <w:vAlign w:val="center"/>
          </w:tcPr>
          <w:p>
            <w:r>
              <w:rPr>
                <w:rFonts w:ascii="Arial" w:cs="Arial" w:eastAsia="Arial" w:hAnsi="Arial"/>
                <w:b/>
                <w:bCs/>
                <w:color w:val="FFFFFF"/>
                <w:sz w:val="18"/>
                <w:szCs w:val="18"/>
              </w:rPr>
              <w:t xml:space="preserve">✅  RESOLUCIÓN</w:t>
            </w:r>
          </w:p>
        </w:tc>
        <w:tc>
          <w:tcPr>
            <w:tcW w:type="dxa" w:w="7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Arial" w:cs="Arial" w:eastAsia="Arial" w:hAnsi="Arial"/>
                <w:sz w:val="20"/>
                <w:szCs w:val="20"/>
              </w:rPr>
              <w:t xml:space="preserve">Con Claude API como motor unificado en LangGraph, cada nodo puede leer el estado completo y generar alertas cuando detecta inconsistencias. Es un mecanismo de auto-auditoría que la arquitectura split no puede implementar.</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C55A11" w:val="clear"/>
            <w:tcMar>
              <w:top w:type="dxa" w:w="120"/>
              <w:left w:type="dxa" w:w="150"/>
              <w:bottom w:type="dxa" w:w="120"/>
              <w:right w:type="dxa" w:w="150"/>
            </w:tcMar>
          </w:tcPr>
          <w:p>
            <w:r>
              <w:rPr>
                <w:rFonts w:ascii="Arial" w:cs="Arial" w:eastAsia="Arial" w:hAnsi="Arial"/>
                <w:b/>
                <w:bCs/>
                <w:color w:val="FFFFFF"/>
                <w:sz w:val="22"/>
                <w:szCs w:val="22"/>
              </w:rPr>
              <w:t xml:space="preserve">VC4  </w:t>
            </w:r>
            <w:r>
              <w:rPr>
                <w:rFonts w:ascii="Arial" w:cs="Arial" w:eastAsia="Arial" w:hAnsi="Arial"/>
                <w:b/>
                <w:bCs/>
                <w:color w:val="FFFFFF"/>
                <w:sz w:val="22"/>
                <w:szCs w:val="22"/>
              </w:rPr>
              <w:t xml:space="preserve">Sesgo acumulativo entre modelos incumple NIST MEASURE (bias) e ISO §8.5</w:t>
            </w:r>
            <w:r>
              <w:rPr>
                <w:rFonts w:ascii="Arial" w:cs="Arial" w:eastAsia="Arial" w:hAnsi="Arial"/>
                <w:b w:val="false"/>
                <w:bCs w:val="false"/>
                <w:color w:val="FFE08A"/>
                <w:sz w:val="18"/>
                <w:szCs w:val="18"/>
              </w:rPr>
              <w:t xml:space="preserve">    [NIST MEASURE 2.8  |  ISO 42001 §8.5]</w:t>
            </w:r>
          </w:p>
        </w:tc>
      </w:tr>
      <w:tr>
        <w:tc>
          <w:tcPr>
            <w:tcW w:type="dxa" w:w="2000"/>
            <w:tcBorders>
              <w:top w:val="single" w:color="CCCCCC" w:sz="1"/>
              <w:left w:val="single" w:color="CCCCCC" w:sz="1"/>
              <w:bottom w:val="single" w:color="CCCCCC" w:sz="1"/>
              <w:right w:val="single" w:color="CCCCCC" w:sz="1"/>
            </w:tcBorders>
            <w:shd w:fill="8B1A1A" w:val="clear"/>
            <w:tcMar>
              <w:top w:type="dxa" w:w="100"/>
              <w:left w:type="dxa" w:w="150"/>
              <w:bottom w:type="dxa" w:w="100"/>
              <w:right w:type="dxa" w:w="150"/>
            </w:tcMar>
            <w:vAlign w:val="center"/>
          </w:tcPr>
          <w:p>
            <w:r>
              <w:rPr>
                <w:rFonts w:ascii="Arial" w:cs="Arial" w:eastAsia="Arial" w:hAnsi="Arial"/>
                <w:b/>
                <w:bCs/>
                <w:color w:val="FFFFFF"/>
                <w:sz w:val="18"/>
                <w:szCs w:val="18"/>
              </w:rPr>
              <w:t xml:space="preserve">🎯  ATAQUE</w:t>
            </w:r>
          </w:p>
        </w:tc>
        <w:tc>
          <w:tcPr>
            <w:tcW w:type="dxa" w:w="73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sz w:val="20"/>
                <w:szCs w:val="20"/>
              </w:rPr>
              <w:t xml:space="preserve">El NIST AI RMF (MEASURE 2.8) exige que el sistema sea evaluado para detectar sesgos. ISO/IEC 42001:2023 §8.5 requiere prácticas de IA responsable con evaluación de impacto diferencial sobre poblaciones vulnerables. En la arquitectura split, los sesgos de cada modelo se acumulan sin punto de evaluación sistémica. Con Claude API unificado el corpus de entrenamiento es opaco — Anthropic no lo publica — lo que plantea una objeción legítima sobre la auditabilidad del sesgo de base del modelo.</w:t>
            </w:r>
          </w:p>
        </w:tc>
      </w:tr>
      <w:tr>
        <w:tc>
          <w:tcPr>
            <w:tcW w:type="dxa" w:w="2000"/>
            <w:tcBorders>
              <w:top w:val="single" w:color="CCCCCC" w:sz="1"/>
              <w:left w:val="single" w:color="CCCCCC" w:sz="1"/>
              <w:bottom w:val="single" w:color="CCCCCC" w:sz="1"/>
              <w:right w:val="single" w:color="CCCCCC" w:sz="1"/>
            </w:tcBorders>
            <w:shd w:fill="5B5B5B" w:val="clear"/>
            <w:tcMar>
              <w:top w:type="dxa" w:w="100"/>
              <w:left w:type="dxa" w:w="150"/>
              <w:bottom w:type="dxa" w:w="100"/>
              <w:right w:type="dxa" w:w="150"/>
            </w:tcMar>
            <w:vAlign w:val="center"/>
          </w:tcPr>
          <w:p>
            <w:r>
              <w:rPr>
                <w:rFonts w:ascii="Arial" w:cs="Arial" w:eastAsia="Arial" w:hAnsi="Arial"/>
                <w:b/>
                <w:bCs/>
                <w:color w:val="FFFFFF"/>
                <w:sz w:val="18"/>
                <w:szCs w:val="18"/>
              </w:rPr>
              <w:t xml:space="preserve">📋  EVIDENCIA</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0"/>
                <w:szCs w:val="20"/>
              </w:rPr>
              <w:t xml:space="preserve">NIST MEASURE 2.8: 'Risks or performance impacts due to bias are evaluated'. ISO 42001 §8.5: 'The organization shall consider impacts of the AI system on individuals, groups and society, including vulnerable populations'. RFP §5.2 exige controles con enfoque diferencial de género, discapacidad y juventud. La opacidad del corpus de entrenamiento de modelos comerciales es una limitación documentada en la literatura de IA responsable (Bender et al., 2021 — 'Stochastic Parrots').</w:t>
            </w:r>
          </w:p>
        </w:tc>
      </w:tr>
      <w:tr>
        <w:tc>
          <w:tcPr>
            <w:tcW w:type="dxa" w:w="2000"/>
            <w:tcBorders>
              <w:top w:val="single" w:color="CCCCCC" w:sz="1"/>
              <w:left w:val="single" w:color="CCCCCC" w:sz="1"/>
              <w:bottom w:val="single" w:color="CCCCCC" w:sz="1"/>
              <w:right w:val="single" w:color="CCCCCC" w:sz="1"/>
            </w:tcBorders>
            <w:shd w:fill="843C0C" w:val="clear"/>
            <w:tcMar>
              <w:top w:type="dxa" w:w="100"/>
              <w:left w:type="dxa" w:w="150"/>
              <w:bottom w:type="dxa" w:w="100"/>
              <w:right w:type="dxa" w:w="150"/>
            </w:tcMar>
            <w:vAlign w:val="center"/>
          </w:tcPr>
          <w:p>
            <w:r>
              <w:rPr>
                <w:rFonts w:ascii="Arial" w:cs="Arial" w:eastAsia="Arial" w:hAnsi="Arial"/>
                <w:b/>
                <w:bCs/>
                <w:color w:val="FFFFFF"/>
                <w:sz w:val="18"/>
                <w:szCs w:val="18"/>
              </w:rPr>
              <w:t xml:space="preserve">⚡  IMPACTO</w:t>
            </w:r>
          </w:p>
        </w:tc>
        <w:tc>
          <w:tcPr>
            <w:tcW w:type="dxa" w:w="73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rFonts w:ascii="Arial" w:cs="Arial" w:eastAsia="Arial" w:hAnsi="Arial"/>
                <w:sz w:val="20"/>
                <w:szCs w:val="20"/>
              </w:rPr>
              <w:t xml:space="preserve">Sin acceso al corpus raw de entrenamiento no es posible auditar directamente si Claude reproduce sesgos sobre poblaciones específicas del contexto colombiano: mujeres víctimas de violencia, comunidades étnicas, personas con discapacidad. Un sesgo no detectado en la clasificación de urgencia puede generar impacto diferencial sistemático — exactamente el riesgo que el RFP §5.2 obliga a mitigar.</w:t>
            </w:r>
          </w:p>
        </w:tc>
      </w:tr>
      <w:tr>
        <w:tc>
          <w:tcPr>
            <w:tcW w:type="dxa" w:w="2000"/>
            <w:tcBorders>
              <w:top w:val="single" w:color="CCCCCC" w:sz="1"/>
              <w:left w:val="single" w:color="CCCCCC" w:sz="1"/>
              <w:bottom w:val="single" w:color="CCCCCC" w:sz="1"/>
              <w:right w:val="single" w:color="CCCCCC" w:sz="1"/>
            </w:tcBorders>
            <w:shd w:fill="2D6A2D" w:val="clear"/>
            <w:tcMar>
              <w:top w:type="dxa" w:w="100"/>
              <w:left w:type="dxa" w:w="150"/>
              <w:bottom w:type="dxa" w:w="100"/>
              <w:right w:type="dxa" w:w="150"/>
            </w:tcMar>
            <w:vAlign w:val="center"/>
          </w:tcPr>
          <w:p>
            <w:r>
              <w:rPr>
                <w:rFonts w:ascii="Arial" w:cs="Arial" w:eastAsia="Arial" w:hAnsi="Arial"/>
                <w:b/>
                <w:bCs/>
                <w:color w:val="FFFFFF"/>
                <w:sz w:val="18"/>
                <w:szCs w:val="18"/>
              </w:rPr>
              <w:t xml:space="preserve">✅  RESOLUCIÓN</w:t>
            </w:r>
          </w:p>
        </w:tc>
        <w:tc>
          <w:tcPr>
            <w:tcW w:type="dxa" w:w="7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Arial" w:cs="Arial" w:eastAsia="Arial" w:hAnsi="Arial"/>
                <w:sz w:val="20"/>
                <w:szCs w:val="20"/>
              </w:rPr>
              <w:t xml:space="preserve">Mitigación en cuatro capas que satisface NIST MEASURE 2.8 e ISO §8.5 sin requerir acceso al corpus: (1) Anthropic publica Model Cards con evaluaciones de sesgo sobre benchmarks estándar (BBQ, WinoBias, StereoSet) realizadas por equipos internos y auditores externos — documentación auditada que la ISO §8.5 acepta como evidencia de debida diligencia. (2) Para clientes enterprise es posible solicitar reportes de evaluación de sesgo de terceros bajo NDA, lo que permite al DPO de la Defensoría revisar las evaluaciones sin acceso al corpus raw. (3) Evaluación de sesgo propia end-to-end sobre el corpus sintético calibrado al RFP (N=20,417): se mide el impacto diferencial del sistema completo sobre subpoblaciones de URAB — mujeres, personas con discapacidad, menores — con muestra estratificada, compensando la opacidad del modelo base con evidencia empírica del contexto de despliegue. (4) El Comité de IA institucional realiza auditoría semestral de equidad sobre los outputs de M2 con revisión humana de muestra aleatoria estratificada. Riesgo residual documentado en registro ISO §6.1: sesgo latente no detectable sin acceso al corpus, con plan de monitoreo continuo vía HITL y canal de reporte ciudadano.</w:t>
            </w:r>
          </w:p>
        </w:tc>
      </w:tr>
    </w:tbl>
    <w:p>
      <w:pPr>
        <w:spacing w:after="0" w:before="200"/>
      </w:pPr>
    </w:p>
    <w:p>
      <w:r>
        <w:br w:type="page"/>
      </w:r>
    </w:p>
    <w:p>
      <w:pPr>
        <w:pStyle w:val="Heading1"/>
        <w:spacing w:after="200" w:before="400"/>
      </w:pPr>
      <w:r>
        <w:rPr>
          <w:rFonts w:ascii="Arial" w:cs="Arial" w:eastAsia="Arial" w:hAnsi="Arial"/>
          <w:b/>
          <w:bCs/>
          <w:color w:val="1F4E79"/>
          <w:sz w:val="32"/>
          <w:szCs w:val="32"/>
        </w:rPr>
        <w:t xml:space="preserve">Conclusiones — Argumento de descarte y migración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color w:val="1F4E79"/>
                <w:sz w:val="20"/>
                <w:szCs w:val="20"/>
              </w:rPr>
              <w:t xml:space="preserve">Este ejercicio de red teaming no invalida la arquitectura original como concepto: BETO y RoBERTa-es son modelos válidos para NLP en español. El problema es su adecuación al contexto de la URAB y su operabilidad en una entidad pública con capacidades técnicas limitadas y obligaciones normativas exigentes bajo tres marcos simultáneos.</w:t>
            </w:r>
          </w:p>
        </w:tc>
      </w:tr>
    </w:tbl>
    <w:p>
      <w:pPr>
        <w:spacing w:after="0" w:before="160"/>
      </w:pPr>
    </w:p>
    <w:p>
      <w:pPr>
        <w:spacing w:after="80" w:before="80"/>
      </w:pPr>
      <w:r>
        <w:rPr>
          <w:rFonts w:ascii="Arial" w:cs="Arial" w:eastAsia="Arial" w:hAnsi="Arial"/>
          <w:b/>
          <w:bCs/>
          <w:color w:val="000000"/>
          <w:sz w:val="20"/>
          <w:szCs w:val="20"/>
        </w:rPr>
        <w:t xml:space="preserve">Las 18 vulnerabilidades forman tres argumentos de descarte consolidados: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Argumento</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Vulnerabilidades que lo sustentan</w:t>
            </w:r>
          </w:p>
        </w:tc>
      </w:tr>
      <w:tr>
        <w:tc>
          <w:tcPr>
            <w:tcW w:type="dxa" w:w="320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1. Inadecuación al contexto colombiano</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V-T1, V-T2 (corpus BETO/RoBERTa-lex no conocen derecho colombiano) + V-C2 (amenaza vital clasificada como urgencia media)</w:t>
            </w:r>
          </w:p>
        </w:tc>
      </w:tr>
      <w:tr>
        <w:tc>
          <w:tcPr>
            <w:tcW w:type="dxa" w:w="320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2. Inoperabilidad institucional</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V-T3 (drift), V-O1 (GPU), V-O2 (mantenimiento dual), V-O3 (regresión), V-O4 (registro de riesgos fragmentado: NIST GOVERN + ISO §6.1)</w:t>
            </w:r>
          </w:p>
        </w:tc>
      </w:tr>
      <w:tr>
        <w:tc>
          <w:tcPr>
            <w:tcW w:type="dxa" w:w="320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3. Incumplimiento normativo no mitigable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V-J2 (Directiva 007 XAI), V-J3 (Art. 29 CP), V-J5 (NIST MAP 5.1 + ISO §8.4 impact assessment fragmentado), V-T5 (NIST MEASURE 2.5/2.6 + ISO §9.1), V-C4 (NIST MEASURE 2.8 sesgo acumulativo + ISO §8.5)</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r>
              <w:rPr>
                <w:rFonts w:ascii="Arial" w:cs="Arial" w:eastAsia="Arial" w:hAnsi="Arial"/>
                <w:color w:val="375623"/>
                <w:sz w:val="20"/>
                <w:szCs w:val="20"/>
              </w:rPr>
              <w:t xml:space="preserve">Declaración para el pitch: «La arquitectura BETO/RoBERTa-es + Claude (M6) fue nuestra hipótesis inicial. Ejecutamos un ejercicio de red teaming contra ella bajo tres marcos simultáneos: Directiva 007/2025, NIST AI RMF e ISO/IEC 42001:2023. Identificamos 18 vulnerabilidades en 4 dimensiones. Cinco representan incumplimientos normativos estructurales en la arquitectura split. Las dos vulnerabilidades residuales de la arquitectura unificada — transferencia internacional (V-J4) y opacidad del corpus (V-C4) — se mitigan mediante instrumentos contractuales (DPA con zero data retention y cláusulas GDPR-equivalentes) y de gobernanza (model cards auditadas, evaluación de sesgo propia sobre corpus URAB, auditoría semestral del Comité de IA). Están documentadas en el registro de riesgos con su plan de monitoreo, cumpliendo NIST GOVERN 1.1 e ISO §6.1. Esa evidencia, no una preferencia de proveedor, fundamenta la decisión arquitectónica.»</w:t>
            </w:r>
          </w:p>
        </w:tc>
      </w:tr>
    </w:tbl>
    <w:p>
      <w:pPr>
        <w:spacing w:after="0" w:before="160"/>
      </w:pPr>
    </w:p>
    <w:p>
      <w:pPr>
        <w:spacing w:after="80" w:before="80"/>
      </w:pPr>
      <w:r>
        <w:rPr>
          <w:rFonts w:ascii="Arial" w:cs="Arial" w:eastAsia="Arial" w:hAnsi="Arial"/>
          <w:b w:val="false"/>
          <w:bCs w:val="false"/>
          <w:color w:val="888888"/>
          <w:sz w:val="18"/>
          <w:szCs w:val="18"/>
        </w:rPr>
        <w:t xml:space="preserve">Mayo 2026 — Legal Strategy Lab, Universidad Externado de Colombia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2026-05-30T13:57:06.415Z</dcterms:created>
  <dcterms:modified xsi:type="dcterms:W3CDTF">2026-05-30T13:57:06.436Z</dcterms:modified>
</cp:coreProperties>
</file>

<file path=docProps/custom.xml><?xml version="1.0" encoding="utf-8"?>
<Properties xmlns="http://schemas.openxmlformats.org/officeDocument/2006/custom-properties" xmlns:vt="http://schemas.openxmlformats.org/officeDocument/2006/docPropsVTypes"/>
</file>