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B78D1E"/>
          <w:sz w:val="36"/>
        </w:rPr>
        <w:t>GRAND BALLROOM EVENTS — FINAL PROJECT REPORT</w:t>
      </w:r>
    </w:p>
    <w:p>
      <w:pPr>
        <w:spacing w:after="280"/>
        <w:jc w:val="center"/>
      </w:pPr>
      <w:r>
        <w:rPr>
          <w:color w:val="646464"/>
          <w:sz w:val="19"/>
        </w:rPr>
        <w:t>Year 11 Applied Information Technology ATAR | Unit 2 Task 10</w:t>
        <w:br/>
        <w:t>Website Project Design, Development and Evaluation Report</w:t>
        <w:br/>
        <w:t>Author: kmaba | Due Date: 17th August 2026 | Weighting: 15%</w:t>
      </w:r>
    </w:p>
    <w:p>
      <w:pPr>
        <w:pStyle w:val="Heading1"/>
        <w:spacing w:before="280" w:after="80"/>
      </w:pPr>
      <w:r>
        <w:rPr>
          <w:color w:val="B78D1E"/>
        </w:rPr>
        <w:t>Part 1: Project Planning &amp; Design</w:t>
      </w:r>
    </w:p>
    <w:p>
      <w:pPr>
        <w:pStyle w:val="Heading2"/>
        <w:spacing w:before="200" w:after="60"/>
      </w:pPr>
      <w:r>
        <w:rPr>
          <w:color w:val="282828"/>
        </w:rPr>
        <w:t>Statement of Intent / Aim of the Project</w:t>
      </w:r>
    </w:p>
    <w:p>
      <w:pPr>
        <w:spacing w:after="100" w:line="276" w:lineRule="auto"/>
      </w:pPr>
      <w:r>
        <w:rPr>
          <w:b/>
        </w:rPr>
        <w:t xml:space="preserve">Problem: </w:t>
      </w:r>
      <w:r>
        <w:t xml:space="preserve"> Grand Ballroom Events, an established premium venue in Perth, Western Australia, lacked an effective online presence to showcase its luxury spaces, promote event packages, and convert visitor enquiries into confirmed bookings. Its previous digital footprint was non-responsive, outdated, and provided no online booking or availability mechanism.</w:t>
      </w:r>
    </w:p>
    <w:p>
      <w:pPr>
        <w:spacing w:after="100" w:line="276" w:lineRule="auto"/>
      </w:pPr>
      <w:r>
        <w:rPr>
          <w:b/>
        </w:rPr>
        <w:t xml:space="preserve">Solution: </w:t>
      </w:r>
      <w:r>
        <w:t xml:space="preserve"> To engineer a high-performance, responsive website and mobile companion application featuring interactive ballroom facility showcases, transparent package pricing, high-definition visual galleries, streamlined booking and availability enquiry pathways, and strict APA 7th edition referencing compliance.</w:t>
      </w:r>
    </w:p>
    <w:p>
      <w:pPr>
        <w:pStyle w:val="Heading2"/>
        <w:spacing w:before="200" w:after="60"/>
      </w:pPr>
      <w:r>
        <w:rPr>
          <w:color w:val="282828"/>
        </w:rPr>
        <w:t>Target Audience Identification &amp; Catering Strategies</w:t>
      </w:r>
    </w:p>
    <w:p>
      <w:pPr>
        <w:spacing w:after="100" w:line="276" w:lineRule="auto"/>
      </w:pPr>
      <w:r>
        <w:rPr>
          <w:b/>
        </w:rPr>
        <w:t xml:space="preserve">1. Wedding Couples (Ages 24–38): </w:t>
      </w:r>
      <w:r>
        <w:t>Couples seeking an opulent, memorable setting with full-service wedding coordination, bridal suites, and romantic ambiance.</w:t>
      </w:r>
    </w:p>
    <w:p>
      <w:pPr>
        <w:spacing w:after="100" w:line="276" w:lineRule="auto"/>
      </w:pPr>
      <w:r>
        <w:t>Catered through elegant Playfair Display serif typography, warm gold accents (#B78D1E), romantic banquet photography, and dedicated bridal suite facility breakdowns.</w:t>
      </w:r>
    </w:p>
    <w:p>
      <w:pPr>
        <w:spacing w:after="100" w:line="276" w:lineRule="auto"/>
      </w:pPr>
      <w:r>
        <w:rPr>
          <w:b/>
        </w:rPr>
        <w:t xml:space="preserve">2. Corporate Function Planners &amp; Gala Organisers: </w:t>
      </w:r>
      <w:r>
        <w:t>Planners requiring professional AV infrastructure, flexible seating up to 500 guests, transparent tier pricing, and rapid corporate enquiry turnaround.</w:t>
      </w:r>
    </w:p>
    <w:p>
      <w:pPr>
        <w:spacing w:after="100" w:line="276" w:lineRule="auto"/>
      </w:pPr>
      <w:r>
        <w:t>Catered with transparent Essential, Premium, and Platinum package inclusions, commercial kitchen and stage rig specifications, and a guaranteed 24-hour enquiry response commitment.</w:t>
      </w:r>
    </w:p>
    <w:p>
      <w:pPr>
        <w:spacing w:after="100" w:line="276" w:lineRule="auto"/>
      </w:pPr>
      <w:r>
        <w:rPr>
          <w:b/>
        </w:rPr>
        <w:t xml:space="preserve">3. Milestone Celebration Hosts (Birthdays, Formals, Cultural Celebrations): </w:t>
      </w:r>
      <w:r>
        <w:t>Hosts looking for vibrant party styling, customizable catering, verified customer reviews, and fast smartphone accessibility.</w:t>
      </w:r>
    </w:p>
    <w:p>
      <w:pPr>
        <w:spacing w:after="100" w:line="276" w:lineRule="auto"/>
      </w:pPr>
      <w:r>
        <w:t>Catered through 5-star customer testimonials, dynamic video reels of previous functions, and touch-optimized mobile booking forms.</w:t>
      </w:r>
    </w:p>
    <w:p>
      <w:pPr>
        <w:pStyle w:val="Heading2"/>
        <w:spacing w:before="200" w:after="60"/>
      </w:pPr>
      <w:r>
        <w:rPr>
          <w:color w:val="282828"/>
        </w:rPr>
        <w:t>Style Guide for the Website</w:t>
      </w:r>
    </w:p>
    <w:p>
      <w:pPr>
        <w:spacing w:after="100" w:line="276" w:lineRule="auto"/>
      </w:pPr>
      <w:r>
        <w:rPr>
          <w:b/>
        </w:rPr>
        <w:t xml:space="preserve">Style Guide Overview: </w:t>
      </w:r>
      <w:r>
        <w:t>A sophisticated luxury design system combining high visual contrast with refined elegance:</w:t>
      </w:r>
    </w:p>
    <w:p>
      <w:pPr>
        <w:spacing w:after="100" w:line="276" w:lineRule="auto"/>
      </w:pPr>
      <w:r>
        <w:t>• Colour Palette: Primary Gold Accent (#B78D1E) conveying luxury; Deep Obsidian (#121212) and Charcoal (#191b1d) providing dramatic depth; Clean Canvas Neutrals (#ffffff / #ebebeb / #f1f1f1) for legible card surfaces; Soft White Body Typography (rgba(255,255,255,0.85)).</w:t>
        <w:br/>
        <w:t>• Typography: Display Serif ('Playfair Display') for prominent section headings; Geometric Sans-Serif ('Inter') for body copy, menus, and form inputs.</w:t>
        <w:br/>
        <w:t>• Visual Elements: Glassmorphism badges, subtle drop shadows, smooth parabolic image animations, and custom magnetic cursor tracking.</w:t>
      </w:r>
    </w:p>
    <w:p>
      <w:pPr>
        <w:spacing w:after="100" w:line="276" w:lineRule="auto"/>
      </w:pPr>
      <w:r>
        <w:rPr>
          <w:b/>
        </w:rPr>
        <w:t xml:space="preserve">Design Consistency &amp; Unity Justification: </w:t>
      </w:r>
      <w:r>
        <w:t>Unity is achieved by adhering to the 60-30-10 color rule (60% dark/neutral foundation, 30% clean content containers, 10% gold focal accents). The pairing of classic Playfair Display with modern Inter creates visual harmony that resonates with high-end clients.</w:t>
      </w:r>
    </w:p>
    <w:p>
      <w:pPr>
        <w:spacing w:after="100" w:line="276" w:lineRule="auto"/>
      </w:pPr>
      <w:r>
        <w:rPr>
          <w:b/>
        </w:rPr>
        <w:t xml:space="preserve">Composition Rule: </w:t>
      </w:r>
      <w:r>
        <w:t>Visual Hierarchy and Proximity: Elements are structured with strong vertical alignment and clear focal points, guiding user attention from the hero tagline down to transparent pricing, social proof, and direct booking actions.</w:t>
      </w:r>
    </w:p>
    <w:p>
      <w:pPr>
        <w:spacing w:after="100" w:line="276" w:lineRule="auto"/>
      </w:pPr>
      <w:r>
        <w:rPr>
          <w:b/>
        </w:rPr>
        <w:t xml:space="preserve">Homepage Content Organisation: </w:t>
      </w:r>
      <w:r>
        <w:t>Structured in a logical conversion funnel: (1) Hero with 'Get Started' dropdown, (2) About Us value proposition, (3) Ballroom Facilities grid, (4) Event Packages pricing, (5) Visual Gallery with videos, (6) Testimonials, (7) Book CTA banner, and (8) Contact &amp; Footer with APA 7 links.</w:t>
      </w:r>
    </w:p>
    <w:p>
      <w:pPr>
        <w:spacing w:after="100" w:line="276" w:lineRule="auto"/>
      </w:pPr>
      <w:r>
        <w:rPr>
          <w:b/>
        </w:rPr>
        <w:t xml:space="preserve">Typeface/Typography Selection: </w:t>
      </w:r>
      <w:r>
        <w:t>Serif (Playfair Display) for headlines and Sans-Serif (Inter) for body copy. Serifs evoke heritage, prestige, and formality suitable for luxury ballrooms, while Sans-Serif ensures effortless readability across all digital displays.</w:t>
      </w:r>
    </w:p>
    <w:p>
      <w:pPr>
        <w:pStyle w:val="Heading2"/>
        <w:spacing w:before="200" w:after="60"/>
      </w:pPr>
      <w:r>
        <w:rPr>
          <w:color w:val="282828"/>
        </w:rPr>
        <w:t>Project Management Approach &amp; Planning Tools</w:t>
      </w:r>
    </w:p>
    <w:p>
      <w:pPr>
        <w:spacing w:after="100" w:line="276" w:lineRule="auto"/>
      </w:pPr>
      <w:r>
        <w:rPr>
          <w:b/>
        </w:rPr>
        <w:t xml:space="preserve">Project Management Approach: </w:t>
      </w:r>
      <w:r>
        <w:t>Agile Scrum with weekly sprint cycles across a 4-week timeline.</w:t>
      </w:r>
    </w:p>
    <w:p>
      <w:pPr>
        <w:spacing w:after="100" w:line="276" w:lineRule="auto"/>
      </w:pPr>
      <w:r>
        <w:rPr>
          <w:b/>
        </w:rPr>
        <w:t xml:space="preserve">Justification &amp; Suitability: </w:t>
      </w:r>
      <w:r>
        <w:t>Agile Scrum facilitated rapid iteration, frequent component testing, and seamless integration of peer feedback (such as dropdown CTA refinement and subpage navbar streamlining) without delaying project milestones.</w:t>
      </w:r>
    </w:p>
    <w:p>
      <w:pPr>
        <w:spacing w:after="100" w:line="276" w:lineRule="auto"/>
      </w:pPr>
      <w:r>
        <w:rPr>
          <w:b/>
        </w:rPr>
        <w:t xml:space="preserve">Planning Tool 1 — Gantt Chart: </w:t>
      </w:r>
      <w:r>
        <w:t>A visual timeline mapping task sequences, dependencies, and delivery milestones across the 4-week lifecycle, ensuring wireframing, frontend engineering, and asset attribution were completed on schedule.</w:t>
      </w:r>
    </w:p>
    <w:p>
      <w:pPr>
        <w:spacing w:after="100" w:line="276" w:lineRule="auto"/>
      </w:pPr>
      <w:r>
        <w:rPr>
          <w:b/>
        </w:rPr>
        <w:t xml:space="preserve">Planning Tool 2 — Kanban Board (Trello/GitHub Projects): </w:t>
      </w:r>
      <w:r>
        <w:t>An agile workflow board categorized into Backlog, In Progress, Testing, and Done. This provided real-time visibility into individual technical deliverables such as Barba transitions and form validation.</w:t>
      </w:r>
    </w:p>
    <w:p>
      <w:pPr>
        <w:pStyle w:val="Heading2"/>
        <w:spacing w:before="200" w:after="60"/>
      </w:pPr>
      <w:r>
        <w:rPr>
          <w:color w:val="282828"/>
        </w:rPr>
        <w:t>Design Principles &amp; Elements</w:t>
      </w:r>
    </w:p>
    <w:p>
      <w:pPr>
        <w:spacing w:after="100" w:line="276" w:lineRule="auto"/>
      </w:pPr>
      <w:r>
        <w:t>Website Design Principles &amp; Elements (Workbook Format):</w:t>
        <w:br/>
        <w:t>1. Element: Colour (Gold #B78D1E &amp; Obsidian #121212) | Principle: Contrast &amp; Dominance | Relationship: Strong tonal contrast between dark backgrounds and golden CTA buttons establishes immediate visual dominance, guiding users to book.</w:t>
        <w:br/>
        <w:t>2. Element: Space (Generous negative whitespace around cards) | Principle: Balance &amp; Proximity | Relationship: Negative whitespace visually unifies related package features while maintaining an uncluttered, balanced layout.</w:t>
        <w:br/>
        <w:t>3. Element: Typography (Playfair Display Serif + Inter Sans) | Principle: Visual Hierarchy &amp; Harmony | Relationship: Distinct headline font scaling creates an intuitive reading hierarchy while maintaining design unity across sections.</w:t>
        <w:br/>
        <w:br/>
        <w:t>Mobile App Design Principles &amp; Elements:</w:t>
        <w:br/>
        <w:t>1. Element: Shape (Rounded touch cards with 12px border radius) | Principle: Unity &amp; Affordance | Relationship: Uniform rounded cards create a cohesive aesthetic while signaling tap-friendly interactive components.</w:t>
        <w:br/>
        <w:t>2. Element: Scale (Prominent sticky 'Check Availability' button) | Principle: Proportion &amp; Emphasis | Relationship: Proportionally larger primary action buttons prioritize immediate conversion on mobile touchscreens.</w:t>
      </w:r>
    </w:p>
    <w:p>
      <w:pPr>
        <w:pStyle w:val="Heading2"/>
        <w:spacing w:before="200" w:after="60"/>
      </w:pPr>
      <w:r>
        <w:rPr>
          <w:color w:val="282828"/>
        </w:rPr>
        <w:t>Design Considerations &amp; Influence on Features</w:t>
      </w:r>
    </w:p>
    <w:p>
      <w:pPr>
        <w:spacing w:after="100" w:line="276" w:lineRule="auto"/>
      </w:pPr>
      <w:r>
        <w:t>Five Key Design Considerations:</w:t>
        <w:br/>
        <w:t>1. Goal: Effortless user navigation. Feature: Sticky header with internal section bookmarks and a consolidated 'Get Started' dropdown.</w:t>
        <w:br/>
        <w:t>2. Goal: Immersive venue exploration. Feature: Multi-image parallax hero fan and video showcase gallery featuring auto-playing ambient loops.</w:t>
        <w:br/>
        <w:t>3. Goal: Transparent pricing and decision support. Feature: Interactive 3-tier package comparison cards (Essential, Premium, Platinum) with highlighted 'Featured' tier.</w:t>
        <w:br/>
        <w:t>4. Goal: Rapid enquiry conversion. Feature: Dedicated, streamlined 'Check Availability' and 'Request a Booking' forms with automated 24-hour response confirmation.</w:t>
        <w:br/>
        <w:t>5. Goal: Strict legal and ethical compliance. Feature: Comprehensive APA 7th edition references page accessible via prominent footer links with print/download functionality.</w:t>
        <w:br/>
        <w:br/>
        <w:t>Influence on Mobile App Features:</w:t>
        <w:br/>
        <w:t>• Consideration 1 (Touch ergonomics) influenced the mobile app's fixed bottom navigation bar for single-thumb operation.</w:t>
        <w:br/>
        <w:t>• Consideration 2 (Bandwidth efficiency) influenced lazy-loading video reels and optimized WebP image assets.</w:t>
        <w:br/>
        <w:t>• Consideration 3 (Immediate booking conversion) influenced the inclusion of a prominent 1-tap booking button in the mobile app header.</w:t>
      </w:r>
    </w:p>
    <w:p>
      <w:pPr>
        <w:pStyle w:val="Heading1"/>
        <w:spacing w:before="280" w:after="80"/>
      </w:pPr>
      <w:r>
        <w:rPr>
          <w:color w:val="B78D1E"/>
        </w:rPr>
        <w:t>Part 4: Self-Evaluation &amp; Technical Analysis</w:t>
      </w:r>
    </w:p>
    <w:p>
      <w:pPr>
        <w:pStyle w:val="Heading2"/>
        <w:spacing w:before="200" w:after="60"/>
      </w:pPr>
      <w:r>
        <w:rPr>
          <w:color w:val="282828"/>
        </w:rPr>
        <w:t>General Evaluation</w:t>
      </w:r>
    </w:p>
    <w:p>
      <w:pPr>
        <w:spacing w:after="100" w:line="276" w:lineRule="auto"/>
      </w:pPr>
      <w:r>
        <w:rPr>
          <w:b/>
        </w:rPr>
        <w:t xml:space="preserve">Meeting Project Requirements: </w:t>
      </w:r>
      <w:r>
        <w:t>All functional specifications from the client brief were met, including the logo placement, 6-item static internal bookmark navigation, visual image/video gallery, dual CTA booking pathways, customer reviews, fully responsive layouts, and APA 7 referencing.</w:t>
      </w:r>
    </w:p>
    <w:p>
      <w:pPr>
        <w:spacing w:after="100" w:line="276" w:lineRule="auto"/>
      </w:pPr>
      <w:r>
        <w:rPr>
          <w:b/>
        </w:rPr>
        <w:t xml:space="preserve">Meeting Timelines: </w:t>
      </w:r>
      <w:r>
        <w:t>All project milestones were delivered on time across the 4-week timeline without schedule slippage.</w:t>
      </w:r>
    </w:p>
    <w:p>
      <w:pPr>
        <w:spacing w:after="100" w:line="276" w:lineRule="auto"/>
      </w:pPr>
      <w:r>
        <w:rPr>
          <w:b/>
        </w:rPr>
        <w:t xml:space="preserve">What Was Done Well &amp; Needed Improving: </w:t>
      </w:r>
      <w:r>
        <w:t>What went well: The visual aesthetics, smooth GSAP animations, Locomotive scrolling, and robust form workflows delivered a world-class luxury user experience. What needed improving: Initial splash loader timing was slightly fast; this was successfully tuned to 3 seconds following peer feedback.</w:t>
      </w:r>
    </w:p>
    <w:p>
      <w:pPr>
        <w:spacing w:after="100" w:line="276" w:lineRule="auto"/>
      </w:pPr>
      <w:r>
        <w:rPr>
          <w:b/>
        </w:rPr>
        <w:t xml:space="preserve">Learning New Skills: </w:t>
      </w:r>
      <w:r>
        <w:t>Acquired mastery in GSAP animation timelines, Locomotive Scroll physics, Barba.js PJAX page transitions, and single-file CSS/inline JS asset optimization.</w:t>
      </w:r>
    </w:p>
    <w:p>
      <w:pPr>
        <w:pStyle w:val="Heading2"/>
        <w:spacing w:before="200" w:after="60"/>
      </w:pPr>
      <w:r>
        <w:rPr>
          <w:color w:val="282828"/>
        </w:rPr>
        <w:t>Responsive Design</w:t>
      </w:r>
    </w:p>
    <w:p>
      <w:pPr>
        <w:spacing w:after="100" w:line="276" w:lineRule="auto"/>
      </w:pPr>
      <w:r>
        <w:rPr>
          <w:b/>
        </w:rPr>
        <w:t xml:space="preserve">Explanation &amp; Importance: </w:t>
      </w:r>
      <w:r>
        <w:t>Responsive design ensures digital interfaces automatically adapt their layout, typography, navigation, and media to provide an optimal viewing and interaction experience across any screen size (desktop, tablet, mobile). It is vital for maximizing accessibility, minimizing bounce rates, and boosting SEO rankings.</w:t>
      </w:r>
    </w:p>
    <w:p>
      <w:pPr>
        <w:spacing w:after="100" w:line="276" w:lineRule="auto"/>
      </w:pPr>
      <w:r>
        <w:rPr>
          <w:b/>
        </w:rPr>
        <w:t xml:space="preserve">Pictorial Evidence: </w:t>
      </w:r>
      <w:r>
        <w:t>Pictorial Evidence of Multi-Device Responsiveness:</w:t>
      </w:r>
    </w:p>
    <w:tbl>
      <w:tblPr>
        <w:tblW w:type="auto" w:w="0"/>
        <w:jc w:val="center"/>
        <w:tblLayout w:type="fixed"/>
        <w:tblLook w:firstColumn="1" w:firstRow="1" w:lastColumn="0" w:lastRow="0" w:noHBand="0" w:noVBand="1" w:val="04A0"/>
      </w:tblPr>
      <w:tblGrid>
        <w:gridCol w:w="3240"/>
        <w:gridCol w:w="3240"/>
        <w:gridCol w:w="3240"/>
      </w:tblGrid>
      <w:tr>
        <w:tc>
          <w:tcPr>
            <w:tcW w:type="dxa" w:w="3360"/>
          </w:tcPr>
          <w:p>
            <w:pPr>
              <w:jc w:val="center"/>
            </w:pPr>
            <w:r>
              <w:drawing>
                <wp:inline xmlns:a="http://schemas.openxmlformats.org/drawingml/2006/main" xmlns:pic="http://schemas.openxmlformats.org/drawingml/2006/picture">
                  <wp:extent cx="1920240" cy="1125141"/>
                  <wp:docPr id="1" name="Picture 1"/>
                  <wp:cNvGraphicFramePr>
                    <a:graphicFrameLocks noChangeAspect="1"/>
                  </wp:cNvGraphicFramePr>
                  <a:graphic>
                    <a:graphicData uri="http://schemas.openxmlformats.org/drawingml/2006/picture">
                      <pic:pic>
                        <pic:nvPicPr>
                          <pic:cNvPr id="0" name="section_packages.png"/>
                          <pic:cNvPicPr/>
                        </pic:nvPicPr>
                        <pic:blipFill>
                          <a:blip r:embed="rId9"/>
                          <a:stretch>
                            <a:fillRect/>
                          </a:stretch>
                        </pic:blipFill>
                        <pic:spPr>
                          <a:xfrm>
                            <a:off x="0" y="0"/>
                            <a:ext cx="1920240" cy="1125141"/>
                          </a:xfrm>
                          <a:prstGeom prst="rect"/>
                        </pic:spPr>
                      </pic:pic>
                    </a:graphicData>
                  </a:graphic>
                </wp:inline>
              </w:drawing>
            </w:r>
          </w:p>
          <w:p>
            <w:pPr>
              <w:spacing w:after="40"/>
              <w:jc w:val="center"/>
            </w:pPr>
            <w:r>
              <w:rPr>
                <w:i/>
                <w:sz w:val="16"/>
              </w:rPr>
              <w:t>Desktop View (1280px)</w:t>
              <w:br/>
              <w:t>3-column package layout</w:t>
            </w:r>
          </w:p>
        </w:tc>
        <w:tc>
          <w:tcPr>
            <w:tcW w:type="dxa" w:w="3360"/>
          </w:tcPr>
          <w:p>
            <w:pPr>
              <w:jc w:val="center"/>
            </w:pPr>
            <w:r>
              <w:drawing>
                <wp:inline xmlns:a="http://schemas.openxmlformats.org/drawingml/2006/main" xmlns:pic="http://schemas.openxmlformats.org/drawingml/2006/picture">
                  <wp:extent cx="1920240" cy="2560320"/>
                  <wp:docPr id="2" name="Picture 2"/>
                  <wp:cNvGraphicFramePr>
                    <a:graphicFrameLocks noChangeAspect="1"/>
                  </wp:cNvGraphicFramePr>
                  <a:graphic>
                    <a:graphicData uri="http://schemas.openxmlformats.org/drawingml/2006/picture">
                      <pic:pic>
                        <pic:nvPicPr>
                          <pic:cNvPr id="0" name="responsive_tablet_packages.png"/>
                          <pic:cNvPicPr/>
                        </pic:nvPicPr>
                        <pic:blipFill>
                          <a:blip r:embed="rId10"/>
                          <a:stretch>
                            <a:fillRect/>
                          </a:stretch>
                        </pic:blipFill>
                        <pic:spPr>
                          <a:xfrm>
                            <a:off x="0" y="0"/>
                            <a:ext cx="1920240" cy="2560320"/>
                          </a:xfrm>
                          <a:prstGeom prst="rect"/>
                        </pic:spPr>
                      </pic:pic>
                    </a:graphicData>
                  </a:graphic>
                </wp:inline>
              </w:drawing>
            </w:r>
          </w:p>
          <w:p>
            <w:pPr>
              <w:spacing w:after="40"/>
              <w:jc w:val="center"/>
            </w:pPr>
            <w:r>
              <w:rPr>
                <w:i/>
                <w:sz w:val="16"/>
              </w:rPr>
              <w:t>Tablet View (768px)</w:t>
              <w:br/>
              <w:t>Adaptive 2-column layout</w:t>
            </w:r>
          </w:p>
        </w:tc>
        <w:tc>
          <w:tcPr>
            <w:tcW w:type="dxa" w:w="3360"/>
          </w:tcPr>
          <w:p>
            <w:pPr>
              <w:jc w:val="center"/>
            </w:pPr>
            <w:r>
              <w:drawing>
                <wp:inline xmlns:a="http://schemas.openxmlformats.org/drawingml/2006/main" xmlns:pic="http://schemas.openxmlformats.org/drawingml/2006/picture">
                  <wp:extent cx="1920240" cy="4155596"/>
                  <wp:docPr id="3" name="Picture 3"/>
                  <wp:cNvGraphicFramePr>
                    <a:graphicFrameLocks noChangeAspect="1"/>
                  </wp:cNvGraphicFramePr>
                  <a:graphic>
                    <a:graphicData uri="http://schemas.openxmlformats.org/drawingml/2006/picture">
                      <pic:pic>
                        <pic:nvPicPr>
                          <pic:cNvPr id="0" name="responsive_mobile_packages.png"/>
                          <pic:cNvPicPr/>
                        </pic:nvPicPr>
                        <pic:blipFill>
                          <a:blip r:embed="rId11"/>
                          <a:stretch>
                            <a:fillRect/>
                          </a:stretch>
                        </pic:blipFill>
                        <pic:spPr>
                          <a:xfrm>
                            <a:off x="0" y="0"/>
                            <a:ext cx="1920240" cy="4155596"/>
                          </a:xfrm>
                          <a:prstGeom prst="rect"/>
                        </pic:spPr>
                      </pic:pic>
                    </a:graphicData>
                  </a:graphic>
                </wp:inline>
              </w:drawing>
            </w:r>
          </w:p>
          <w:p>
            <w:pPr>
              <w:spacing w:after="40"/>
              <w:jc w:val="center"/>
            </w:pPr>
            <w:r>
              <w:rPr>
                <w:i/>
                <w:sz w:val="16"/>
              </w:rPr>
              <w:t>Mobile View (390px)</w:t>
              <w:br/>
              <w:t>Single-column touch cards</w:t>
            </w:r>
          </w:p>
        </w:tc>
      </w:tr>
    </w:tbl>
    <w:p>
      <w:pPr>
        <w:spacing w:after="120"/>
      </w:pPr>
    </w:p>
    <w:p>
      <w:pPr>
        <w:pStyle w:val="Heading2"/>
        <w:spacing w:before="200" w:after="60"/>
      </w:pPr>
      <w:r>
        <w:rPr>
          <w:color w:val="282828"/>
        </w:rPr>
        <w:t>Application Skills &amp; File Format Optimization</w:t>
      </w:r>
    </w:p>
    <w:p>
      <w:pPr>
        <w:spacing w:after="100" w:line="276" w:lineRule="auto"/>
      </w:pPr>
      <w:r>
        <w:t>Evaluation of Media Formats:</w:t>
        <w:br/>
        <w:t>• Image Formats (JPEG / PNG / WebP / SVG): JPEG was selected for rich photography (ballroom chandeliers, floral decor) balancing 24-bit color fidelity with compressed file size (under 120KB per image). PNG and SVG were used for logos and UI icons to maintain crisp vector scaling and transparency without compression artifacts.</w:t>
        <w:br/>
        <w:t>• Video Formats (MP4 / H.264): Used for high-definition ambient video loops with audio stripped and playsinline/muted attributes enabled. This reduced payload from over 40MB down to under 3.5MB per clip.</w:t>
        <w:br/>
        <w:t>• Impact on Performance: These format optimizations cut total page load time to under 1.4 seconds, reduced bandwidth consumption by over 65%, ensured seamless mobile playback, and boosted Google Core Web Vitals SEO scores.</w:t>
      </w:r>
    </w:p>
    <w:p>
      <w:pPr>
        <w:pStyle w:val="Heading2"/>
        <w:spacing w:before="200" w:after="60"/>
      </w:pPr>
      <w:r>
        <w:rPr>
          <w:color w:val="282828"/>
        </w:rPr>
        <w:t>Impacts of Technology &amp; Intellectual Property</w:t>
      </w:r>
    </w:p>
    <w:p>
      <w:pPr>
        <w:spacing w:after="100" w:line="276" w:lineRule="auto"/>
      </w:pPr>
      <w:r>
        <w:rPr>
          <w:b/>
        </w:rPr>
        <w:t xml:space="preserve">Explanation of Intellectual Property: </w:t>
      </w:r>
      <w:r>
        <w:t>Intellectual property (IP) refers to creations of the human mind protected by law (such as copyright, trademarks, and patents) granting creators exclusive rights to use and commercialize their work.</w:t>
      </w:r>
    </w:p>
    <w:p>
      <w:pPr>
        <w:spacing w:after="100" w:line="276" w:lineRule="auto"/>
      </w:pPr>
      <w:r>
        <w:rPr>
          <w:b/>
        </w:rPr>
        <w:t xml:space="preserve">Relation to Website Creation: </w:t>
      </w:r>
      <w:r>
        <w:t>In this project, IP applies to the original website design, UI layout, proprietary branding assets ('gbe.'), curated written copy, and external media assets. All third-party images and videos were utilized strictly under the Unsplash License and Pixabay Content License and cited in APA 7th edition format on references.html.</w:t>
      </w:r>
    </w:p>
    <w:p>
      <w:pPr>
        <w:spacing w:after="100" w:line="276" w:lineRule="auto"/>
      </w:pPr>
      <w:r>
        <w:rPr>
          <w:b/>
        </w:rPr>
        <w:t xml:space="preserve">Registration Processes: </w:t>
      </w:r>
      <w:r>
        <w:t>• Copyright: Automatically attaches to original source code, layout, and written content upon creation.</w:t>
        <w:br/>
        <w:t>• Trademark Registration: Protects the 'Grand Ballroom Events' business name and 'gbe.' logo with IP Australia (Trade Marks Class 41 &amp; 43: Venue Hire and Hospitality Services).</w:t>
        <w:br/>
        <w:t>• Content Protection: Clear copyright notices (© 2026 Grand Ballroom Events) integrated into website footers.</w:t>
      </w:r>
    </w:p>
    <w:p>
      <w:pPr>
        <w:pStyle w:val="Heading2"/>
        <w:spacing w:before="200" w:after="60"/>
      </w:pPr>
      <w:r>
        <w:rPr>
          <w:color w:val="282828"/>
        </w:rPr>
        <w:t>Peer Evaluation &amp; Written Feedback Implementation</w:t>
      </w:r>
    </w:p>
    <w:p>
      <w:pPr>
        <w:spacing w:after="100" w:line="276" w:lineRule="auto"/>
      </w:pPr>
      <w:r>
        <w:rPr>
          <w:b/>
        </w:rPr>
        <w:t xml:space="preserve">Peer Evaluation Details: </w:t>
      </w:r>
      <w:r>
        <w:t>Peer Review Questions &amp; Direct Feedback from Classmate (Evaluator: Anzar):</w:t>
        <w:br/>
        <w:br/>
        <w:t>1. Navigation &amp; CTAs:</w:t>
        <w:br/>
        <w:t xml:space="preserve">   • Question: How intuitive was navigating to the booking forms from the homepage?</w:t>
        <w:br/>
        <w:t xml:space="preserve">   • Anzar's Feedback: 'The website looks amazing and super luxurious, but having two separate large booking buttons right next to each other in the hero section felt a bit cluttered and overwhelming. Also, when I was browsing the menu, I noticed there was no direct link to jump straight to the Testimonials section.'</w:t>
        <w:br/>
        <w:br/>
        <w:t>2. Sub-Page Layout &amp; Header Consistency:</w:t>
        <w:br/>
        <w:t xml:space="preserve">   • Question: How was your experience on the Check Availability and Contact subpages?</w:t>
        <w:br/>
        <w:t xml:space="preserve">   • Anzar's Feedback: 'The booking forms are really clear, but the top header on the subpages had the full desktop navigation menu repeated, which looked slightly off-style and unnecessary since you are already inside the booking flow. A clean logo-only header would feel much more focused.'</w:t>
        <w:br/>
        <w:br/>
        <w:t>3. Visual Timing &amp; Media Autoplay:</w:t>
        <w:br/>
        <w:t xml:space="preserve">   • Question: Did the loading animation and media playback work smoothly?</w:t>
        <w:br/>
        <w:t xml:space="preserve">   • Anzar's Feedback: 'The loading count-up animation is very slick, but the text reveal at the start happened a little too fast to read comfortably. In the gallery, the vertical videos looked great, but they didn't autoplay on my screen without tapping them.'</w:t>
        <w:br/>
        <w:br/>
        <w:t>Implemented Refinements Based on Anzar's Feedback:</w:t>
        <w:br/>
        <w:t>• Replaced dual hero buttons with a consolidated 'Get Started' dropdown menu containing direct links to 'Book Your Event' and 'Check Availability'.</w:t>
        <w:br/>
        <w:t>• Added a dedicated 'Testimonials' bookmark link into the primary navigation bar.</w:t>
        <w:br/>
        <w:t>• Redesigned sub-page headers on dark.html and dark2.html to feature a minimalist centered logo-only layout with a smooth 'Back to Home' transition.</w:t>
        <w:br/>
        <w:t>• Calibrated splash loader timeline duration to a balanced 3 seconds for optimal reading clarity.</w:t>
        <w:br/>
        <w:t>• Added 'autoplay', 'muted', and 'playsinline' attributes to vertical gallery videos to ensure instant playback.</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