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bf4f9cdade559222a758fd93f93cdc5e24378884.png"/>
            <a:graphic>
              <a:graphicData uri="http://schemas.openxmlformats.org/drawingml/2006/picture">
                <pic:pic>
                  <pic:nvPicPr>
                    <pic:cNvPr id="1" name="image-bf4f9cdade559222a758fd93f93cdc5e2437888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what are IBKR spreads by product class like indices, fx, etc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Interactive Brokers (IBKR) offers tight spreads across multiple product classes, generally catering to active traders who require low trading costs and transparent pricing. Here's a summary of IBKR spreads by product class: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Forex (FX)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Spot FX spreads</w:t>
      </w:r>
      <w:r>
        <w:rPr>
          <w:rFonts w:eastAsia="inter" w:cs="inter" w:ascii="inter" w:hAnsi="inter"/>
          <w:color w:val="000000"/>
          <w:sz w:val="21"/>
        </w:rPr>
        <w:t xml:space="preserve"> can be as tight as </w:t>
      </w:r>
      <w:r>
        <w:rPr>
          <w:rFonts w:eastAsia="inter" w:cs="inter" w:ascii="inter" w:hAnsi="inter"/>
          <w:b/>
          <w:color w:val="000000"/>
          <w:sz w:val="21"/>
        </w:rPr>
        <w:t xml:space="preserve">0.1 pip</w:t>
      </w:r>
      <w:r>
        <w:rPr>
          <w:rFonts w:eastAsia="inter" w:cs="inter" w:ascii="inter" w:hAnsi="inter"/>
          <w:color w:val="000000"/>
          <w:sz w:val="21"/>
        </w:rPr>
        <w:t xml:space="preserve"> on major pairs (such as EUR/USD). However, IBKR operates on a commission-based model: there is no markup to the interbank spread, but a commission is charged per trade.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All-in average EUR/USD spread</w:t>
      </w:r>
      <w:r>
        <w:rPr>
          <w:rFonts w:eastAsia="inter" w:cs="inter" w:ascii="inter" w:hAnsi="inter"/>
          <w:color w:val="000000"/>
          <w:sz w:val="21"/>
        </w:rPr>
        <w:t xml:space="preserve"> (spread plus commission) for Q3 2024 was approximately </w:t>
      </w:r>
      <w:r>
        <w:rPr>
          <w:rFonts w:eastAsia="inter" w:cs="inter" w:ascii="inter" w:hAnsi="inter"/>
          <w:b/>
          <w:color w:val="000000"/>
          <w:sz w:val="21"/>
        </w:rPr>
        <w:t xml:space="preserve">0.59 pips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Commission</w:t>
      </w:r>
      <w:r>
        <w:rPr>
          <w:rFonts w:eastAsia="inter" w:cs="inter" w:ascii="inter" w:hAnsi="inter"/>
          <w:color w:val="000000"/>
          <w:sz w:val="21"/>
        </w:rPr>
        <w:t xml:space="preserve">: 0.20 basis points per trade value (minimum $2 per order), decreasing with higher volume</w:t>
      </w:r>
      <w:bookmarkStart w:id="2" w:name="fnref1:1"/>
      <w:bookmarkEnd w:id="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" w:name="fnref2:1"/>
      <w:bookmarkEnd w:id="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Indices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CFD spread for S&amp;P 500 (IBKR CFD):</w:t>
      </w:r>
      <w:r>
        <w:rPr>
          <w:rFonts w:eastAsia="inter" w:cs="inter" w:ascii="inter" w:hAnsi="inter"/>
          <w:color w:val="000000"/>
          <w:sz w:val="21"/>
        </w:rPr>
        <w:t xml:space="preserve"> Typically </w:t>
      </w:r>
      <w:r>
        <w:rPr>
          <w:rFonts w:eastAsia="inter" w:cs="inter" w:ascii="inter" w:hAnsi="inter"/>
          <w:b/>
          <w:color w:val="000000"/>
          <w:sz w:val="21"/>
        </w:rPr>
        <w:t xml:space="preserve">0.8 points</w:t>
      </w:r>
      <w:r>
        <w:rPr>
          <w:rFonts w:eastAsia="inter" w:cs="inter" w:ascii="inter" w:hAnsi="inter"/>
          <w:color w:val="000000"/>
          <w:sz w:val="21"/>
        </w:rPr>
        <w:t xml:space="preserve">. This is considered average compared to competitors, where low spreads start around 0.3-0.7 points</w:t>
      </w:r>
      <w:bookmarkStart w:id="4" w:name="fnref3"/>
      <w:bookmarkEnd w:id="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Typical range for CFD indices spreads:</w:t>
      </w:r>
      <w:r>
        <w:rPr>
          <w:rFonts w:eastAsia="inter" w:cs="inter" w:ascii="inter" w:hAnsi="inter"/>
          <w:color w:val="000000"/>
          <w:sz w:val="21"/>
        </w:rPr>
        <w:t xml:space="preserve"> Most index CFDs have spreads that fluctuate in relation to market conditions but are usually narrow for the most liquid indices.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Futures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Spread on futures contracts</w:t>
      </w:r>
      <w:r>
        <w:rPr>
          <w:rFonts w:eastAsia="inter" w:cs="inter" w:ascii="inter" w:hAnsi="inter"/>
          <w:color w:val="000000"/>
          <w:sz w:val="21"/>
        </w:rPr>
        <w:t xml:space="preserve">: IBKR does not specifically add to the futures spread; you receive the market spread shown on the exchange.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</w:t>
      </w:r>
      <w:r>
        <w:rPr>
          <w:rFonts w:eastAsia="inter" w:cs="inter" w:ascii="inter" w:hAnsi="inter"/>
          <w:b/>
          <w:color w:val="000000"/>
          <w:sz w:val="21"/>
        </w:rPr>
        <w:t xml:space="preserve">futures spreads</w:t>
      </w:r>
      <w:r>
        <w:rPr>
          <w:rFonts w:eastAsia="inter" w:cs="inter" w:ascii="inter" w:hAnsi="inter"/>
          <w:color w:val="000000"/>
          <w:sz w:val="21"/>
        </w:rPr>
        <w:t xml:space="preserve"> (e.g., calendar spreads or inter-commodity spreads), the cost is the difference between the two contract prices, plus standard commission</w:t>
      </w:r>
      <w:bookmarkStart w:id="5" w:name="fnref4"/>
      <w:bookmarkEnd w:id="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" w:name="fnref5"/>
      <w:bookmarkEnd w:id="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Commission structure</w:t>
      </w:r>
      <w:r>
        <w:rPr>
          <w:rFonts w:eastAsia="inter" w:cs="inter" w:ascii="inter" w:hAnsi="inter"/>
          <w:color w:val="000000"/>
          <w:sz w:val="21"/>
        </w:rPr>
        <w:t xml:space="preserve">: Varies by exchange and contract, typically in the range of $0.25–$1.00 per side per contract, plus exchange and regulatory fees.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Options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Options spreads</w:t>
      </w:r>
      <w:r>
        <w:rPr>
          <w:rFonts w:eastAsia="inter" w:cs="inter" w:ascii="inter" w:hAnsi="inter"/>
          <w:color w:val="000000"/>
          <w:sz w:val="21"/>
        </w:rPr>
        <w:t xml:space="preserve"> depend on market liquidity. For highly liquid U.S. options, spreads are typically </w:t>
      </w:r>
      <w:r>
        <w:rPr>
          <w:rFonts w:eastAsia="inter" w:cs="inter" w:ascii="inter" w:hAnsi="inter"/>
          <w:b/>
          <w:color w:val="000000"/>
          <w:sz w:val="21"/>
        </w:rPr>
        <w:t xml:space="preserve">$0.01–$0.05</w:t>
      </w:r>
      <w:r>
        <w:rPr>
          <w:rFonts w:eastAsia="inter" w:cs="inter" w:ascii="inter" w:hAnsi="inter"/>
          <w:color w:val="000000"/>
          <w:sz w:val="21"/>
        </w:rPr>
        <w:t xml:space="preserve"> per share but can be wider on less liquid contracts.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 spread strategies</w:t>
      </w:r>
      <w:r>
        <w:rPr>
          <w:rFonts w:eastAsia="inter" w:cs="inter" w:ascii="inter" w:hAnsi="inter"/>
          <w:color w:val="000000"/>
          <w:sz w:val="21"/>
        </w:rPr>
        <w:t xml:space="preserve"> (verticals, calendars, combos): The bid/ask spread typically matches the best available market pricing with no additional IBKR markup</w:t>
      </w:r>
      <w:bookmarkStart w:id="7" w:name="fnref6"/>
      <w:bookmarkEnd w:id="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8" w:name="fnref7"/>
      <w:bookmarkEnd w:id="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9" w:name="fnref8"/>
      <w:bookmarkEnd w:id="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Traders can use "mid-price" or "snap-mid" order types to improve fill likelihood between the quoted bid and ask</w:t>
      </w:r>
      <w:bookmarkStart w:id="10" w:name="fnref6:1"/>
      <w:bookmarkEnd w:id="1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Other Notes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IBKR does not widen or markup the spread</w:t>
      </w:r>
      <w:r>
        <w:rPr>
          <w:rFonts w:eastAsia="inter" w:cs="inter" w:ascii="inter" w:hAnsi="inter"/>
          <w:color w:val="000000"/>
          <w:sz w:val="21"/>
        </w:rPr>
        <w:t xml:space="preserve"> on most asset classes, instead charging explicit commissions.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Spreads may be wider outside U.S. trading hours or for less liquid instruments.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can often view real-time spread data and use tools (such as ComboTrader or SpreadTrader) within IBKR platforms to manage and optimize spread trading across asset classes</w:t>
      </w:r>
      <w:bookmarkStart w:id="11" w:name="fnref4:1"/>
      <w:bookmarkEnd w:id="1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2" w:name="fnref5:1"/>
      <w:bookmarkEnd w:id="1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3" w:name="fnref9"/>
      <w:bookmarkEnd w:id="13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Summary Table (Typical Spreads):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Typical Spread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Pricing Structure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Spot FX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0.1 pip (EUR/USD), 0.59 all-in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Raw spread + commission per side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S&amp;P 500 CFD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0.8 index 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Spread-only (no commission)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Market-based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Exchange bid/ask + commission</w:t>
            </w:r>
            <w:hyperlink w:anchor="fn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$0.01–$0.05/share (liquid)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Market spread + commission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the most accurate and current live quotes, always refer to your IBKR trading platform as spreads can change based on market conditions and time of day.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are there intraday momentum trading strategies for S&amp;P500?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Yes, there are several documented intraday momentum trading strategies for the S&amp;P 500, particularly for SPY (the ETF tracking the S&amp;P 500). Below are some of the most prominent approaches and insights from recent research and practitioner reports: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Noise-Band/Breakout Intraday Momentum Strategy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strategy initiates </w:t>
      </w:r>
      <w:r>
        <w:rPr>
          <w:rFonts w:eastAsia="inter" w:cs="inter" w:ascii="inter" w:hAnsi="inter"/>
          <w:b/>
          <w:color w:val="000000"/>
          <w:sz w:val="21"/>
        </w:rPr>
        <w:t xml:space="preserve">trend-following positions</w:t>
      </w:r>
      <w:r>
        <w:rPr>
          <w:rFonts w:eastAsia="inter" w:cs="inter" w:ascii="inter" w:hAnsi="inter"/>
          <w:color w:val="000000"/>
          <w:sz w:val="21"/>
        </w:rPr>
        <w:t xml:space="preserve"> whenever there’s evidence of abnormal demand/supply imbalance during intraday S&amp;P 500 (SPY) price action.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 uses a </w:t>
      </w:r>
      <w:r>
        <w:rPr>
          <w:rFonts w:eastAsia="inter" w:cs="inter" w:ascii="inter" w:hAnsi="inter"/>
          <w:b/>
          <w:color w:val="000000"/>
          <w:sz w:val="21"/>
        </w:rPr>
        <w:t xml:space="preserve">“noise band”</w:t>
      </w:r>
      <w:r>
        <w:rPr>
          <w:rFonts w:eastAsia="inter" w:cs="inter" w:ascii="inter" w:hAnsi="inter"/>
          <w:color w:val="000000"/>
          <w:sz w:val="21"/>
        </w:rPr>
        <w:t xml:space="preserve"> or threshold based on recent intraday volatility to identify potential breakouts. When price moves beyond this dynamically calculated band, it signals entry.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trailing stops</w:t>
      </w:r>
      <w:r>
        <w:rPr>
          <w:rFonts w:eastAsia="inter" w:cs="inter" w:ascii="inter" w:hAnsi="inter"/>
          <w:color w:val="000000"/>
          <w:sz w:val="21"/>
        </w:rPr>
        <w:t xml:space="preserve"> are employed to limit downside and allow for upside, which is crucial for risk management and capitalizing on momentum.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From 2007 to 2024, this approach (attributed to recent academic papers and proprietary implementations) generated a CAGR of 19.6% with a Sharpe Ratio of 1.33 (net of costs), according to published backtests.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Analysis shows performance can vary based on </w:t>
      </w:r>
      <w:r>
        <w:rPr>
          <w:rFonts w:eastAsia="inter" w:cs="inter" w:ascii="inter" w:hAnsi="inter"/>
          <w:i/>
          <w:color w:val="000000"/>
          <w:sz w:val="21"/>
        </w:rPr>
        <w:t xml:space="preserve">market volatility regime</w:t>
      </w:r>
      <w:r>
        <w:rPr>
          <w:rFonts w:eastAsia="inter" w:cs="inter" w:ascii="inter" w:hAnsi="inter"/>
          <w:color w:val="000000"/>
          <w:sz w:val="21"/>
        </w:rPr>
        <w:t xml:space="preserve">, day-of-week effects, and possible market microstructure factors like gamma-hedging by dealers</w:t>
      </w:r>
      <w:bookmarkStart w:id="14" w:name="fnref10"/>
      <w:bookmarkEnd w:id="14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5" w:name="fnref11"/>
      <w:bookmarkEnd w:id="15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16" w:name="fnref12"/>
      <w:bookmarkEnd w:id="16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17" w:name="fnref13"/>
      <w:bookmarkEnd w:id="17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Last-Hour Reversal/Momentum Strategy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simpler momentum approach involves </w:t>
      </w:r>
      <w:r>
        <w:rPr>
          <w:rFonts w:eastAsia="inter" w:cs="inter" w:ascii="inter" w:hAnsi="inter"/>
          <w:b/>
          <w:color w:val="000000"/>
          <w:sz w:val="21"/>
        </w:rPr>
        <w:t xml:space="preserve">buying SPY one hour before the close if it’s strong relative to the open</w:t>
      </w:r>
      <w:r>
        <w:rPr>
          <w:rFonts w:eastAsia="inter" w:cs="inter" w:ascii="inter" w:hAnsi="inter"/>
          <w:color w:val="000000"/>
          <w:sz w:val="21"/>
        </w:rPr>
        <w:t xml:space="preserve">, then selling at the close.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Example rule: If SPY is up a threshold amount (e.g., 1.25%) from the session open to one hour before close, go long for the final hour.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Live and backtested results show this “last hour momentum” has generated positive returns on a small number of trades, emphasizing that </w:t>
      </w:r>
      <w:r>
        <w:rPr>
          <w:rFonts w:eastAsia="inter" w:cs="inter" w:ascii="inter" w:hAnsi="inter"/>
          <w:b/>
          <w:color w:val="000000"/>
          <w:sz w:val="21"/>
        </w:rPr>
        <w:t xml:space="preserve">momentum often accelerates into the close</w:t>
      </w:r>
      <w:r>
        <w:rPr>
          <w:rFonts w:eastAsia="inter" w:cs="inter" w:ascii="inter" w:hAnsi="inter"/>
          <w:color w:val="000000"/>
          <w:sz w:val="21"/>
        </w:rPr>
        <w:t xml:space="preserve"> on bullish days</w:t>
      </w:r>
      <w:bookmarkStart w:id="18" w:name="fnref14"/>
      <w:bookmarkEnd w:id="18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Parameter Optimization &amp; Exit Improvements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Variants of the main breakout strategy use </w:t>
      </w:r>
      <w:r>
        <w:rPr>
          <w:rFonts w:eastAsia="inter" w:cs="inter" w:ascii="inter" w:hAnsi="inter"/>
          <w:b/>
          <w:color w:val="000000"/>
          <w:sz w:val="21"/>
        </w:rPr>
        <w:t xml:space="preserve">parameter optimization</w:t>
      </w:r>
      <w:r>
        <w:rPr>
          <w:rFonts w:eastAsia="inter" w:cs="inter" w:ascii="inter" w:hAnsi="inter"/>
          <w:color w:val="000000"/>
          <w:sz w:val="21"/>
        </w:rPr>
        <w:t xml:space="preserve"> and different exit strategies, such as VWAP (volume-weighted average price) or laddered exits.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Some research finds that using these advanced exit strategies can push Sharpe ratios above 3.0 and annualized returns above 50% over certain historical periods, but with increased curve-fitting risk</w:t>
      </w:r>
      <w:bookmarkStart w:id="19" w:name="fnref15"/>
      <w:bookmarkEnd w:id="19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</w:t>
      </w:r>
      <w:r>
        <w:rPr>
          <w:rFonts w:eastAsia="inter" w:cs="inter" w:ascii="inter" w:hAnsi="inter"/>
          <w:b/>
          <w:color w:val="000000"/>
          <w:sz w:val="24"/>
        </w:rPr>
        <w:t xml:space="preserve">Limitations and Real-World Considerations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Some studies and live trading experiences suggest statistical significance can vary, and that </w:t>
      </w:r>
      <w:r>
        <w:rPr>
          <w:rFonts w:eastAsia="inter" w:cs="inter" w:ascii="inter" w:hAnsi="inter"/>
          <w:i/>
          <w:color w:val="000000"/>
          <w:sz w:val="21"/>
        </w:rPr>
        <w:t xml:space="preserve">intraday reversal</w:t>
      </w:r>
      <w:r>
        <w:rPr>
          <w:rFonts w:eastAsia="inter" w:cs="inter" w:ascii="inter" w:hAnsi="inter"/>
          <w:color w:val="000000"/>
          <w:sz w:val="21"/>
        </w:rPr>
        <w:t xml:space="preserve"> strategies can sometimes outperform intraday momentum on individual S&amp;P 500 stocks.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It’s important to account for </w:t>
      </w:r>
      <w:r>
        <w:rPr>
          <w:rFonts w:eastAsia="inter" w:cs="inter" w:ascii="inter" w:hAnsi="inter"/>
          <w:b/>
          <w:color w:val="000000"/>
          <w:sz w:val="21"/>
        </w:rPr>
        <w:t xml:space="preserve">slippage, commissions, and varying execution quality</w:t>
      </w:r>
      <w:r>
        <w:rPr>
          <w:rFonts w:eastAsia="inter" w:cs="inter" w:ascii="inter" w:hAnsi="inter"/>
          <w:color w:val="000000"/>
          <w:sz w:val="21"/>
        </w:rPr>
        <w:t xml:space="preserve">. Backtests that do not appropriately model these costs may overstate profitability</w:t>
      </w:r>
      <w:bookmarkStart w:id="20" w:name="fnref12:1"/>
      <w:bookmarkEnd w:id="20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1" w:name="fnref16"/>
      <w:bookmarkEnd w:id="21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Algorithms often perform better in high volatility periods, and some strategies may underperform during choppy or range-bound days.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 all momentum strategies are equally robust—the best results are achieved with careful parameter selection and live forward testing.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</w:t>
      </w:r>
      <w:r>
        <w:rPr>
          <w:rFonts w:eastAsia="inter" w:cs="inter" w:ascii="inter" w:hAnsi="inter"/>
          <w:b/>
          <w:color w:val="000000"/>
          <w:sz w:val="24"/>
        </w:rPr>
        <w:t xml:space="preserve">General Momentum Day Trading Principles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Momentum trading is built on exploiting short-term price trends by buying strength and selling weakness.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Traders typically use volatility measures, intraday price action, and relative strength indicators to time entries and exits.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Intraday momentum can be amplified by market sentiment and institutional positioning, especially near open and close.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 summary:</w:t>
      </w:r>
      <w:r>
        <w:rPr>
          <w:rFonts w:eastAsia="inter" w:cs="inter" w:ascii="inter" w:hAnsi="inter"/>
          <w:color w:val="000000"/>
        </w:rPr>
        <w:t xml:space="preserve"> There are robust, data-backed intraday momentum strategies for S&amp;P 500 trading, most notably dynamic breakout systems using noise bands, last-hour momentum, and their parameter-optimized variants. Success depends on risk management, realistic assessment of transaction costs, and adapting to market regimes</w:t>
      </w:r>
      <w:bookmarkStart w:id="22" w:name="fnref10:1"/>
      <w:bookmarkEnd w:id="22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23" w:name="fnref11:1"/>
      <w:bookmarkEnd w:id="23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24" w:name="fnref14:1"/>
      <w:bookmarkEnd w:id="24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25" w:name="fnref12:2"/>
      <w:bookmarkEnd w:id="25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26" w:name="fnref15:1"/>
      <w:bookmarkEnd w:id="26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bookmarkStart w:id="27" w:name="fnref13:1"/>
      <w:bookmarkEnd w:id="27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Could you provide detailed examples of dynamic breakout systems using noise bands, last-hour momentum, and their parameter-optimized variants with risk management practices, transaction cost using IBKR spreads as a baseline, and PnL impacts?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are detailed, example-driven explanations for </w:t>
      </w:r>
      <w:r>
        <w:rPr>
          <w:rFonts w:eastAsia="inter" w:cs="inter" w:ascii="inter" w:hAnsi="inter"/>
          <w:b/>
          <w:color w:val="000000"/>
        </w:rPr>
        <w:t xml:space="preserve">dynamic breakout systems using noise bands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last-hour momentum strategies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parameter-optimized variants</w:t>
      </w:r>
      <w:r>
        <w:rPr>
          <w:rFonts w:eastAsia="inter" w:cs="inter" w:ascii="inter" w:hAnsi="inter"/>
          <w:color w:val="000000"/>
        </w:rPr>
        <w:t xml:space="preserve"> for S&amp;P 500 intraday trading. Each example incorporates risk management, estimated transaction costs using IBKR spreads, and the impact on profit and loss (PnL).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Dynamic Breakout System Using Noise Bands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Strategy Outline: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Objective:</w:t>
      </w:r>
      <w:r>
        <w:rPr>
          <w:rFonts w:eastAsia="inter" w:cs="inter" w:ascii="inter" w:hAnsi="inter"/>
          <w:color w:val="000000"/>
          <w:sz w:val="21"/>
        </w:rPr>
        <w:t xml:space="preserve"> Capture large moves after periods of low volatility ("noise").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Instrument:</w:t>
      </w:r>
      <w:r>
        <w:rPr>
          <w:rFonts w:eastAsia="inter" w:cs="inter" w:ascii="inter" w:hAnsi="inter"/>
          <w:color w:val="000000"/>
          <w:sz w:val="21"/>
        </w:rPr>
        <w:t xml:space="preserve"> SPX, ES futures, or SPY ETF.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Noise Band Calculation:</w:t>
      </w:r>
      <w:r>
        <w:rPr>
          <w:rFonts w:eastAsia="inter" w:cs="inter" w:ascii="inter" w:hAnsi="inter"/>
          <w:color w:val="000000"/>
          <w:sz w:val="21"/>
        </w:rPr>
        <w:t xml:space="preserve"> Use a 20-period Bollinger Band (typical settings: 20 bars, 2 standard deviations) to define high and low volatility.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Setup:</w:t>
      </w:r>
      <w:r>
        <w:rPr>
          <w:rFonts w:eastAsia="inter" w:cs="inter" w:ascii="inter" w:hAnsi="inter"/>
          <w:color w:val="000000"/>
          <w:sz w:val="21"/>
        </w:rPr>
        <w:t xml:space="preserve"> When Bollinger Bands are narrow (squeeze), await a close above the upper band (for a long entry) or below the lower band (for a short entry)</w:t>
      </w:r>
      <w:bookmarkStart w:id="28" w:name="fnref17"/>
      <w:bookmarkEnd w:id="28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29" w:name="fnref18"/>
      <w:bookmarkEnd w:id="29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Example Steps: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Signal Identification: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Wait for the Bollinger Bandwidth (distance between bands) to reach a 6-month percentile low.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price closes </w:t>
      </w:r>
      <w:r>
        <w:rPr>
          <w:rFonts w:eastAsia="inter" w:cs="inter" w:ascii="inter" w:hAnsi="inter"/>
          <w:b/>
          <w:color w:val="000000"/>
          <w:sz w:val="21"/>
        </w:rPr>
        <w:t xml:space="preserve">above</w:t>
      </w:r>
      <w:r>
        <w:rPr>
          <w:rFonts w:eastAsia="inter" w:cs="inter" w:ascii="inter" w:hAnsi="inter"/>
          <w:color w:val="000000"/>
          <w:sz w:val="21"/>
        </w:rPr>
        <w:t xml:space="preserve"> the upper band: Enter long.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price closes </w:t>
      </w:r>
      <w:r>
        <w:rPr>
          <w:rFonts w:eastAsia="inter" w:cs="inter" w:ascii="inter" w:hAnsi="inter"/>
          <w:b/>
          <w:color w:val="000000"/>
          <w:sz w:val="21"/>
        </w:rPr>
        <w:t xml:space="preserve">below</w:t>
      </w:r>
      <w:r>
        <w:rPr>
          <w:rFonts w:eastAsia="inter" w:cs="inter" w:ascii="inter" w:hAnsi="inter"/>
          <w:color w:val="000000"/>
          <w:sz w:val="21"/>
        </w:rPr>
        <w:t xml:space="preserve"> the lower band: Enter short.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Entry:</w:t>
      </w:r>
      <w:r>
        <w:rPr>
          <w:rFonts w:eastAsia="inter" w:cs="inter" w:ascii="inter" w:hAnsi="inter"/>
          <w:color w:val="000000"/>
          <w:sz w:val="21"/>
        </w:rPr>
        <w:t xml:space="preserve"> On breakout candle close (e.g., 5-minute or 15-minute bar).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Exit: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 a stop loss at the opposite band (e.g., for long, stop at lower band)</w:t>
      </w:r>
      <w:bookmarkStart w:id="30" w:name="fnref18:1"/>
      <w:bookmarkEnd w:id="30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Take profit at 2× risk (2:1 reward/risk ratio).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Alternatively, trail the stop by 1× or 1.5× Average True Range (ATR)</w:t>
      </w:r>
      <w:bookmarkStart w:id="31" w:name="fnref19"/>
      <w:bookmarkEnd w:id="31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Position Sizing:</w:t>
      </w:r>
      <w:r>
        <w:rPr>
          <w:rFonts w:eastAsia="inter" w:cs="inter" w:ascii="inter" w:hAnsi="inter"/>
          <w:color w:val="000000"/>
          <w:sz w:val="21"/>
        </w:rPr>
        <w:t xml:space="preserve"> Risk no more than 1% of account equity per trade</w:t>
      </w:r>
      <w:bookmarkStart w:id="32" w:name="fnref19:1"/>
      <w:bookmarkEnd w:id="32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Confirmation:</w:t>
      </w:r>
      <w:r>
        <w:rPr>
          <w:rFonts w:eastAsia="inter" w:cs="inter" w:ascii="inter" w:hAnsi="inter"/>
          <w:color w:val="000000"/>
          <w:sz w:val="21"/>
        </w:rPr>
        <w:t xml:space="preserve"> Check for volume spike and higher-than-average tick volume for added confidence</w:t>
      </w:r>
      <w:bookmarkStart w:id="33" w:name="fnref19:2"/>
      <w:bookmarkEnd w:id="33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34" w:name="fnref18:2"/>
      <w:bookmarkEnd w:id="34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Risk Management: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Fixed stop loss</w:t>
      </w:r>
      <w:r>
        <w:rPr>
          <w:rFonts w:eastAsia="inter" w:cs="inter" w:ascii="inter" w:hAnsi="inter"/>
          <w:color w:val="000000"/>
          <w:sz w:val="21"/>
        </w:rPr>
        <w:t xml:space="preserve"> at opposite band or 1.5x ATR.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Strict position size/single-trade exposure discipline.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Transaction Costs (IBKR):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SPY ETF/CFD typical spread:</w:t>
      </w:r>
      <w:r>
        <w:rPr>
          <w:rFonts w:eastAsia="inter" w:cs="inter" w:ascii="inter" w:hAnsi="inter"/>
          <w:color w:val="000000"/>
          <w:sz w:val="21"/>
        </w:rPr>
        <w:t xml:space="preserve"> ~0.8 index points or $0.008 per share.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Commission:</w:t>
      </w:r>
      <w:r>
        <w:rPr>
          <w:rFonts w:eastAsia="inter" w:cs="inter" w:ascii="inter" w:hAnsi="inter"/>
          <w:color w:val="000000"/>
          <w:sz w:val="21"/>
        </w:rPr>
        <w:t xml:space="preserve"> For SPY, expect ~$0.005–$0.0075/share per side; for ES futures, ~$1.00/contract per side.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All-in round-trip cost (spread + commission):</w:t>
      </w:r>
      <w:r>
        <w:rPr>
          <w:rFonts w:eastAsia="inter" w:cs="inter" w:ascii="inter" w:hAnsi="inter"/>
          <w:color w:val="000000"/>
          <w:sz w:val="21"/>
        </w:rPr>
        <w:t xml:space="preserve"> For 100 shares SPY, ~$1.60 (spread), ~$1.50 commission → </w:t>
      </w:r>
      <w:r>
        <w:rPr>
          <w:rFonts w:eastAsia="inter" w:cs="inter" w:ascii="inter" w:hAnsi="inter"/>
          <w:b/>
          <w:color w:val="000000"/>
          <w:sz w:val="21"/>
        </w:rPr>
        <w:t xml:space="preserve">$3.10 per round trip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PnL Impact: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Backtests report strategy Sharpe ratios from 1.3 to 2.5 after including realistic costs, though excessive trading or slippage can erode edge</w:t>
      </w:r>
      <w:bookmarkStart w:id="35" w:name="fnref20"/>
      <w:bookmarkEnd w:id="35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36" w:name="fnref21"/>
      <w:bookmarkEnd w:id="36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Example:</w:t>
      </w:r>
      <w:r>
        <w:rPr>
          <w:rFonts w:eastAsia="inter" w:cs="inter" w:ascii="inter" w:hAnsi="inter"/>
          <w:color w:val="000000"/>
          <w:sz w:val="21"/>
        </w:rPr>
        <w:t xml:space="preserve"> With a 2:1 reward/risk target, a 50% win rate and a risk of $100 per trade, but subtracting ~$3-4 round-trip cost, net average gain per winning trade is slightly reduced, but the overall positive expectancy persists.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Last-Hour Momentum Strategy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Strategy Outline: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Objective:</w:t>
      </w:r>
      <w:r>
        <w:rPr>
          <w:rFonts w:eastAsia="inter" w:cs="inter" w:ascii="inter" w:hAnsi="inter"/>
          <w:color w:val="000000"/>
          <w:sz w:val="21"/>
        </w:rPr>
        <w:t xml:space="preserve"> Exploit intraday momentum, particularly near market close.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Instrument:</w:t>
      </w:r>
      <w:r>
        <w:rPr>
          <w:rFonts w:eastAsia="inter" w:cs="inter" w:ascii="inter" w:hAnsi="inter"/>
          <w:color w:val="000000"/>
          <w:sz w:val="21"/>
        </w:rPr>
        <w:t xml:space="preserve"> SPY ETF or ES futures.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Setup:</w:t>
      </w:r>
      <w:r>
        <w:rPr>
          <w:rFonts w:eastAsia="inter" w:cs="inter" w:ascii="inter" w:hAnsi="inter"/>
          <w:color w:val="000000"/>
          <w:sz w:val="21"/>
        </w:rPr>
        <w:t xml:space="preserve"> If SPY is up &gt;1.2% from the open with 1 hour left in the trading session, go long; otherwise, no trade[previous answer].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Entry:</w:t>
      </w:r>
      <w:r>
        <w:rPr>
          <w:rFonts w:eastAsia="inter" w:cs="inter" w:ascii="inter" w:hAnsi="inter"/>
          <w:color w:val="000000"/>
          <w:sz w:val="21"/>
        </w:rPr>
        <w:t xml:space="preserve"> 3:00 PM ET.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Exit:</w:t>
      </w:r>
      <w:r>
        <w:rPr>
          <w:rFonts w:eastAsia="inter" w:cs="inter" w:ascii="inter" w:hAnsi="inter"/>
          <w:color w:val="000000"/>
          <w:sz w:val="21"/>
        </w:rPr>
        <w:t xml:space="preserve"> Close at 4:00 PM ET (session end).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Risk Management: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explicit stop loss,</w:t>
      </w:r>
      <w:r>
        <w:rPr>
          <w:rFonts w:eastAsia="inter" w:cs="inter" w:ascii="inter" w:hAnsi="inter"/>
          <w:color w:val="000000"/>
          <w:sz w:val="21"/>
        </w:rPr>
        <w:t xml:space="preserve"> but some practitioners use a 0.5% trailing stop to reduce loss on reversals.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Fixed position size</w:t>
      </w:r>
      <w:r>
        <w:rPr>
          <w:rFonts w:eastAsia="inter" w:cs="inter" w:ascii="inter" w:hAnsi="inter"/>
          <w:color w:val="000000"/>
          <w:sz w:val="21"/>
        </w:rPr>
        <w:t xml:space="preserve"> (e.g., always risk 1% of capital per trade).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Transaction Costs (IBKR):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Spread on SPY at that time is minimal, typically 1 cent/share ($0.01).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Commission as above.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All-in cost per 100 shares: ~$2-3 total.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PnL Impact: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Historical analysis (2007-2024) shows average last-hour momentum trades have a positive return when applied selectively, but annualized Sharpe ratios may range only 0.5–1.2 due to infrequent signals and clusters of losses in choppy markets.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signal's net gain should subtract at least the round-trip cost from IBKR commissions and spread before calculating expectancy.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Parameter-Optimized Variants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Variants: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Adaptive Band Width:</w:t>
      </w:r>
      <w:r>
        <w:rPr>
          <w:rFonts w:eastAsia="inter" w:cs="inter" w:ascii="inter" w:hAnsi="inter"/>
          <w:color w:val="000000"/>
          <w:sz w:val="21"/>
        </w:rPr>
        <w:t xml:space="preserve"> Instead of fixed 2 std dev for Bollinger Bands, optimize between 1.5–2.5 and backtest to avoid overfitting.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Multiple Timeframe Confirmation:</w:t>
      </w:r>
      <w:r>
        <w:rPr>
          <w:rFonts w:eastAsia="inter" w:cs="inter" w:ascii="inter" w:hAnsi="inter"/>
          <w:color w:val="000000"/>
          <w:sz w:val="21"/>
        </w:rPr>
        <w:t xml:space="preserve"> Only take trades when both 5-min and 15-min band breakouts align.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Exit Improvements:</w:t>
      </w:r>
      <w:r>
        <w:rPr>
          <w:rFonts w:eastAsia="inter" w:cs="inter" w:ascii="inter" w:hAnsi="inter"/>
          <w:color w:val="000000"/>
          <w:sz w:val="21"/>
        </w:rPr>
        <w:t xml:space="preserve"> Use trailing stops via ATR, VWAP exits, or partial profit-taking at 1× risk, remaining held for 2× risk</w:t>
      </w:r>
      <w:bookmarkStart w:id="37" w:name="fnref20:1"/>
      <w:bookmarkEnd w:id="37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38" w:name="fnref21:1"/>
      <w:bookmarkEnd w:id="38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Risk Management for Optimized Systems: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Maximum loss per day/trade</w:t>
      </w:r>
      <w:r>
        <w:rPr>
          <w:rFonts w:eastAsia="inter" w:cs="inter" w:ascii="inter" w:hAnsi="inter"/>
          <w:color w:val="000000"/>
          <w:sz w:val="21"/>
        </w:rPr>
        <w:t xml:space="preserve">: Cap at 1–2% of account.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Aggregate daily stop:</w:t>
      </w:r>
      <w:r>
        <w:rPr>
          <w:rFonts w:eastAsia="inter" w:cs="inter" w:ascii="inter" w:hAnsi="inter"/>
          <w:color w:val="000000"/>
          <w:sz w:val="21"/>
        </w:rPr>
        <w:t xml:space="preserve"> No further trading after a drawdown &gt;3% in a session.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Transaction Cost Sensitivity: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These systems trade more frequently, so edge must exceed cumulative costs.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IBKR's tight spreads limit cost drag, but even with a 0.8-point S&amp;P CFD spread and commission, dense trading erodes PnL—slippage during volatile breakouts can have greater effect than explicit spread.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PnL Observations: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Over-optimized systems may show pre-cost Sharpe ratios &gt;2.5, but typically fall to ~1.0–1.5 net of IBKR costs (assuming moderate trade frequency).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Parameter optimization increases curve-fit risk. Robustness tests and out-of-sample/forward validation are essential</w:t>
      </w:r>
      <w:bookmarkStart w:id="39" w:name="fnref20:2"/>
      <w:bookmarkEnd w:id="39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40" w:name="fnref21:2"/>
      <w:bookmarkEnd w:id="40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Table: Summary of Illustrative Scenarios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Entry/Exit Logic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Risk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IBKR Cost (per 100 SPY)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Typical Net Sharpe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Noise-Band Breakout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Band squeeze &amp; close 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Stop at opposite band; 2:1 R/R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~$3.10 (spread+comm.)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1.3–2.5 (net)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Last-Hour Momentum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Buy on strength, EOD 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Optional trailing stop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~$2–3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0.5–1.2 (net)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Optimized Variant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Vary bands/timeframes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Daily loss cap, variance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Increases with freq.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1.0–1.5 (net)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Additional Notes and Caveats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Success requires adjusting for slippage, live trading conditions, and possible adverse selection during breakouts.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parameters above are typical but must be optimized for the specific S&amp;P 500 instrument and current volatility regime.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Transaction costs based on IBKR quoted typical spreads (CFD 0.8 points, SPY 1 cent/share, ES futures $1/contract) and commission structure as of Q3 2024.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strategies benefit from forward testing and include walk-forward out-of-sample analysis to ensure sustainability</w:t>
      </w:r>
      <w:bookmarkStart w:id="41" w:name="fnref20:3"/>
      <w:bookmarkEnd w:id="41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42" w:name="fnref21:3"/>
      <w:bookmarkEnd w:id="42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43" w:name="fnref18:3"/>
      <w:bookmarkEnd w:id="43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44" w:name="fnref19:3"/>
      <w:bookmarkEnd w:id="44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45" w:name="fnref17:1"/>
      <w:bookmarkEnd w:id="45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need code examples or backtest frameworks for any specific scenario, please specify the instrument and timeframe.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could you include in this analysis python code backtests with 3 months from today. Please keep the back test timeframe as a variable and use 100,000 as starting capital. I would like to see daily win/loss rates, drawdowns, and any additional PnL statistics where I PnL increases/decreases on a day to day basis given this is only intraday trades and all trades are settled by market close each day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 a practical template for backtesting intraday S&amp;P 500 (SPY) breakout and last-hour momentum strategies in Python, customizable by timeframe, with daily performance metrics, IBKR-like transaction costs, and full PnL tracking. This example uses publicly available libraries and is structured for realistic statistics reporting.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Points: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Timeframe</w:t>
      </w:r>
      <w:r>
        <w:rPr>
          <w:rFonts w:eastAsia="inter" w:cs="inter" w:ascii="inter" w:hAnsi="inter"/>
          <w:color w:val="000000"/>
          <w:sz w:val="21"/>
        </w:rPr>
        <w:t xml:space="preserve"> is a variable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backtest_days</w:t>
      </w:r>
      <w:r>
        <w:rPr>
          <w:rFonts w:eastAsia="inter" w:cs="inter" w:ascii="inter" w:hAnsi="inter"/>
          <w:color w:val="000000"/>
          <w:sz w:val="21"/>
        </w:rPr>
        <w:t xml:space="preserve">), defaulting to the last 3 months from today.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Initial capital:</w:t>
      </w:r>
      <w:r>
        <w:rPr>
          <w:rFonts w:eastAsia="inter" w:cs="inter" w:ascii="inter" w:hAnsi="inter"/>
          <w:color w:val="000000"/>
          <w:sz w:val="21"/>
        </w:rPr>
        <w:t xml:space="preserve"> $100,000.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All trading positions are closed by market end each day</w:t>
      </w:r>
      <w:r>
        <w:rPr>
          <w:rFonts w:eastAsia="inter" w:cs="inter" w:ascii="inter" w:hAnsi="inter"/>
          <w:color w:val="000000"/>
          <w:sz w:val="21"/>
        </w:rPr>
        <w:t xml:space="preserve"> (pure intraday).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Daily PnL, win/loss rates, drawdown, Sharpe, and trade counts</w:t>
      </w:r>
      <w:r>
        <w:rPr>
          <w:rFonts w:eastAsia="inter" w:cs="inter" w:ascii="inter" w:hAnsi="inter"/>
          <w:color w:val="000000"/>
          <w:sz w:val="21"/>
        </w:rPr>
        <w:t xml:space="preserve"> are computed and output as DataFrames.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IBKR commission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spread costs</w:t>
      </w:r>
      <w:r>
        <w:rPr>
          <w:rFonts w:eastAsia="inter" w:cs="inter" w:ascii="inter" w:hAnsi="inter"/>
          <w:color w:val="000000"/>
          <w:sz w:val="21"/>
        </w:rPr>
        <w:t xml:space="preserve"> are integrated.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Strategy outline: Momentum breakout and/or last-hour trend-following.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 source can be minute- or 5-minute bars (replace data loading code with your connection or CSV).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Install required packages (if needed):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pip install yfinance pandas numpy matplotlib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numpy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np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pandas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yfinance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yf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datetime, timedelta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matplotlib.pyplot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plt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Adjustable parameters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symbol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'SPY'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initial_cash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100_000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backtest_days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~3 months of trading days (change as needed)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ibkr_comm_per_share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0.0075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USD, typical IBKR retail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ibkr_min_comm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ibkr_spread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USD per share, assume for SPY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Get historical intraday data (replace with your data routine as needed)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end = datetime.today()</w:t>
        <w:br/>
        <w:t xml:space="preserve">start = end - timedelta(days=backtest_days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Add buffer for holidays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data = yf.download(symbol, start=start.strftime(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'%Y-%m-%d'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 end=end.strftime(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'%Y-%m-%d'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 interval=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'5m'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data = data.between_time(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'09:30'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'16:00'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U.S. market hours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Clean and process 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data.index.date</w:t>
        <w:br/>
        <w:t xml:space="preserve">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'Time'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data.index.time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Calculate intraday signals (Example: Noise-band / Opening Range Breakout)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signal_noise_band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df_day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"""Simple breakout: Buy if price &gt; High of first 30 min, close by end."""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first30 = df_day.between_time(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'09:30'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'10:00'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breakout_level = first30[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'High'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  <w:br/>
        <w:t xml:space="preserve">    df_day[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'Signal'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df_day.loc[df_day[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'High'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&gt; breakout_level,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'Signal'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Go long after breakout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df_day</w:t>
        <w:br/>
        <w:t xml:space="preserve"/>
        <w:br/>
        <w:t xml:space="preserve">df = data.groupby(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).apply(signal_noise_band)</w:t>
        <w:br/>
        <w:t xml:space="preserve">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'Position'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'Signal'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MARK 'Entry' and 'Exit' per day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results = []</w:t>
        <w:br/>
        <w:t xml:space="preserve">capital = initial_cash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d, day_data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df.groupby(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daily = day_data.copy()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daily[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'Position'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entry_idx = daily[daily[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'Position'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].index[^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4_0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entry_price = daily.loc[entry_idx,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'Open'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shares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(capital // entry_price)</w:t>
        <w:br/>
        <w:t xml:space="preserve">        cost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(ibkr_comm_per_share * shares, ibkr_min_comm)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 ibkr_spread * shares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round-trip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exit_price = daily.iloc[-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'Close'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pnl = (exit_price - entry_price) * shares - cost</w:t>
        <w:br/>
        <w:t xml:space="preserve">        win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(pnl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pnl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win = np.nan</w:t>
        <w:br/>
        <w:t xml:space="preserve">    results.append({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d,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'day_ret'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pnl / capital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capital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'pnl'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pnl,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'capital'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capital + pnl,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'win'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win,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'drawdown'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Will update below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})</w:t>
        <w:br/>
        <w:t xml:space="preserve">    capital += pnl</w:t>
        <w:br/>
        <w:t xml:space="preserve"/>
        <w:br/>
        <w:t xml:space="preserve">results_df = pd.DataFrame(results)</w:t>
        <w:br/>
        <w:t xml:space="preserve">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'drawdown'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'capital'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].cummax() - 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'capital'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Statistics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n_trades = 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'win'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].notna().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  <w:br/>
        <w:t xml:space="preserve">win_rate = 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'win'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].mean()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loss_rate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win_rate</w:t>
        <w:br/>
        <w:t xml:space="preserve">max_drawdown = 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'drawdown'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  <w:br/>
        <w:t xml:space="preserve">sharpe = (results_df[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'day_ret'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].mean() / 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'day_ret'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].std() * np.sqrt(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252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'day_ret'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].std() !=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np.nan)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Output daily results and summary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(results_df[[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'pnl'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'capital'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'win'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'drawdown'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"\n--- SUMMARY ---"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f"Total Trades: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{n_trades}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f"Win Rate: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{win_rate: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.2f}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f"Loss Rate: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{loss_rate: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.2f}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f"Max Drawdown: $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{max_drawdown: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.2f}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f"Final Capital: $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'capital'].iloc[-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1]: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.2f}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(Start: $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{initial_cash}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f"Sharpe Ratio (daily ret):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{sharpe: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.2f}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Plot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plt.figure(figsize=(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plt.plot(results_df[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results_df[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'capital'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label=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'Equity Curve'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plt.xlabel(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 plt.ylabel(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'Capital'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plt.title(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'Intraday Strategy Equity Curve'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plt.legend()</w:t>
        <w:br/>
        <w:t xml:space="preserve">plt.show()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Additional Notes: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a realistic “bare bones” backtest: each entry is a single daily trade per breakout, with </w:t>
      </w:r>
      <w:r>
        <w:rPr>
          <w:rFonts w:eastAsia="inter" w:cs="inter" w:ascii="inter" w:hAnsi="inter"/>
          <w:b/>
          <w:color w:val="000000"/>
          <w:sz w:val="21"/>
        </w:rPr>
        <w:t xml:space="preserve">all trades closed by market close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Statistics include </w:t>
      </w:r>
      <w:r>
        <w:rPr>
          <w:rFonts w:eastAsia="inter" w:cs="inter" w:ascii="inter" w:hAnsi="inter"/>
          <w:b/>
          <w:color w:val="000000"/>
          <w:sz w:val="21"/>
        </w:rPr>
        <w:t xml:space="preserve">daily PnL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drawdown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win/loss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number of trades</w:t>
      </w:r>
      <w:r>
        <w:rPr>
          <w:rFonts w:eastAsia="inter" w:cs="inter" w:ascii="inter" w:hAnsi="inter"/>
          <w:color w:val="000000"/>
          <w:sz w:val="21"/>
        </w:rPr>
        <w:t xml:space="preserve">, overall </w:t>
      </w:r>
      <w:r>
        <w:rPr>
          <w:rFonts w:eastAsia="inter" w:cs="inter" w:ascii="inter" w:hAnsi="inter"/>
          <w:b/>
          <w:color w:val="000000"/>
          <w:sz w:val="21"/>
        </w:rPr>
        <w:t xml:space="preserve">return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Sharpe Ratio</w:t>
      </w:r>
      <w:r>
        <w:rPr>
          <w:rFonts w:eastAsia="inter" w:cs="inter" w:ascii="inter" w:hAnsi="inter"/>
          <w:color w:val="000000"/>
          <w:sz w:val="21"/>
        </w:rPr>
        <w:t xml:space="preserve"> (computed on daily returns), and </w:t>
      </w:r>
      <w:r>
        <w:rPr>
          <w:rFonts w:eastAsia="inter" w:cs="inter" w:ascii="inter" w:hAnsi="inter"/>
          <w:b/>
          <w:color w:val="000000"/>
          <w:sz w:val="21"/>
        </w:rPr>
        <w:t xml:space="preserve">final equity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 test other intraday strategies (e.g., last-hour momentum), adapt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signal_noise_band</w:t>
      </w:r>
      <w:r>
        <w:rPr>
          <w:rFonts w:eastAsia="inter" w:cs="inter" w:ascii="inter" w:hAnsi="inter"/>
          <w:color w:val="000000"/>
          <w:sz w:val="21"/>
        </w:rPr>
        <w:t xml:space="preserve"> function, e.g., trigger long 1 hour before close if price &gt; X% above open.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multi-frequency or more complex intraday strategies, expand logic to handle multiple trades per day and update the capital/PnL allocation loop accordingly.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template enables you to plug-and-play various intraday S&amp;P 500 trading logic and observe all critical PnL metrics, drawdowns, and win/loss statistics while modeling IBKR-like costs objectively.</w:t>
      </w:r>
      <w:r>
        <w:rPr>
          <w:rFonts w:eastAsia="inter" w:cs="inter" w:ascii="inter" w:hAnsi="inter"/>
          <w:color w:val="000000"/>
        </w:rPr>
        <w:t xml:space="preserve"> For production deployment or research, further enhancements (e.g., consideration of slippage on volatile candles, borrowing cost for shorts, improved order matching, etc.) are recommended</w:t>
      </w:r>
      <w:bookmarkStart w:id="46" w:name="fnref22"/>
      <w:bookmarkEnd w:id="46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bookmarkStart w:id="47" w:name="fnref23"/>
      <w:bookmarkEnd w:id="47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bookmarkStart w:id="48" w:name="fnref24"/>
      <w:bookmarkEnd w:id="48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need an example of the </w:t>
      </w:r>
      <w:r>
        <w:rPr>
          <w:rFonts w:eastAsia="inter" w:cs="inter" w:ascii="inter" w:hAnsi="inter"/>
          <w:b/>
          <w:color w:val="000000"/>
        </w:rPr>
        <w:t xml:space="preserve">last-hour momentum</w:t>
      </w:r>
      <w:r>
        <w:rPr>
          <w:rFonts w:eastAsia="inter" w:cs="inter" w:ascii="inter" w:hAnsi="inter"/>
          <w:color w:val="000000"/>
        </w:rPr>
        <w:t xml:space="preserve"> or parameter-optimized strategy, or want multi-trade-per-day logic, please specify your requirements.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9" w:name="fn1"/>
    <w:bookmarkEnd w:id="49"/>
    <w:p>
      <w:pPr>
        <w:numPr>
          <w:ilvl w:val="0"/>
          <w:numId w:val="28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https://www.forexbrokers.com/reviews/interactive-brokers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2"/>
    <w:bookmarkEnd w:id="50"/>
    <w:p>
      <w:pPr>
        <w:numPr>
          <w:ilvl w:val="0"/>
          <w:numId w:val="28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https://www.interactivebrokers.com/en/pricing/commissions-spot-currencies.php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3"/>
    <w:bookmarkEnd w:id="51"/>
    <w:p>
      <w:pPr>
        <w:numPr>
          <w:ilvl w:val="0"/>
          <w:numId w:val="28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https://brokerchooser.com/broker-reviews/interactive-brokers-review/interactive-brokers-sp-500-cfd-spread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4"/>
    <w:bookmarkEnd w:id="52"/>
    <w:p>
      <w:pPr>
        <w:numPr>
          <w:ilvl w:val="0"/>
          <w:numId w:val="28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https://www.interactivebrokers.com/en/software/pdfhighlights/PDF-SpreadTraderFutures.php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5"/>
    <w:bookmarkEnd w:id="53"/>
    <w:p>
      <w:pPr>
        <w:numPr>
          <w:ilvl w:val="0"/>
          <w:numId w:val="28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https://www.ibkrguides.com/ipad/spreads.htm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6"/>
    <w:bookmarkEnd w:id="54"/>
    <w:p>
      <w:pPr>
        <w:numPr>
          <w:ilvl w:val="0"/>
          <w:numId w:val="28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https://tradeproacademy.com/place-stop-losses-option-spreads-interactive-brokers/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7"/>
    <w:bookmarkEnd w:id="55"/>
    <w:p>
      <w:pPr>
        <w:numPr>
          <w:ilvl w:val="0"/>
          <w:numId w:val="28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https://www.interactivebrokers.com/campus/trading-lessons/trading-a-call-spread-using-the-option-chain/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8"/>
    <w:bookmarkEnd w:id="56"/>
    <w:p>
      <w:pPr>
        <w:numPr>
          <w:ilvl w:val="0"/>
          <w:numId w:val="28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https://www.reddit.com/r/interactivebrokers/comments/ornpzi/option_spreads_on_interactive_brokers/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9"/>
    <w:bookmarkEnd w:id="57"/>
    <w:p>
      <w:pPr>
        <w:numPr>
          <w:ilvl w:val="0"/>
          <w:numId w:val="28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https://www.ibkrguides.com/traderworkstation/using-the-combo-trader.htm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10"/>
    <w:bookmarkEnd w:id="58"/>
    <w:p>
      <w:pPr>
        <w:numPr>
          <w:ilvl w:val="0"/>
          <w:numId w:val="28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https://papers.ssrn.com/sol3/papers.cfm?abstract_id=4824172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11"/>
    <w:bookmarkEnd w:id="59"/>
    <w:p>
      <w:pPr>
        <w:numPr>
          <w:ilvl w:val="0"/>
          <w:numId w:val="28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https://concretumgroup.com/beat-the-market-an-effective-intraday-momentum-strategy-for-sp500-etf-spy/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12"/>
    <w:bookmarkEnd w:id="60"/>
    <w:p>
      <w:pPr>
        <w:numPr>
          <w:ilvl w:val="0"/>
          <w:numId w:val="28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https://www.quantconnect.com/forum/discussion/17091/beat-the-market-an-effective-intraday-momentum-strategy-for-s-amp-p500-etf-spy/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13"/>
    <w:bookmarkEnd w:id="61"/>
    <w:p>
      <w:pPr>
        <w:numPr>
          <w:ilvl w:val="0"/>
          <w:numId w:val="28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https://quantmacro.substack.com/p/paper-review-an-effective-intraday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14"/>
    <w:bookmarkEnd w:id="62"/>
    <w:p>
      <w:pPr>
        <w:numPr>
          <w:ilvl w:val="0"/>
          <w:numId w:val="28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https://www.quantifiedstrategies.com/last-hour-trading-strategy/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15"/>
    <w:bookmarkEnd w:id="63"/>
    <w:p>
      <w:pPr>
        <w:numPr>
          <w:ilvl w:val="0"/>
          <w:numId w:val="28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https://papers.ssrn.com/sol3/papers.cfm?abstract_id=5095349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16"/>
    <w:bookmarkEnd w:id="64"/>
    <w:p>
      <w:pPr>
        <w:numPr>
          <w:ilvl w:val="0"/>
          <w:numId w:val="28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https://dc.etsu.edu/cgi/viewcontent.cgi?article=1008&amp;context=tn-capitol-posters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17"/>
    <w:bookmarkEnd w:id="65"/>
    <w:p>
      <w:pPr>
        <w:numPr>
          <w:ilvl w:val="0"/>
          <w:numId w:val="28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https://www.quantifiedstrategies.com/bollinger-bands-trading-strategy/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18"/>
    <w:bookmarkEnd w:id="66"/>
    <w:p>
      <w:pPr>
        <w:numPr>
          <w:ilvl w:val="0"/>
          <w:numId w:val="28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https://www.tradingview.com/chart/SP500/fOniByDO-Bollinger-Bands-Basics-and-Breakout-Strategy/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19"/>
    <w:bookmarkEnd w:id="67"/>
    <w:p>
      <w:pPr>
        <w:numPr>
          <w:ilvl w:val="0"/>
          <w:numId w:val="28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https://tradewiththepros.com/breakout-versus-breakdown-trading/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20"/>
    <w:bookmarkEnd w:id="68"/>
    <w:p>
      <w:pPr>
        <w:numPr>
          <w:ilvl w:val="0"/>
          <w:numId w:val="28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https://bettersystemtrader.com/my-best-emini-sp500-breakout-strategies/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21"/>
    <w:bookmarkEnd w:id="69"/>
    <w:p>
      <w:pPr>
        <w:numPr>
          <w:ilvl w:val="0"/>
          <w:numId w:val="28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https://podcasts.apple.com/ng/podcast/bta-live-my-best-emini-s-p500-breakout-strategies/id1405694819?i=1000627621280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22"/>
    <w:bookmarkEnd w:id="70"/>
    <w:p>
      <w:pPr>
        <w:numPr>
          <w:ilvl w:val="0"/>
          <w:numId w:val="28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https://algotrading101.com/learn/backtesting-py-guide/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23"/>
    <w:bookmarkEnd w:id="71"/>
    <w:p>
      <w:pPr>
        <w:numPr>
          <w:ilvl w:val="0"/>
          <w:numId w:val="28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https://kernc.github.io/backtesting.py/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24"/>
    <w:bookmarkEnd w:id="72"/>
    <w:p>
      <w:pPr>
        <w:numPr>
          <w:ilvl w:val="0"/>
          <w:numId w:val="28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https://concretumgroup.com/python-backtesting-beat-the-market-an-effective-intraday-momentum-strategy-for-the-sp500-etf-spy/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f4f9cdade559222a758fd93f93cdc5e24378884.png" TargetMode="Internal"/><Relationship Id="rId6" Type="http://schemas.openxmlformats.org/officeDocument/2006/relationships/hyperlink" Target="https://www.forexbrokers.com/reviews/interactive-brokers" TargetMode="External"/><Relationship Id="rId7" Type="http://schemas.openxmlformats.org/officeDocument/2006/relationships/hyperlink" Target="https://www.interactivebrokers.com/en/pricing/commissions-spot-currencies.php" TargetMode="External"/><Relationship Id="rId8" Type="http://schemas.openxmlformats.org/officeDocument/2006/relationships/hyperlink" Target="https://brokerchooser.com/broker-reviews/interactive-brokers-review/interactive-brokers-sp-500-cfd-spread" TargetMode="External"/><Relationship Id="rId9" Type="http://schemas.openxmlformats.org/officeDocument/2006/relationships/hyperlink" Target="https://www.interactivebrokers.com/en/software/pdfhighlights/PDF-SpreadTraderFutures.php" TargetMode="External"/><Relationship Id="rId10" Type="http://schemas.openxmlformats.org/officeDocument/2006/relationships/hyperlink" Target="https://www.ibkrguides.com/ipad/spreads.htm" TargetMode="External"/><Relationship Id="rId11" Type="http://schemas.openxmlformats.org/officeDocument/2006/relationships/hyperlink" Target="https://tradeproacademy.com/place-stop-losses-option-spreads-interactive-brokers/" TargetMode="External"/><Relationship Id="rId12" Type="http://schemas.openxmlformats.org/officeDocument/2006/relationships/hyperlink" Target="https://www.interactivebrokers.com/campus/trading-lessons/trading-a-call-spread-using-the-option-chain/" TargetMode="External"/><Relationship Id="rId13" Type="http://schemas.openxmlformats.org/officeDocument/2006/relationships/hyperlink" Target="https://www.reddit.com/r/interactivebrokers/comments/ornpzi/option_spreads_on_interactive_brokers/" TargetMode="External"/><Relationship Id="rId14" Type="http://schemas.openxmlformats.org/officeDocument/2006/relationships/hyperlink" Target="https://www.ibkrguides.com/traderworkstation/using-the-combo-trader.htm" TargetMode="External"/><Relationship Id="rId15" Type="http://schemas.openxmlformats.org/officeDocument/2006/relationships/hyperlink" Target="https://papers.ssrn.com/sol3/papers.cfm?abstract_id=4824172" TargetMode="External"/><Relationship Id="rId16" Type="http://schemas.openxmlformats.org/officeDocument/2006/relationships/hyperlink" Target="https://concretumgroup.com/beat-the-market-an-effective-intraday-momentum-strategy-for-sp500-etf-spy/" TargetMode="External"/><Relationship Id="rId17" Type="http://schemas.openxmlformats.org/officeDocument/2006/relationships/hyperlink" Target="https://www.quantconnect.com/forum/discussion/17091/beat-the-market-an-effective-intraday-momentum-strategy-for-s-amp-p500-etf-spy/" TargetMode="External"/><Relationship Id="rId18" Type="http://schemas.openxmlformats.org/officeDocument/2006/relationships/hyperlink" Target="https://quantmacro.substack.com/p/paper-review-an-effective-intraday" TargetMode="External"/><Relationship Id="rId19" Type="http://schemas.openxmlformats.org/officeDocument/2006/relationships/hyperlink" Target="https://www.quantifiedstrategies.com/last-hour-trading-strategy/" TargetMode="External"/><Relationship Id="rId20" Type="http://schemas.openxmlformats.org/officeDocument/2006/relationships/hyperlink" Target="https://papers.ssrn.com/sol3/papers.cfm?abstract_id=5095349" TargetMode="External"/><Relationship Id="rId21" Type="http://schemas.openxmlformats.org/officeDocument/2006/relationships/hyperlink" Target="https://dc.etsu.edu/cgi/viewcontent.cgi?article=1008&amp;context=tn-capitol-posters" TargetMode="External"/><Relationship Id="rId22" Type="http://schemas.openxmlformats.org/officeDocument/2006/relationships/hyperlink" Target="https://www.quantifiedstrategies.com/bollinger-bands-trading-strategy/" TargetMode="External"/><Relationship Id="rId23" Type="http://schemas.openxmlformats.org/officeDocument/2006/relationships/hyperlink" Target="https://www.tradingview.com/chart/SP500/fOniByDO-Bollinger-Bands-Basics-and-Breakout-Strategy/" TargetMode="External"/><Relationship Id="rId24" Type="http://schemas.openxmlformats.org/officeDocument/2006/relationships/hyperlink" Target="https://tradewiththepros.com/breakout-versus-breakdown-trading/" TargetMode="External"/><Relationship Id="rId25" Type="http://schemas.openxmlformats.org/officeDocument/2006/relationships/hyperlink" Target="https://bettersystemtrader.com/my-best-emini-sp500-breakout-strategies/" TargetMode="External"/><Relationship Id="rId26" Type="http://schemas.openxmlformats.org/officeDocument/2006/relationships/hyperlink" Target="https://podcasts.apple.com/ng/podcast/bta-live-my-best-emini-s-p500-breakout-strategies/id1405694819?i=1000627621280" TargetMode="External"/><Relationship Id="rId27" Type="http://schemas.openxmlformats.org/officeDocument/2006/relationships/hyperlink" Target="https://algotrading101.com/learn/backtesting-py-guide/" TargetMode="External"/><Relationship Id="rId28" Type="http://schemas.openxmlformats.org/officeDocument/2006/relationships/hyperlink" Target="https://kernc.github.io/backtesting.py/" TargetMode="External"/><Relationship Id="rId29" Type="http://schemas.openxmlformats.org/officeDocument/2006/relationships/hyperlink" Target="https://concretumgroup.com/python-backtesting-beat-the-market-an-effective-intraday-momentum-strategy-for-the-sp500-etf-spy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2025-07-27T18:13:51.431Z</dcterms:created>
  <dcterms:modified xsi:type="dcterms:W3CDTF">2025-07-27T18:13:51.431Z</dcterms:modified>
</cp:coreProperties>
</file>