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EndPr/>
      <w:sdtContent>
        <w:p w14:paraId="167402C9" w14:textId="7FC8BDB0" w:rsidR="00FE4DEE" w:rsidRDefault="00E64C23" w:rsidP="00226AF2">
          <w:pPr>
            <w:jc w:val="right"/>
          </w:pPr>
          <w:r>
            <w:t>(Magritte, 1929)</w:t>
          </w:r>
        </w:p>
      </w:sdtContent>
    </w:sdt>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7B9B8E24" w14:textId="09CD67CC" w:rsidR="00035912" w:rsidRDefault="00351B47" w:rsidP="00675F4C">
      <w:pPr>
        <w:pStyle w:val="Heading1"/>
      </w:pPr>
      <w:r w:rsidRPr="00351B47">
        <w:lastRenderedPageBreak/>
        <w:t>Dell’s Channel Transformation: Leveraging Operations Research to Unleash Potential Across the Value Chain</w:t>
      </w:r>
    </w:p>
    <w:p w14:paraId="017DB930" w14:textId="0C31F48E" w:rsidR="00675F4C" w:rsidRDefault="00675F4C" w:rsidP="00351B47"/>
    <w:p w14:paraId="037BA9AD" w14:textId="77777777" w:rsidR="000E1AF6" w:rsidRDefault="000E1AF6" w:rsidP="00351B47"/>
    <w:p w14:paraId="52E09145" w14:textId="77777777" w:rsidR="000E1AF6" w:rsidRDefault="000E1AF6" w:rsidP="00351B47"/>
    <w:p w14:paraId="4F36168A" w14:textId="77777777" w:rsidR="00675F4C" w:rsidRDefault="00675F4C" w:rsidP="00675F4C">
      <w:pPr>
        <w:pStyle w:val="Heading2"/>
      </w:pPr>
      <w:r>
        <w:t>Introduction</w:t>
      </w:r>
    </w:p>
    <w:p w14:paraId="690B9D80" w14:textId="77777777" w:rsidR="00675F4C" w:rsidRDefault="00675F4C" w:rsidP="00963781">
      <w:pPr>
        <w:pStyle w:val="NoSpacing"/>
      </w:pPr>
    </w:p>
    <w:p w14:paraId="7DA615FB" w14:textId="5A97A97A" w:rsidR="00351B47" w:rsidRDefault="00963781" w:rsidP="008916DB">
      <w:pPr>
        <w:pStyle w:val="NoSpacing"/>
      </w:pPr>
      <w:r>
        <w:t xml:space="preserve">The purpose of this </w:t>
      </w:r>
      <w:r w:rsidR="0023264B">
        <w:t>essay</w:t>
      </w:r>
      <w:r>
        <w:t xml:space="preserve">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DefaultPlaceholder_1081868574"/>
          </w:placeholder>
        </w:sdtPr>
        <w:sdtEndPr/>
        <w:sdtContent>
          <w:r w:rsidR="00E64C23">
            <w:t>(Martin et al., 2014)</w:t>
          </w:r>
        </w:sdtContent>
      </w:sdt>
      <w:r>
        <w:t xml:space="preserve"> that appears in the title above.  The article chosen was published in the Operations Research journal </w:t>
      </w:r>
      <w:r>
        <w:rPr>
          <w:i/>
        </w:rPr>
        <w:t>Interfaces</w:t>
      </w:r>
      <w:r>
        <w:t xml:space="preserve"> in January </w:t>
      </w:r>
      <w:r w:rsidR="00D57968">
        <w:t xml:space="preserve">2014 and was a finalist in the 2103 Franz Edelman Awards competition, an annual contest </w:t>
      </w:r>
      <w:r w:rsidR="0023264B">
        <w:t xml:space="preserve">designed </w:t>
      </w:r>
      <w:r w:rsidR="00D57968" w:rsidRPr="0023264B">
        <w:t xml:space="preserve">to </w:t>
      </w:r>
      <w:r w:rsidR="0023264B">
        <w:t>highlight</w:t>
      </w:r>
      <w:r w:rsidR="00D57968" w:rsidRPr="0023264B">
        <w:t xml:space="preserve"> </w:t>
      </w:r>
      <w:r w:rsidR="0023264B" w:rsidRPr="0023264B">
        <w:t>exceptional</w:t>
      </w:r>
      <w:r w:rsidR="00D57968" w:rsidRPr="0023264B">
        <w:t xml:space="preserve"> examples of OR/MS practice.</w:t>
      </w:r>
    </w:p>
    <w:p w14:paraId="67A64042" w14:textId="77777777" w:rsidR="0023264B" w:rsidRDefault="0023264B" w:rsidP="00963781">
      <w:pPr>
        <w:pStyle w:val="NoSpacing"/>
      </w:pPr>
    </w:p>
    <w:p w14:paraId="6FFC0A67" w14:textId="45E23F83" w:rsidR="0023264B" w:rsidRDefault="00AF1803" w:rsidP="008916DB">
      <w:pPr>
        <w:pStyle w:val="NoSpacing"/>
      </w:pPr>
      <w:r>
        <w:t xml:space="preserve">At the time of publication, </w:t>
      </w:r>
      <w:r w:rsidR="00B60E42">
        <w:t xml:space="preserve">Dell Inc. </w:t>
      </w:r>
      <w:r>
        <w:t>was</w:t>
      </w:r>
      <w:r w:rsidR="00B60E42">
        <w:t xml:space="preserve"> the world’s </w:t>
      </w:r>
      <w:r>
        <w:t xml:space="preserve">third </w:t>
      </w:r>
      <w:r w:rsidR="00B60E42">
        <w:t xml:space="preserve">largest personal computer </w:t>
      </w:r>
      <w:r>
        <w:t xml:space="preserve">vendor in terms of market share </w:t>
      </w:r>
      <w:sdt>
        <w:sdtPr>
          <w:tag w:val="CTFMR36750841"/>
          <w:id w:val="-1599557874"/>
          <w:lock w:val="contentLocked"/>
          <w:placeholder>
            <w:docPart w:val="DefaultPlaceholder_1081868574"/>
          </w:placeholder>
        </w:sdtPr>
        <w:sdtEndPr/>
        <w:sdtContent>
          <w:r w:rsidR="00E64C23">
            <w:t>(iCharts, 2014)</w:t>
          </w:r>
        </w:sdtContent>
      </w:sdt>
      <w:r>
        <w:t>.</w:t>
      </w:r>
      <w:r w:rsidR="00B60E42">
        <w:t xml:space="preserve"> </w:t>
      </w:r>
      <w:r w:rsidR="009F5CC8">
        <w:t xml:space="preserve">In their paper, the authors describe three main “solutions” </w:t>
      </w:r>
      <w:r w:rsidR="00E3576D">
        <w:t xml:space="preserve">[models] </w:t>
      </w:r>
      <w:r w:rsidR="009F5CC8">
        <w:t xml:space="preserve">that were developed in response to Dell’s transition from a </w:t>
      </w:r>
      <w:r>
        <w:t>predominantly</w:t>
      </w:r>
      <w:r w:rsidR="009F5CC8">
        <w:t xml:space="preserve"> configure-to-order </w:t>
      </w:r>
      <w:r w:rsidR="00675F4C">
        <w:t xml:space="preserve">(CTO) </w:t>
      </w:r>
      <w:r w:rsidR="00734002">
        <w:t>sales</w:t>
      </w:r>
      <w:r w:rsidR="009F5CC8">
        <w:t xml:space="preserve"> </w:t>
      </w:r>
      <w:r w:rsidR="00734002">
        <w:t>approach</w:t>
      </w:r>
      <w:r w:rsidR="009F5CC8">
        <w:t xml:space="preserve"> to a </w:t>
      </w:r>
      <w:r>
        <w:t>supply</w:t>
      </w:r>
      <w:r w:rsidR="009F5CC8">
        <w:t xml:space="preserve"> model that </w:t>
      </w:r>
      <w:r w:rsidR="00675F4C">
        <w:t>emphasised</w:t>
      </w:r>
      <w:r w:rsidR="009F5CC8">
        <w:t xml:space="preserve"> delivering fixed hardware configurations</w:t>
      </w:r>
      <w:r w:rsidR="00675F4C">
        <w:t xml:space="preserve"> (FHCs), as part of a response to evolving customer attitudes to purchasing technology, including personal computers.  For the purpose of this essay, the focus will be on just one of these three</w:t>
      </w:r>
      <w:r w:rsidR="00E3576D">
        <w:t xml:space="preserve"> models</w:t>
      </w:r>
      <w:r w:rsidR="00675F4C">
        <w:t>, namely</w:t>
      </w:r>
      <w:r w:rsidR="00E3576D">
        <w:t xml:space="preserve"> that which the authors refer</w:t>
      </w:r>
      <w:r w:rsidR="00675F4C">
        <w:t xml:space="preserve"> to as the “Online Conversion Rate Accelerator” (“OCRA”).</w:t>
      </w:r>
    </w:p>
    <w:p w14:paraId="3327F6DF" w14:textId="77777777" w:rsidR="00675F4C" w:rsidRDefault="00675F4C" w:rsidP="00963781">
      <w:pPr>
        <w:pStyle w:val="NoSpacing"/>
      </w:pPr>
    </w:p>
    <w:p w14:paraId="1F36A0C1" w14:textId="77777777" w:rsidR="00675F4C" w:rsidRDefault="00675F4C" w:rsidP="00675F4C">
      <w:pPr>
        <w:pStyle w:val="Heading2"/>
      </w:pPr>
      <w:r>
        <w:t>Online Conversion Rate Accelerator</w:t>
      </w:r>
    </w:p>
    <w:p w14:paraId="0DC1DA7E" w14:textId="77777777" w:rsidR="00675F4C" w:rsidRDefault="00675F4C" w:rsidP="00675F4C"/>
    <w:p w14:paraId="60E7C719" w14:textId="797165CC" w:rsidR="00675F4C" w:rsidRDefault="008C2BE7" w:rsidP="008916DB">
      <w:pPr>
        <w:pStyle w:val="NoSpacing"/>
      </w:pPr>
      <w:r>
        <w:t xml:space="preserve">The Online Conversion Accelerator is, in essence, a model of the various components </w:t>
      </w:r>
      <w:r w:rsidR="00A747F7">
        <w:t>that appear on a sales web page on Dell’s website, along with certain technical and business constraints, formulated as a non-linear, mixed-integer program.</w:t>
      </w:r>
      <w:r>
        <w:t xml:space="preserve"> </w:t>
      </w:r>
      <w:r w:rsidR="00A747F7">
        <w:t xml:space="preserve"> More specifically, the objective function</w:t>
      </w:r>
      <w:r w:rsidR="00E714EE">
        <w:t xml:space="preserve"> is to maximise the “conversion rate” (that is, the proportion of customers browsing the web page who then progress to placing an order) which is modelled as the sum of the “main effects” and “interaction effects” relating to a specified set of permissible webpage components, such as “buttons” and “deal banners”, with each component represented by a binary variable </w:t>
      </w:r>
      <w:r w:rsidR="00E714EE">
        <w:lastRenderedPageBreak/>
        <w:t xml:space="preserve">and an associated coefficient.  The model constraints include a specified minimum and maximum number of page components; merchandising restrictions on certain combinations of FHCs being displayed on the same web page; </w:t>
      </w:r>
      <w:r w:rsidR="006C15B4">
        <w:t xml:space="preserve">a restricted permissible set of combinations of page components (based on a sub-model, to be discussed later in this essay); upper and lower bounds for product prices; limitations on permutations of website navigation elements; and an upper </w:t>
      </w:r>
      <w:r w:rsidR="005932A0">
        <w:t>limit</w:t>
      </w:r>
      <w:r w:rsidR="006C15B4">
        <w:t xml:space="preserve"> on the time taken for a web page to load, given its constituent parts.</w:t>
      </w:r>
    </w:p>
    <w:p w14:paraId="7F5CB09C" w14:textId="77777777" w:rsidR="00C10244" w:rsidRDefault="00C10244" w:rsidP="00A747F7">
      <w:pPr>
        <w:pStyle w:val="NoSpacing"/>
      </w:pPr>
    </w:p>
    <w:p w14:paraId="21F04B8E" w14:textId="08569198" w:rsidR="00C10244" w:rsidRDefault="00C10244" w:rsidP="008916DB">
      <w:pPr>
        <w:pStyle w:val="NoSpacing"/>
      </w:pPr>
      <w:r>
        <w:t>The model described above</w:t>
      </w:r>
      <w:r w:rsidR="00BB07BC">
        <w:t xml:space="preserve"> is</w:t>
      </w:r>
      <w:r>
        <w:t xml:space="preserve"> in fact the final link in a chain of </w:t>
      </w:r>
      <w:r w:rsidR="00A42891">
        <w:t xml:space="preserve">three </w:t>
      </w:r>
      <w:r>
        <w:t>models, with the inputs to the above model being derived from another that utilises multivariate testing and A/B testing to generate a set of distinctive permutations of web page components</w:t>
      </w:r>
      <w:r w:rsidR="00A42891">
        <w:t xml:space="preserve">.  The authors refer to </w:t>
      </w:r>
      <w:r w:rsidR="005E2AC4">
        <w:t>each of these permutations</w:t>
      </w:r>
      <w:r w:rsidR="00A42891">
        <w:t xml:space="preserve"> as </w:t>
      </w:r>
      <w:r w:rsidR="005E2AC4">
        <w:t xml:space="preserve">a </w:t>
      </w:r>
      <w:r w:rsidR="00A42891">
        <w:t>“</w:t>
      </w:r>
      <w:r w:rsidR="005E2AC4">
        <w:t>recipe</w:t>
      </w:r>
      <w:r w:rsidR="00A42891">
        <w:t xml:space="preserve">”.  Extending the authors’ analogy, the ingredients for these recipes stem, in turn, from the initial model in the sequence, that was designed to generate a complete inventory of </w:t>
      </w:r>
      <w:r w:rsidR="0081056B">
        <w:t xml:space="preserve">the individual elements of web page design that have a bearing on the conversion rate.  The reported methods used to isolate these components include some that are widely used and recognised, such as key driver analysis and text mining, as well as borrowing from more specialised techniques from the literature, including behavioural analysis </w:t>
      </w:r>
      <w:sdt>
        <w:sdtPr>
          <w:tag w:val="CTFMR36774810"/>
          <w:id w:val="1935170981"/>
          <w:lock w:val="contentLocked"/>
          <w:placeholder>
            <w:docPart w:val="DefaultPlaceholder_1081868574"/>
          </w:placeholder>
        </w:sdtPr>
        <w:sdtEndPr/>
        <w:sdtContent>
          <w:r w:rsidR="00E64C23">
            <w:t>(Padmanabhan and Tuzhilin, 2003)</w:t>
          </w:r>
        </w:sdtContent>
      </w:sdt>
      <w:r w:rsidR="0081056B">
        <w:t xml:space="preserve">, </w:t>
      </w:r>
      <w:r w:rsidR="00800E7A">
        <w:t xml:space="preserve">website-specific </w:t>
      </w:r>
      <w:r w:rsidR="00092A2E">
        <w:t xml:space="preserve">usability testing </w:t>
      </w:r>
      <w:sdt>
        <w:sdtPr>
          <w:tag w:val="CTFMR36776763"/>
          <w:id w:val="55061746"/>
          <w:lock w:val="contentLocked"/>
          <w:placeholder>
            <w:docPart w:val="DefaultPlaceholder_1081868574"/>
          </w:placeholder>
        </w:sdtPr>
        <w:sdtEndPr/>
        <w:sdtContent>
          <w:r w:rsidR="00E64C23">
            <w:t>(Hinchliffe and Mummery, 2008)</w:t>
          </w:r>
        </w:sdtContent>
      </w:sdt>
      <w:r w:rsidR="00092A2E">
        <w:t xml:space="preserve"> and pathing analysis, </w:t>
      </w:r>
      <w:r w:rsidR="00716E5E">
        <w:t xml:space="preserve">an approach </w:t>
      </w:r>
      <w:r w:rsidR="0033006B">
        <w:t>that analyses user/website interaction based on website metrics data</w:t>
      </w:r>
      <w:r w:rsidR="00800E7A">
        <w:t xml:space="preserve"> </w:t>
      </w:r>
      <w:sdt>
        <w:sdtPr>
          <w:tag w:val="CTFMR36777761"/>
          <w:id w:val="-924417725"/>
          <w:lock w:val="contentLocked"/>
          <w:placeholder>
            <w:docPart w:val="DefaultPlaceholder_1081868574"/>
          </w:placeholder>
        </w:sdtPr>
        <w:sdtEndPr/>
        <w:sdtContent>
          <w:r w:rsidR="00E64C23">
            <w:t>(Weischedel and Huizingh, 2006)</w:t>
          </w:r>
        </w:sdtContent>
      </w:sdt>
      <w:r w:rsidR="00800E7A">
        <w:t>.</w:t>
      </w:r>
    </w:p>
    <w:p w14:paraId="38233437" w14:textId="77777777" w:rsidR="00721714" w:rsidRDefault="00721714" w:rsidP="00A747F7">
      <w:pPr>
        <w:pStyle w:val="NoSpacing"/>
      </w:pPr>
    </w:p>
    <w:p w14:paraId="3996E5B7" w14:textId="40C48D25" w:rsidR="00721714" w:rsidRDefault="00196263" w:rsidP="008916DB">
      <w:pPr>
        <w:pStyle w:val="NoSpacing"/>
      </w:pPr>
      <w:r>
        <w:t xml:space="preserve">The stated purpose of the </w:t>
      </w:r>
      <w:r w:rsidR="00BC2F1D">
        <w:t xml:space="preserve">OCRA </w:t>
      </w:r>
      <w:r>
        <w:t xml:space="preserve">model, as defined by the model’s objective function, was to </w:t>
      </w:r>
      <w:r w:rsidR="005412DA">
        <w:t xml:space="preserve">maximise the </w:t>
      </w:r>
      <w:r w:rsidR="0089684F">
        <w:t xml:space="preserve">online customer </w:t>
      </w:r>
      <w:r w:rsidR="005412DA">
        <w:t>conversion rate.  Additionally, the authors appear to have linked the model to two further outcome measures</w:t>
      </w:r>
      <w:r w:rsidR="00D419AF">
        <w:t>, namely online customer satisfaction</w:t>
      </w:r>
      <w:r w:rsidR="00404BE9">
        <w:t xml:space="preserve"> and “margin improvement”, although the motivation and basis for doing so </w:t>
      </w:r>
      <w:r w:rsidR="0089684F">
        <w:t>is</w:t>
      </w:r>
      <w:r w:rsidR="00404BE9">
        <w:t xml:space="preserve"> unexplained</w:t>
      </w:r>
      <w:r w:rsidR="00BC2F1D">
        <w:t xml:space="preserve"> in the text</w:t>
      </w:r>
      <w:r w:rsidR="00404BE9">
        <w:t xml:space="preserve">.  </w:t>
      </w:r>
      <w:r w:rsidR="003B1519">
        <w:t>It appears that the degree of customer satisfaction may have been assessed by means of a questionnaire</w:t>
      </w:r>
      <w:r w:rsidR="00844BC1">
        <w:t>: the paper states that “…the overall satisfaction of online FHC customers improved from 27 to 45 percent as a result of the improved purchase path</w:t>
      </w:r>
      <w:r w:rsidR="001D4898">
        <w:t xml:space="preserve">”.  It is difficult to draw any firm conclusions from this </w:t>
      </w:r>
      <w:r w:rsidR="00225739">
        <w:t>assertion</w:t>
      </w:r>
      <w:r w:rsidR="001D4898">
        <w:t>.  Presumably it does not mean that</w:t>
      </w:r>
      <w:r w:rsidR="007D2E56">
        <w:t>, on average,</w:t>
      </w:r>
      <w:r w:rsidR="001D4898">
        <w:t xml:space="preserve"> </w:t>
      </w:r>
      <w:r w:rsidR="00847888">
        <w:t>individual customers</w:t>
      </w:r>
      <w:r w:rsidR="001D4898">
        <w:t xml:space="preserve"> went from being “27% satisfied” to “45% satisfied”</w:t>
      </w:r>
      <w:r w:rsidR="00225739">
        <w:t xml:space="preserve">, as it is difficult to conceive such a measure being valid.  More probably, the implication is that the proportion of respondents </w:t>
      </w:r>
      <w:r w:rsidR="00B645BB">
        <w:t>indicating a certain</w:t>
      </w:r>
      <w:r w:rsidR="00E8568D">
        <w:t>, subjective,</w:t>
      </w:r>
      <w:r w:rsidR="00B645BB">
        <w:t xml:space="preserve"> qualitative level of satisfaction with the purchasing process increased from 27% to 45%</w:t>
      </w:r>
      <w:r w:rsidR="00E14443">
        <w:t xml:space="preserve"> [</w:t>
      </w:r>
      <w:r w:rsidR="00B261C1">
        <w:t>one hopes that the measure was not simply a binary choice between “satisfied” and “unsatisfied”</w:t>
      </w:r>
      <w:r w:rsidR="00E14443">
        <w:t>!]</w:t>
      </w:r>
      <w:r w:rsidR="00FC0AC2">
        <w:t xml:space="preserve">.  Even so, the latter portion of the statement </w:t>
      </w:r>
      <w:r w:rsidR="00BE34A7">
        <w:t xml:space="preserve">(“as a </w:t>
      </w:r>
      <w:r w:rsidR="00BE34A7">
        <w:lastRenderedPageBreak/>
        <w:t xml:space="preserve">result of the improved purchase path”) </w:t>
      </w:r>
      <w:r w:rsidR="00815338">
        <w:t>lacks justification, and one might speculate that other, confounding variables, such as price</w:t>
      </w:r>
      <w:r w:rsidR="007D2E56">
        <w:t>, which is well documented as exerting a significant influence over customer satisfaction</w:t>
      </w:r>
      <w:r w:rsidR="000B19A9">
        <w:t xml:space="preserve"> in the online retail environment</w:t>
      </w:r>
      <w:r w:rsidR="00985722">
        <w:t xml:space="preserve"> </w:t>
      </w:r>
      <w:sdt>
        <w:sdtPr>
          <w:tag w:val="CTFMR36786993"/>
          <w:id w:val="177699680"/>
          <w:lock w:val="contentLocked"/>
          <w:placeholder>
            <w:docPart w:val="DefaultPlaceholder_1081868574"/>
          </w:placeholder>
        </w:sdtPr>
        <w:sdtEndPr/>
        <w:sdtContent>
          <w:r w:rsidR="00E64C23">
            <w:t>(Jiang and Rosenbloom, 2005)</w:t>
          </w:r>
        </w:sdtContent>
      </w:sdt>
      <w:r w:rsidR="00815338">
        <w:t xml:space="preserve"> may be at play here</w:t>
      </w:r>
      <w:r w:rsidR="00483038">
        <w:rPr>
          <w:rStyle w:val="FootnoteReference"/>
        </w:rPr>
        <w:footnoteReference w:id="1"/>
      </w:r>
      <w:r w:rsidR="005C67D0">
        <w:t>.</w:t>
      </w:r>
      <w:r w:rsidR="00763197">
        <w:t xml:space="preserve"> </w:t>
      </w:r>
      <w:r w:rsidR="005C67D0">
        <w:t xml:space="preserve"> </w:t>
      </w:r>
      <w:r w:rsidR="005F5893">
        <w:t>Similarly, the claim</w:t>
      </w:r>
      <w:r w:rsidR="001600B5">
        <w:t xml:space="preserve"> </w:t>
      </w:r>
      <w:r w:rsidR="005F5893">
        <w:t>that “a margin improve</w:t>
      </w:r>
      <w:r w:rsidR="005F5893" w:rsidRPr="005F5893">
        <w:t>ment of $33.5 million</w:t>
      </w:r>
      <w:r w:rsidR="005F5893">
        <w:t>”</w:t>
      </w:r>
      <w:r w:rsidR="00A36341">
        <w:t xml:space="preserve"> </w:t>
      </w:r>
      <w:r w:rsidR="00065144">
        <w:t>was as a direct result of “</w:t>
      </w:r>
      <w:r w:rsidR="00A36341">
        <w:t>implementing vari</w:t>
      </w:r>
      <w:r w:rsidR="005F5893" w:rsidRPr="005F5893">
        <w:t>ous changes recommended by these OCRA processes</w:t>
      </w:r>
      <w:r w:rsidR="00065144">
        <w:t>” is somewhat tenuous and left un</w:t>
      </w:r>
      <w:r w:rsidR="00BD4229">
        <w:t>corroborated.</w:t>
      </w:r>
      <w:r w:rsidR="00123301">
        <w:t xml:space="preserve">  </w:t>
      </w:r>
      <w:r w:rsidR="00401CCB">
        <w:t xml:space="preserve">With regards to the objective function of the model, the </w:t>
      </w:r>
      <w:r w:rsidR="00A4686D">
        <w:t xml:space="preserve">online customer </w:t>
      </w:r>
      <w:r w:rsidR="00401CCB">
        <w:t>conversion rate</w:t>
      </w:r>
      <w:r w:rsidR="00A4686D">
        <w:t xml:space="preserve">, the authors report that </w:t>
      </w:r>
      <w:r w:rsidR="00065E33">
        <w:t>“v</w:t>
      </w:r>
      <w:r w:rsidR="00065E33" w:rsidRPr="00065E33">
        <w:t>arious merchandising changes made as part of OCRA helped increase the online FHC sales mix from seven percent in 2010 to 38</w:t>
      </w:r>
      <w:r w:rsidR="005A492C">
        <w:t xml:space="preserve"> [sic] </w:t>
      </w:r>
      <w:r w:rsidR="00065E33" w:rsidRPr="00065E33">
        <w:t xml:space="preserve"> percent in 2012</w:t>
      </w:r>
      <w:r w:rsidR="00065E33">
        <w:t>”.  There are a number of issues with this statement.  To begin with, the proportion of sales that are FHCs</w:t>
      </w:r>
      <w:r w:rsidR="00D03549">
        <w:t xml:space="preserve"> is clearly not the same as the stated objective, </w:t>
      </w:r>
      <w:r w:rsidR="005A492C">
        <w:t>that is</w:t>
      </w:r>
      <w:r w:rsidR="00D03549">
        <w:t xml:space="preserve"> the proportion of visitors to the sales page who subsequently go on to complete a purchase.</w:t>
      </w:r>
      <w:r w:rsidR="0093195D">
        <w:t xml:space="preserve"> Further, as with the two </w:t>
      </w:r>
      <w:r w:rsidR="002E3FB3">
        <w:t>previous</w:t>
      </w:r>
      <w:r w:rsidR="0093195D">
        <w:t xml:space="preserve"> claims, </w:t>
      </w:r>
      <w:r w:rsidR="00B62C77">
        <w:t xml:space="preserve">in the absence of </w:t>
      </w:r>
      <w:r w:rsidR="00997CBE">
        <w:t>evidence for a causal relationship,</w:t>
      </w:r>
      <w:r w:rsidR="00B62C77">
        <w:t xml:space="preserve"> </w:t>
      </w:r>
      <w:r w:rsidR="005E4A67">
        <w:t xml:space="preserve">the </w:t>
      </w:r>
      <w:r w:rsidR="00B62C77">
        <w:t xml:space="preserve">predicate of </w:t>
      </w:r>
      <w:r w:rsidR="001B7D45">
        <w:t xml:space="preserve">the statement is something of a </w:t>
      </w:r>
      <w:r w:rsidR="001B7D45">
        <w:rPr>
          <w:i/>
        </w:rPr>
        <w:t>non sequitur</w:t>
      </w:r>
      <w:r w:rsidR="003A798E">
        <w:t xml:space="preserve">: one might </w:t>
      </w:r>
      <w:r w:rsidR="00E5350A">
        <w:t xml:space="preserve">reasonably speculate that </w:t>
      </w:r>
      <w:r w:rsidR="00D30099">
        <w:t xml:space="preserve">an increase in FHCs as a percentage of all sales </w:t>
      </w:r>
      <w:r w:rsidR="00DA6FFF">
        <w:t xml:space="preserve">could be anticipated </w:t>
      </w:r>
      <w:r w:rsidR="00D876CB">
        <w:t xml:space="preserve">simply </w:t>
      </w:r>
      <w:r w:rsidR="00DA6FFF">
        <w:t xml:space="preserve">on the basis of Dell switching to </w:t>
      </w:r>
      <w:r w:rsidR="00D876CB">
        <w:t>a FHC sales model, optimised or not, in preference to a CTO sales model.</w:t>
      </w:r>
    </w:p>
    <w:p w14:paraId="1707ABBA" w14:textId="77777777" w:rsidR="005C6D37" w:rsidRDefault="005C6D37" w:rsidP="008916DB">
      <w:pPr>
        <w:pStyle w:val="NoSpacing"/>
      </w:pPr>
    </w:p>
    <w:p w14:paraId="7B471A57" w14:textId="3D0EE9E1" w:rsidR="005C6D37" w:rsidRDefault="008A2265" w:rsidP="008916DB">
      <w:pPr>
        <w:pStyle w:val="NoSpacing"/>
      </w:pPr>
      <w:r>
        <w:t xml:space="preserve">The </w:t>
      </w:r>
      <w:r w:rsidR="004C58C6">
        <w:t>Online Conversion Rate Accelerator model was developed with a view to informing</w:t>
      </w:r>
      <w:r w:rsidR="005D789B" w:rsidRPr="005D789B">
        <w:t xml:space="preserve"> senior executives</w:t>
      </w:r>
      <w:r w:rsidR="004C58C6">
        <w:t xml:space="preserve"> within Dell</w:t>
      </w:r>
      <w:r w:rsidR="005D789B">
        <w:t xml:space="preserve">, </w:t>
      </w:r>
      <w:r w:rsidR="004C58C6">
        <w:t xml:space="preserve">specifically </w:t>
      </w:r>
      <w:r w:rsidR="005509B8">
        <w:t>Dell’s</w:t>
      </w:r>
      <w:r w:rsidR="005D789B" w:rsidRPr="005D789B">
        <w:t xml:space="preserve"> </w:t>
      </w:r>
      <w:r w:rsidR="005509B8">
        <w:t>“</w:t>
      </w:r>
      <w:r w:rsidR="005D789B" w:rsidRPr="005D789B">
        <w:t>online business managers</w:t>
      </w:r>
      <w:r w:rsidR="005509B8">
        <w:t>”</w:t>
      </w:r>
      <w:r w:rsidR="005D789B" w:rsidRPr="005D789B">
        <w:t xml:space="preserve"> (OBMs)</w:t>
      </w:r>
      <w:r w:rsidR="005509B8">
        <w:t>.  Interestingly, whilst</w:t>
      </w:r>
      <w:r w:rsidR="00266B95">
        <w:t xml:space="preserve"> regional variations of the model were generated (on the basis of location-specific constraints), the models were implemented </w:t>
      </w:r>
      <w:r w:rsidR="00977930">
        <w:t>centrally by a “global project management team”</w:t>
      </w:r>
      <w:r w:rsidR="00DB1853">
        <w:t>.  There appears to have been an initial degree of reluctance to accept and adopt the model</w:t>
      </w:r>
      <w:r w:rsidR="00892A2D">
        <w:t xml:space="preserve">, apparently </w:t>
      </w:r>
      <w:r w:rsidR="00323882">
        <w:t>owing to</w:t>
      </w:r>
      <w:r w:rsidR="00892A2D">
        <w:t xml:space="preserve"> the fact that some of the </w:t>
      </w:r>
      <w:r w:rsidR="00177CAB">
        <w:t xml:space="preserve">model’s conclusions were contrary to </w:t>
      </w:r>
      <w:r w:rsidR="00C86735">
        <w:t xml:space="preserve">existing beliefs: the authors describe </w:t>
      </w:r>
      <w:r w:rsidR="00B66241">
        <w:t>the</w:t>
      </w:r>
      <w:r w:rsidR="00C86735">
        <w:t xml:space="preserve"> example of an unanticipated</w:t>
      </w:r>
      <w:r w:rsidR="00B66241">
        <w:t>,</w:t>
      </w:r>
      <w:r w:rsidR="00C86735">
        <w:t xml:space="preserve"> inverse association between the number of deal banners </w:t>
      </w:r>
      <w:r w:rsidR="00B66241">
        <w:t xml:space="preserve">on a web page </w:t>
      </w:r>
      <w:r w:rsidR="00C86735">
        <w:t xml:space="preserve">and the </w:t>
      </w:r>
      <w:r w:rsidR="00B66241">
        <w:t xml:space="preserve">associated </w:t>
      </w:r>
      <w:r w:rsidR="00C86735">
        <w:t>conversion rate.</w:t>
      </w:r>
      <w:r w:rsidR="00177CAB">
        <w:t xml:space="preserve"> </w:t>
      </w:r>
      <w:r w:rsidR="00B66241">
        <w:t xml:space="preserve"> </w:t>
      </w:r>
      <w:r w:rsidR="001A0E42">
        <w:t>This preliminary resistance dissipated</w:t>
      </w:r>
      <w:r w:rsidR="004F075A">
        <w:t>, seemingly</w:t>
      </w:r>
      <w:r w:rsidR="001A0E42">
        <w:t xml:space="preserve"> </w:t>
      </w:r>
      <w:r w:rsidR="007115E5">
        <w:t>on account of the results of</w:t>
      </w:r>
      <w:r w:rsidR="001A0E42">
        <w:t xml:space="preserve"> successive</w:t>
      </w:r>
      <w:r w:rsidR="00424D6E">
        <w:t>,</w:t>
      </w:r>
      <w:r w:rsidR="001A0E42">
        <w:t xml:space="preserve"> incremental “pilots”</w:t>
      </w:r>
      <w:r w:rsidR="00E00704">
        <w:t xml:space="preserve"> of the model, leading </w:t>
      </w:r>
      <w:r w:rsidR="008C6BA8">
        <w:t>progressively</w:t>
      </w:r>
      <w:r w:rsidR="00E00704">
        <w:t xml:space="preserve"> to </w:t>
      </w:r>
      <w:r w:rsidR="008C6BA8">
        <w:t xml:space="preserve">managerial </w:t>
      </w:r>
      <w:r w:rsidR="00E00704">
        <w:t xml:space="preserve">acceptance, subsequent full-scale roll-out and finally to adoption in preference to the </w:t>
      </w:r>
      <w:r w:rsidR="00996A25">
        <w:t>prior approach of page design based on</w:t>
      </w:r>
      <w:r w:rsidR="00E00704">
        <w:t xml:space="preserve"> expert </w:t>
      </w:r>
      <w:r w:rsidR="00996A25">
        <w:t>knowledge and acumen</w:t>
      </w:r>
      <w:r w:rsidR="00E00704">
        <w:t>.</w:t>
      </w:r>
      <w:r w:rsidR="00996A25">
        <w:t xml:space="preserve"> </w:t>
      </w:r>
    </w:p>
    <w:p w14:paraId="5CCFC721" w14:textId="77777777" w:rsidR="00A6084F" w:rsidRDefault="00A6084F" w:rsidP="008916DB">
      <w:pPr>
        <w:pStyle w:val="NoSpacing"/>
      </w:pPr>
    </w:p>
    <w:p w14:paraId="6E820230" w14:textId="0C9AD1B8" w:rsidR="00A6084F" w:rsidRDefault="00A6084F">
      <w:r>
        <w:br w:type="page"/>
      </w:r>
    </w:p>
    <w:p w14:paraId="2A6C3113" w14:textId="0D9DA533" w:rsidR="00A6084F" w:rsidRDefault="0042706B" w:rsidP="0042706B">
      <w:pPr>
        <w:pStyle w:val="Heading1"/>
      </w:pPr>
      <w:r>
        <w:lastRenderedPageBreak/>
        <w:t>What constitutes a “good” (Management Science) model, and what are the characteristics of a good modelling process?</w:t>
      </w:r>
    </w:p>
    <w:p w14:paraId="73D73DFC" w14:textId="77777777" w:rsidR="0042706B" w:rsidRDefault="0042706B" w:rsidP="0042706B"/>
    <w:p w14:paraId="05892BE4" w14:textId="77777777" w:rsidR="0042706B" w:rsidRDefault="0042706B" w:rsidP="0042706B"/>
    <w:p w14:paraId="7A657A01" w14:textId="77777777" w:rsidR="0042706B" w:rsidRDefault="0042706B" w:rsidP="0042706B"/>
    <w:p w14:paraId="220670B3" w14:textId="1B01C2C2" w:rsidR="0042706B" w:rsidRDefault="00C1284A" w:rsidP="0042706B">
      <w:pPr>
        <w:pStyle w:val="Heading2"/>
      </w:pPr>
      <w:r>
        <w:t>What constitutes a “good” model?</w:t>
      </w:r>
    </w:p>
    <w:p w14:paraId="0C2C4FE5" w14:textId="77777777" w:rsidR="00C1284A" w:rsidRDefault="00C1284A" w:rsidP="00C1284A"/>
    <w:p w14:paraId="0A845A4C" w14:textId="77777777" w:rsidR="00B23CD0" w:rsidRDefault="00B23CD0" w:rsidP="00A011C1">
      <w:pPr>
        <w:pStyle w:val="NoSpacing"/>
      </w:pPr>
      <w:r>
        <w:t>The use of the word “model” in English dates back to the latter half of the 16</w:t>
      </w:r>
      <w:r w:rsidRPr="00A55EEB">
        <w:rPr>
          <w:vertAlign w:val="superscript"/>
        </w:rPr>
        <w:t>th</w:t>
      </w:r>
      <w:r>
        <w:t xml:space="preserve"> century, according to at least one online source </w:t>
      </w:r>
      <w:sdt>
        <w:sdtPr>
          <w:tag w:val="CTFMR36943243"/>
          <w:id w:val="1440641777"/>
          <w:lock w:val="contentLocked"/>
          <w:placeholder>
            <w:docPart w:val="80369118E52B4B9ABEB02E51D0EFEA97"/>
          </w:placeholder>
        </w:sdtPr>
        <w:sdtEndPr/>
        <w:sdtContent>
          <w:r>
            <w:t>(Etymonline.com, 2014)</w:t>
          </w:r>
        </w:sdtContent>
      </w:sdt>
      <w:r>
        <w:t>:</w:t>
      </w:r>
    </w:p>
    <w:p w14:paraId="21E5FF81" w14:textId="77777777" w:rsidR="00F079EF" w:rsidRDefault="00F079EF" w:rsidP="00A011C1">
      <w:pPr>
        <w:pStyle w:val="NoSpacing"/>
      </w:pPr>
    </w:p>
    <w:p w14:paraId="1288CCD6" w14:textId="77777777" w:rsidR="00B23CD0" w:rsidRPr="008E6E20" w:rsidRDefault="00B23CD0" w:rsidP="00A011C1">
      <w:pPr>
        <w:pStyle w:val="Quote"/>
      </w:pPr>
      <w:hyperlink r:id="rId12" w:history="1">
        <w:r w:rsidRPr="008E6E20">
          <w:t>model (n.)</w:t>
        </w:r>
      </w:hyperlink>
      <w:r w:rsidRPr="008E6E20">
        <w:t xml:space="preserve"> </w:t>
      </w:r>
    </w:p>
    <w:p w14:paraId="2526DC33" w14:textId="77777777" w:rsidR="00B23CD0" w:rsidRPr="00B8728A" w:rsidRDefault="00B23CD0" w:rsidP="00A011C1">
      <w:pPr>
        <w:pStyle w:val="Quote"/>
      </w:pPr>
      <w:r>
        <w:t>1570s, "likeness made to scale; architect's set of designs," from Middle French modelle (16c., Modern French modèle), from Italian modello "a model, mold," from Vulgar Latin *modellus, from Latin modulus "a small measure, standard,"</w:t>
      </w:r>
    </w:p>
    <w:p w14:paraId="5EDA5BAE" w14:textId="77777777" w:rsidR="00B23CD0" w:rsidRDefault="00B23CD0" w:rsidP="00A011C1">
      <w:pPr>
        <w:pStyle w:val="NoSpacing"/>
      </w:pPr>
    </w:p>
    <w:p w14:paraId="0C5E2113" w14:textId="6C8BF2A0" w:rsidR="005C0C45" w:rsidRDefault="00696A5F" w:rsidP="00C1284A">
      <w:pPr>
        <w:pStyle w:val="NoSpacing"/>
      </w:pPr>
      <w:r>
        <w:t>This primordial</w:t>
      </w:r>
      <w:r w:rsidR="004B0F59">
        <w:t xml:space="preserve"> definition of a model may suffice for </w:t>
      </w:r>
      <w:r>
        <w:t xml:space="preserve">certain </w:t>
      </w:r>
      <w:r w:rsidR="004B0F59">
        <w:t>instances of physical models, but</w:t>
      </w:r>
      <w:r>
        <w:t xml:space="preserve"> lacks the qualities necessary to capture the </w:t>
      </w:r>
      <w:r w:rsidR="008374C5">
        <w:t xml:space="preserve">sophisticated </w:t>
      </w:r>
      <w:r>
        <w:t xml:space="preserve">essence of </w:t>
      </w:r>
      <w:r w:rsidR="0037710C">
        <w:t>what we mean by a</w:t>
      </w:r>
      <w:r>
        <w:t xml:space="preserve"> model </w:t>
      </w:r>
      <w:r w:rsidR="008374C5">
        <w:t>in our specified context.</w:t>
      </w:r>
      <w:r w:rsidR="004B0F59">
        <w:t xml:space="preserve"> </w:t>
      </w:r>
      <w:r w:rsidR="00D86E73">
        <w:t>The question as to what constitutes a good Management Science model is perhaps best answered by separating the question into two constituent parts as follows</w:t>
      </w:r>
      <w:r w:rsidR="00796309">
        <w:t>.  First, the shorter (but not necessarily simpler) question, “What is a model?”,</w:t>
      </w:r>
      <w:r w:rsidR="005C0C45">
        <w:t xml:space="preserve"> and second</w:t>
      </w:r>
      <w:r w:rsidR="00796309">
        <w:t xml:space="preserve"> </w:t>
      </w:r>
      <w:r w:rsidR="00FD0D62">
        <w:t>“</w:t>
      </w:r>
      <w:r w:rsidR="00C357D3">
        <w:t>How does one define ‘good’</w:t>
      </w:r>
      <w:r w:rsidR="005C0C45">
        <w:t xml:space="preserve"> in this context?”</w:t>
      </w:r>
      <w:r w:rsidR="00C357D3">
        <w:t xml:space="preserve">  For each of these questions</w:t>
      </w:r>
      <w:r w:rsidR="000666C5">
        <w:t xml:space="preserve">, it is also </w:t>
      </w:r>
      <w:r w:rsidR="00414464">
        <w:t>apropos to enquire, “According to whom?”</w:t>
      </w:r>
      <w:r w:rsidR="000B0D33">
        <w:t xml:space="preserve">  </w:t>
      </w:r>
    </w:p>
    <w:p w14:paraId="3F660A1F" w14:textId="77777777" w:rsidR="003B0C3D" w:rsidRDefault="003B0C3D" w:rsidP="00C1284A">
      <w:pPr>
        <w:pStyle w:val="NoSpacing"/>
      </w:pPr>
    </w:p>
    <w:p w14:paraId="0BF27CB4" w14:textId="43D1E481" w:rsidR="00F1172A" w:rsidRDefault="000B0D33" w:rsidP="00C1284A">
      <w:pPr>
        <w:pStyle w:val="NoSpacing"/>
      </w:pPr>
      <w:r>
        <w:t xml:space="preserve">In </w:t>
      </w:r>
      <w:r w:rsidR="003B0C3D">
        <w:t>constructing</w:t>
      </w:r>
      <w:r>
        <w:t xml:space="preserve"> a response to the first question, </w:t>
      </w:r>
      <w:r w:rsidR="001F204D">
        <w:t xml:space="preserve">“What is a model?”, </w:t>
      </w:r>
      <w:r>
        <w:t xml:space="preserve">both Williams </w:t>
      </w:r>
      <w:sdt>
        <w:sdtPr>
          <w:tag w:val="CTFMR36939741"/>
          <w:id w:val="-53554156"/>
          <w:lock w:val="contentLocked"/>
          <w:placeholder>
            <w:docPart w:val="DefaultPlaceholder_1081868574"/>
          </w:placeholder>
        </w:sdtPr>
        <w:sdtEndPr/>
        <w:sdtContent>
          <w:r w:rsidR="00E64C23">
            <w:t>(Williams, 2008)</w:t>
          </w:r>
        </w:sdtContent>
      </w:sdt>
      <w:r w:rsidR="005C0C45">
        <w:t xml:space="preserve"> and </w:t>
      </w:r>
      <w:r w:rsidR="00087495" w:rsidRPr="00E542A3">
        <w:t>Wahlstr</w:t>
      </w:r>
      <w:r w:rsidR="00E542A3" w:rsidRPr="00E542A3">
        <w:t>ö</w:t>
      </w:r>
      <w:r w:rsidR="00087495" w:rsidRPr="00E542A3">
        <w:t>m</w:t>
      </w:r>
      <w:r w:rsidR="005C0C45">
        <w:t xml:space="preserve"> </w:t>
      </w:r>
      <w:sdt>
        <w:sdtPr>
          <w:tag w:val="CTFMR36737448"/>
          <w:id w:val="317228881"/>
          <w:lock w:val="contentLocked"/>
          <w:placeholder>
            <w:docPart w:val="DefaultPlaceholder_1081868574"/>
          </w:placeholder>
        </w:sdtPr>
        <w:sdtEndPr/>
        <w:sdtContent>
          <w:r w:rsidR="00E542A3">
            <w:t>(Wahlström, 1994)</w:t>
          </w:r>
        </w:sdtContent>
      </w:sdt>
      <w:r w:rsidR="008E30BD">
        <w:t xml:space="preserve"> utilise a definition taken from the Collins English Dictionary (1986) as a starting point</w:t>
      </w:r>
      <w:r w:rsidR="001F204D">
        <w:t>:</w:t>
      </w:r>
    </w:p>
    <w:p w14:paraId="6637F13E" w14:textId="77777777" w:rsidR="00F1172A" w:rsidRDefault="00F1172A" w:rsidP="00C1284A">
      <w:pPr>
        <w:pStyle w:val="NoSpacing"/>
      </w:pPr>
    </w:p>
    <w:p w14:paraId="2226A6E1" w14:textId="2F32F0A5" w:rsidR="001F204D" w:rsidRDefault="005607EE" w:rsidP="005607EE">
      <w:pPr>
        <w:pStyle w:val="Quote"/>
      </w:pPr>
      <w:r>
        <w:t>“a simplified representation or description of a system or complex entity, esp</w:t>
      </w:r>
      <w:r w:rsidR="001830A4">
        <w:t>ecially</w:t>
      </w:r>
      <w:r>
        <w:t xml:space="preserve"> one designed to facilitate calculations and predictions”</w:t>
      </w:r>
    </w:p>
    <w:p w14:paraId="60999EB4" w14:textId="77777777" w:rsidR="00B8728A" w:rsidRDefault="00B8728A" w:rsidP="00B8728A"/>
    <w:p w14:paraId="006A3F3A" w14:textId="1794F030" w:rsidR="00B8728A" w:rsidRDefault="00552ECE" w:rsidP="00B8728A">
      <w:pPr>
        <w:pStyle w:val="NoSpacing"/>
      </w:pPr>
      <w:r>
        <w:t>[</w:t>
      </w:r>
      <w:r w:rsidR="00CA6854">
        <w:t xml:space="preserve">Fast forward to the present day, and that definition remains unchanged </w:t>
      </w:r>
      <w:sdt>
        <w:sdtPr>
          <w:tag w:val="CTFMR36942013"/>
          <w:id w:val="474502451"/>
          <w:lock w:val="contentLocked"/>
          <w:placeholder>
            <w:docPart w:val="DefaultPlaceholder_1081868574"/>
          </w:placeholder>
        </w:sdtPr>
        <w:sdtEndPr/>
        <w:sdtContent>
          <w:r w:rsidR="00AB669E">
            <w:t>(Collinsdictionary.com, 2014)</w:t>
          </w:r>
        </w:sdtContent>
      </w:sdt>
      <w:r>
        <w:t xml:space="preserve">.]  </w:t>
      </w:r>
      <w:r w:rsidR="00B45A97">
        <w:t xml:space="preserve">  This</w:t>
      </w:r>
      <w:r w:rsidR="00C56066">
        <w:t>,</w:t>
      </w:r>
      <w:r w:rsidR="00B45A97">
        <w:t xml:space="preserve"> surely</w:t>
      </w:r>
      <w:r w:rsidR="00C56066">
        <w:t>,</w:t>
      </w:r>
      <w:r w:rsidR="00B45A97">
        <w:t xml:space="preserve"> represents </w:t>
      </w:r>
      <w:r w:rsidR="00011CE3">
        <w:t xml:space="preserve">an improved definition from our chosen perspective, </w:t>
      </w:r>
      <w:r w:rsidR="00200BD0">
        <w:t>providing a</w:t>
      </w:r>
      <w:r w:rsidR="00011CE3">
        <w:t xml:space="preserve"> </w:t>
      </w:r>
      <w:r w:rsidR="00726C93">
        <w:t>description</w:t>
      </w:r>
      <w:r w:rsidR="00FE06D5">
        <w:t xml:space="preserve"> that is mor</w:t>
      </w:r>
      <w:r w:rsidR="00011CE3">
        <w:t xml:space="preserve">e detailed </w:t>
      </w:r>
      <w:r w:rsidR="00FE06D5">
        <w:t xml:space="preserve">and </w:t>
      </w:r>
      <w:r w:rsidR="002C701C">
        <w:t>that uses</w:t>
      </w:r>
      <w:r w:rsidR="001D3410">
        <w:t xml:space="preserve"> </w:t>
      </w:r>
      <w:r w:rsidR="002C701C">
        <w:t>a vocabulary</w:t>
      </w:r>
      <w:r w:rsidR="001D3410">
        <w:t xml:space="preserve"> that seems more applicable to the realm of conceptual, rather than physical, models.</w:t>
      </w:r>
      <w:r w:rsidR="002F4328">
        <w:t xml:space="preserve">  The defi</w:t>
      </w:r>
      <w:r w:rsidR="0054058B">
        <w:t>ni</w:t>
      </w:r>
      <w:r w:rsidR="00546D81">
        <w:t xml:space="preserve">tion introduces </w:t>
      </w:r>
      <w:r w:rsidR="00546D81">
        <w:lastRenderedPageBreak/>
        <w:t>the concept of the</w:t>
      </w:r>
      <w:r w:rsidR="0054058B">
        <w:t xml:space="preserve"> distinction between </w:t>
      </w:r>
      <w:r w:rsidR="009D16B5">
        <w:t xml:space="preserve">a detailed and intricate </w:t>
      </w:r>
      <w:r w:rsidR="00EC3FAD">
        <w:t>actuality</w:t>
      </w:r>
      <w:r w:rsidR="000A466E">
        <w:t xml:space="preserve"> on the one hand, and a </w:t>
      </w:r>
      <w:r w:rsidR="00EC3FAD">
        <w:t>less complicated portrayal of that reality on the other</w:t>
      </w:r>
      <w:r w:rsidR="00FC261B">
        <w:t xml:space="preserve">, </w:t>
      </w:r>
      <w:r w:rsidR="00CA1166">
        <w:t xml:space="preserve">before </w:t>
      </w:r>
      <w:r w:rsidR="001D0C82">
        <w:t>alluding to the notion of a model having a purpose.</w:t>
      </w:r>
      <w:r w:rsidR="002922C7">
        <w:t xml:space="preserve">  From </w:t>
      </w:r>
      <w:r w:rsidR="005561F6">
        <w:t>here</w:t>
      </w:r>
      <w:r w:rsidR="002922C7">
        <w:t xml:space="preserve">, the authors diverge in their approach to answering the </w:t>
      </w:r>
      <w:r w:rsidR="00EC4C20">
        <w:t>question</w:t>
      </w:r>
      <w:r w:rsidR="005561F6">
        <w:t xml:space="preserve"> of what</w:t>
      </w:r>
      <w:r w:rsidR="00ED0702">
        <w:t xml:space="preserve"> constitutes a model.  Wahlström </w:t>
      </w:r>
      <w:r w:rsidR="002E2DCC">
        <w:t>progresses to effectively describe a “model of a model” and whilst such an approach has merit</w:t>
      </w:r>
      <w:r w:rsidR="00A22D46">
        <w:t xml:space="preserve">, it lacks concision and leaves us </w:t>
      </w:r>
      <w:r w:rsidR="00591E64">
        <w:t xml:space="preserve">yet to clear the first hurdle in our pursuit </w:t>
      </w:r>
      <w:r w:rsidR="00886E2F">
        <w:t xml:space="preserve">of a definition that is, at once, sufficiently succinct and yet satisfactorily </w:t>
      </w:r>
      <w:r w:rsidR="00834BE0">
        <w:t xml:space="preserve">comprehensive (a duality that applies, as </w:t>
      </w:r>
      <w:r w:rsidR="006C3884">
        <w:t xml:space="preserve">we shall see, </w:t>
      </w:r>
      <w:r w:rsidR="00834BE0">
        <w:t>to the very models that we seek to describe).</w:t>
      </w:r>
      <w:r w:rsidR="006C3884">
        <w:t xml:space="preserve">  </w:t>
      </w:r>
      <w:r w:rsidR="00C87003">
        <w:t xml:space="preserve">Conversely, </w:t>
      </w:r>
      <w:r w:rsidR="00372F80">
        <w:t xml:space="preserve">Williams continues with what might itself be considered a small-scale modelling </w:t>
      </w:r>
      <w:r w:rsidR="000727A0">
        <w:t>exercise:</w:t>
      </w:r>
      <w:r w:rsidR="001E1260">
        <w:t xml:space="preserve"> using the dictionary definition as a prototy</w:t>
      </w:r>
      <w:r w:rsidR="000727A0">
        <w:t>pe for the finished product;</w:t>
      </w:r>
      <w:r w:rsidR="001E1260">
        <w:t xml:space="preserve"> describing a sequence of iterations in which he </w:t>
      </w:r>
      <w:r w:rsidR="000727A0">
        <w:t>reflects on</w:t>
      </w:r>
      <w:r w:rsidR="00F4461D">
        <w:t xml:space="preserve"> ele</w:t>
      </w:r>
      <w:r w:rsidR="000727A0">
        <w:t>ments of the growing definition;</w:t>
      </w:r>
      <w:r w:rsidR="00F4461D">
        <w:t xml:space="preserve"> refining each </w:t>
      </w:r>
      <w:r w:rsidR="000727A0">
        <w:t xml:space="preserve">element </w:t>
      </w:r>
      <w:r w:rsidR="00F4461D">
        <w:t>in turn</w:t>
      </w:r>
      <w:r w:rsidR="000727A0">
        <w:t xml:space="preserve"> whilst also adding components deemed necessary to encapsulate the </w:t>
      </w:r>
      <w:r w:rsidR="00C87003">
        <w:t xml:space="preserve">essence of </w:t>
      </w:r>
      <w:r w:rsidR="00893B19">
        <w:t>a Management Science model</w:t>
      </w:r>
      <w:r w:rsidR="00660A3D">
        <w:t xml:space="preserve">, before arriving at the </w:t>
      </w:r>
      <w:r w:rsidR="00431090">
        <w:t>endpoint</w:t>
      </w:r>
      <w:r w:rsidR="00DB2B79">
        <w:t xml:space="preserve"> – a “model” defined in a single sentence, thus:</w:t>
      </w:r>
    </w:p>
    <w:p w14:paraId="03E03F24" w14:textId="77777777" w:rsidR="00F1172A" w:rsidRDefault="00F1172A" w:rsidP="00B8728A">
      <w:pPr>
        <w:pStyle w:val="NoSpacing"/>
      </w:pPr>
    </w:p>
    <w:p w14:paraId="046AFDBD" w14:textId="061CAA84" w:rsidR="00DB2B79" w:rsidRDefault="00DE221C" w:rsidP="00F1172A">
      <w:pPr>
        <w:pStyle w:val="Quote"/>
      </w:pPr>
      <w:r>
        <w:t>“A model represents or describes perceptions of a real situation, simplified, using a formal, theoretically based language of concepts and their relationships (that enables manipulation of these entities), in order to facilitate management, control, understanding or some other manipulation of that situation</w:t>
      </w:r>
      <w:r w:rsidR="00F1172A">
        <w:t>.”</w:t>
      </w:r>
    </w:p>
    <w:p w14:paraId="451FF144" w14:textId="77777777" w:rsidR="00AB47D5" w:rsidRDefault="00AB47D5" w:rsidP="00AB47D5"/>
    <w:p w14:paraId="75779C1C" w14:textId="263D75AD" w:rsidR="00AB47D5" w:rsidRDefault="00AB47D5" w:rsidP="00AB47D5">
      <w:pPr>
        <w:pStyle w:val="NoSpacing"/>
      </w:pPr>
      <w:r>
        <w:t>It is instructive</w:t>
      </w:r>
      <w:r w:rsidR="00AE6088">
        <w:t xml:space="preserve"> to step through the elements of this</w:t>
      </w:r>
      <w:r w:rsidR="005052AC">
        <w:t xml:space="preserve"> definition</w:t>
      </w:r>
      <w:r w:rsidR="00D368DC">
        <w:t>, examining ho</w:t>
      </w:r>
      <w:r w:rsidR="00046E30">
        <w:t>w each concept</w:t>
      </w:r>
      <w:r w:rsidR="00D368DC">
        <w:t xml:space="preserve"> accords with the more widely held views portrayed in the literature</w:t>
      </w:r>
      <w:r w:rsidR="00647F72">
        <w:t xml:space="preserve"> before supplementing </w:t>
      </w:r>
      <w:r w:rsidR="00BE5FB2">
        <w:t>this description of a model with some further desirable attributes.</w:t>
      </w:r>
    </w:p>
    <w:p w14:paraId="6FB52A27" w14:textId="77777777" w:rsidR="00BE5FB2" w:rsidRDefault="00BE5FB2" w:rsidP="00AB47D5">
      <w:pPr>
        <w:pStyle w:val="NoSpacing"/>
      </w:pPr>
    </w:p>
    <w:p w14:paraId="3FF733D0" w14:textId="5BCD599B" w:rsidR="00F1172A" w:rsidRDefault="00046E30" w:rsidP="00046E30">
      <w:pPr>
        <w:pStyle w:val="Heading3"/>
      </w:pPr>
      <w:r>
        <w:t>A model is a representation of reality, not reality itself</w:t>
      </w:r>
    </w:p>
    <w:p w14:paraId="09B164BC" w14:textId="77777777" w:rsidR="0055218E" w:rsidRDefault="0055218E" w:rsidP="0055218E"/>
    <w:p w14:paraId="75723E42" w14:textId="2674411C" w:rsidR="0055218E" w:rsidRDefault="00D240CA" w:rsidP="0055218E">
      <w:pPr>
        <w:pStyle w:val="NoSpacing"/>
      </w:pPr>
      <w:r>
        <w:t>Of all of the features of a model to be explored within this essay</w:t>
      </w:r>
      <w:r w:rsidR="002961DB">
        <w:t>, this firs</w:t>
      </w:r>
      <w:r w:rsidR="005149D6">
        <w:t xml:space="preserve">t is perhaps the most </w:t>
      </w:r>
      <w:r w:rsidR="006F21AD">
        <w:t>crucial to acknowledge</w:t>
      </w:r>
      <w:r w:rsidR="005149D6">
        <w:t xml:space="preserve">, for the concept of distinction from reality is essentially a </w:t>
      </w:r>
      <w:r w:rsidR="005149D6">
        <w:rPr>
          <w:i/>
        </w:rPr>
        <w:t>sine qua non</w:t>
      </w:r>
      <w:r w:rsidR="005149D6">
        <w:t xml:space="preserve"> for the type of models under consideration here.</w:t>
      </w:r>
      <w:r w:rsidR="006F21AD">
        <w:t xml:space="preserve">  A model can never equate, in scale, detail, or complexity to that which it purports to represent</w:t>
      </w:r>
      <w:r w:rsidR="00822A8E">
        <w:t xml:space="preserve">.  In the event that such an accomplishment were </w:t>
      </w:r>
      <w:r w:rsidR="00871050">
        <w:t>possible</w:t>
      </w:r>
      <w:r w:rsidR="008934E4">
        <w:t>, then there would be no advantage to be gained from studying the model as opposed to the reality itself</w:t>
      </w:r>
      <w:r w:rsidR="00871050">
        <w:t xml:space="preserve">.  Korzybski argues, however, that such a </w:t>
      </w:r>
      <w:r w:rsidR="00FF3265">
        <w:t>feat is infeasible in any case: referring to “models” as “maps”, he states that “if the map could be ideally correct, it would include, in a reduced scale, the map of the map; the map of the map of the map</w:t>
      </w:r>
      <w:r w:rsidR="0063328F">
        <w:t xml:space="preserve">; and so on, </w:t>
      </w:r>
      <w:r w:rsidR="0063328F">
        <w:lastRenderedPageBreak/>
        <w:t>endlessly…”</w:t>
      </w:r>
      <w:r w:rsidR="00F5366D">
        <w:t xml:space="preserve"> </w:t>
      </w:r>
      <w:sdt>
        <w:sdtPr>
          <w:tag w:val="CTFMR36636408"/>
          <w:id w:val="1461538175"/>
          <w:lock w:val="contentLocked"/>
          <w:placeholder>
            <w:docPart w:val="DefaultPlaceholder_1081868574"/>
          </w:placeholder>
        </w:sdtPr>
        <w:sdtContent>
          <w:r w:rsidR="0025294C">
            <w:t>(Korzybski, 1931)</w:t>
          </w:r>
        </w:sdtContent>
      </w:sdt>
      <w:r w:rsidR="00CC2776">
        <w:t xml:space="preserve"> and, in what has become a familiar maxim</w:t>
      </w:r>
      <w:r w:rsidR="00A557B8">
        <w:t>, cautions us to be ever mindful that “the map is not the territory”.</w:t>
      </w:r>
      <w:r w:rsidR="00E54574">
        <w:t xml:space="preserve">  </w:t>
      </w:r>
    </w:p>
    <w:p w14:paraId="4D46ECA9" w14:textId="77777777" w:rsidR="00374BE5" w:rsidRDefault="00374BE5" w:rsidP="0055218E">
      <w:pPr>
        <w:pStyle w:val="NoSpacing"/>
      </w:pPr>
    </w:p>
    <w:p w14:paraId="34F1E56A" w14:textId="1A783612" w:rsidR="00374BE5" w:rsidRDefault="00374BE5" w:rsidP="00374BE5">
      <w:pPr>
        <w:pStyle w:val="Heading3"/>
      </w:pPr>
      <w:r>
        <w:t xml:space="preserve">A model </w:t>
      </w:r>
      <w:r w:rsidR="00200C4C">
        <w:t>reflects</w:t>
      </w:r>
      <w:r w:rsidR="0082344B">
        <w:t xml:space="preserve"> one of many possible interpretations of a real scenario</w:t>
      </w:r>
    </w:p>
    <w:p w14:paraId="2E03D6D5" w14:textId="77777777" w:rsidR="0082344B" w:rsidRDefault="0082344B" w:rsidP="0082344B"/>
    <w:p w14:paraId="3ECBB633" w14:textId="2B9C7BCF" w:rsidR="0082344B" w:rsidRDefault="00200C4C" w:rsidP="0082344B">
      <w:pPr>
        <w:pStyle w:val="NoSpacing"/>
      </w:pPr>
      <w:r>
        <w:t>It is difficult to argue the case for a universal reality</w:t>
      </w:r>
      <w:r w:rsidR="0032313F">
        <w:t xml:space="preserve"> from a human perspective, as each individual will carry with them their own set of values, beliefs and biases formed </w:t>
      </w:r>
      <w:r w:rsidR="0056385E">
        <w:t xml:space="preserve">by the </w:t>
      </w:r>
      <w:r w:rsidR="00927F37">
        <w:t xml:space="preserve">complex </w:t>
      </w:r>
      <w:r w:rsidR="00EC1054">
        <w:t>interaction</w:t>
      </w:r>
      <w:r w:rsidR="0056385E">
        <w:t xml:space="preserve"> of </w:t>
      </w:r>
      <w:r w:rsidR="00781180">
        <w:t xml:space="preserve">his or her own distinct </w:t>
      </w:r>
      <w:r w:rsidR="00B431B7">
        <w:t xml:space="preserve">experiential </w:t>
      </w:r>
      <w:r w:rsidR="00B0538E">
        <w:t>history</w:t>
      </w:r>
      <w:r w:rsidR="00B431B7">
        <w:t xml:space="preserve"> </w:t>
      </w:r>
      <w:r w:rsidR="001A426D">
        <w:t xml:space="preserve">with a unique amalgam of personal </w:t>
      </w:r>
      <w:r w:rsidR="006D1699">
        <w:t xml:space="preserve">characteristics including age, race, gender, culture, </w:t>
      </w:r>
      <w:r w:rsidR="00927F37">
        <w:t xml:space="preserve">religion, </w:t>
      </w:r>
      <w:r w:rsidR="00474D7F">
        <w:t xml:space="preserve">etc.  </w:t>
      </w:r>
      <w:r w:rsidR="00486014">
        <w:t xml:space="preserve">It is necessary for the practitioner to </w:t>
      </w:r>
      <w:r w:rsidR="005219D1">
        <w:t xml:space="preserve">acknowledge that the data that may be used to construct a model, as well as </w:t>
      </w:r>
      <w:r w:rsidR="00866873">
        <w:t xml:space="preserve">any depiction of the environment in which the model is to be used, will necessarily have been </w:t>
      </w:r>
      <w:r w:rsidR="009A348C">
        <w:t>passed</w:t>
      </w:r>
      <w:r w:rsidR="00866873">
        <w:t xml:space="preserve"> through </w:t>
      </w:r>
      <w:r w:rsidR="009A348C">
        <w:t>such perceptual filte</w:t>
      </w:r>
      <w:r w:rsidR="00E137CD">
        <w:t xml:space="preserve">rs.  The skilful analyst will take steps to ensure that, as </w:t>
      </w:r>
      <w:r w:rsidR="00617619">
        <w:t xml:space="preserve">far as possible, </w:t>
      </w:r>
      <w:r w:rsidR="00434B70">
        <w:t>any prejudices incorporated into the model are those of the intended users of the model</w:t>
      </w:r>
      <w:r w:rsidR="00F515BD">
        <w:t>.  Little makes this point in his description of a model as a “decision calculus”</w:t>
      </w:r>
      <w:r w:rsidR="008A01FD">
        <w:t xml:space="preserve"> </w:t>
      </w:r>
      <w:sdt>
        <w:sdtPr>
          <w:tag w:val="CTFMR36735464"/>
          <w:id w:val="1260264054"/>
          <w:lock w:val="contentLocked"/>
          <w:placeholder>
            <w:docPart w:val="DefaultPlaceholder_1081868574"/>
          </w:placeholder>
        </w:sdtPr>
        <w:sdtContent>
          <w:r w:rsidR="008A01FD">
            <w:t>(Little, 2004)</w:t>
          </w:r>
        </w:sdtContent>
      </w:sdt>
      <w:r w:rsidR="00F515BD">
        <w:t>, advising that “if we want a manager to use a model, we should make it his, an extension of his ability to think about and analyse his operation”</w:t>
      </w:r>
      <w:r w:rsidR="008A01FD">
        <w:t xml:space="preserve"> and that this is best achieved by ensuring that the inputs of the model “represent the operation as the manager sees it”</w:t>
      </w:r>
      <w:r w:rsidR="00470951">
        <w:t>.</w:t>
      </w:r>
      <w:r w:rsidR="001B680F">
        <w:t xml:space="preserve">  One should also acknowledge that the outputs of a model are processed through similar </w:t>
      </w:r>
      <w:r w:rsidR="007309D3">
        <w:t>perceptual filters.  Models do not make decisions: managers do.</w:t>
      </w:r>
      <w:r w:rsidR="00AF3BD8">
        <w:t xml:space="preserve">  Thus, considerable importance must be placed on the interpretation of a model’s output</w:t>
      </w:r>
      <w:r w:rsidR="00460FE1">
        <w:t xml:space="preserve"> and not just the output itself.  </w:t>
      </w:r>
      <w:r w:rsidR="00490C9D">
        <w:t>In the event that guidance is sought from the analyst on the output of a model, he or she would be wise to talk in terms of</w:t>
      </w:r>
      <w:r w:rsidR="00B37726">
        <w:t xml:space="preserve"> </w:t>
      </w:r>
      <w:r w:rsidR="007D7C4C">
        <w:t xml:space="preserve">expectation, perhaps based on experience and with reference to the model assumptions, but always </w:t>
      </w:r>
      <w:r w:rsidR="00572901">
        <w:t>mindful</w:t>
      </w:r>
      <w:r w:rsidR="007D7C4C">
        <w:t xml:space="preserve"> of the </w:t>
      </w:r>
      <w:r w:rsidR="00572901">
        <w:t xml:space="preserve">advice of Barabba, in what has been termed Barabba’s Law: “Never say the model says” </w:t>
      </w:r>
      <w:sdt>
        <w:sdtPr>
          <w:tag w:val="CTFMR36634006"/>
          <w:id w:val="-778871331"/>
          <w:lock w:val="contentLocked"/>
          <w:placeholder>
            <w:docPart w:val="DefaultPlaceholder_1081868574"/>
          </w:placeholder>
        </w:sdtPr>
        <w:sdtContent>
          <w:r w:rsidR="00572901">
            <w:t>(Barabba, 1994)</w:t>
          </w:r>
        </w:sdtContent>
      </w:sdt>
      <w:r w:rsidR="0018524D">
        <w:t>.</w:t>
      </w:r>
    </w:p>
    <w:p w14:paraId="103765F7" w14:textId="77777777" w:rsidR="00470951" w:rsidRDefault="00470951" w:rsidP="0082344B">
      <w:pPr>
        <w:pStyle w:val="NoSpacing"/>
      </w:pPr>
    </w:p>
    <w:p w14:paraId="384F752B" w14:textId="77777777" w:rsidR="00470951" w:rsidRDefault="00470951" w:rsidP="0082344B">
      <w:pPr>
        <w:pStyle w:val="NoSpacing"/>
      </w:pPr>
    </w:p>
    <w:p w14:paraId="5B4ED48D" w14:textId="399A7238" w:rsidR="00470951" w:rsidRDefault="00470951" w:rsidP="00470951">
      <w:pPr>
        <w:pStyle w:val="Heading3"/>
      </w:pPr>
      <w:r>
        <w:t xml:space="preserve">A model </w:t>
      </w:r>
      <w:r w:rsidR="00DD0FAC">
        <w:t>should strive for simplicity as well as simplification</w:t>
      </w:r>
    </w:p>
    <w:p w14:paraId="7A7D7264" w14:textId="77777777" w:rsidR="00DD0FAC" w:rsidRDefault="00DD0FAC" w:rsidP="00DD0FAC"/>
    <w:p w14:paraId="751CACFA" w14:textId="5E5FB0A4" w:rsidR="00DD0FAC" w:rsidRDefault="000D257A" w:rsidP="00DD0FAC">
      <w:pPr>
        <w:pStyle w:val="NoSpacing"/>
      </w:pPr>
      <w:r>
        <w:t xml:space="preserve">The point has already been made above that a model that encapsulated </w:t>
      </w:r>
      <w:r w:rsidR="00AE141A">
        <w:t xml:space="preserve">reality in its entirety would </w:t>
      </w:r>
      <w:r w:rsidR="007C74A3">
        <w:t xml:space="preserve">confer no advantage to the user.  And yet there seems to be an </w:t>
      </w:r>
      <w:r w:rsidR="008D6F3E">
        <w:t xml:space="preserve">almost </w:t>
      </w:r>
      <w:r w:rsidR="0018524D">
        <w:t>instinctive</w:t>
      </w:r>
      <w:r w:rsidR="007C74A3">
        <w:t xml:space="preserve"> desire to </w:t>
      </w:r>
      <w:r w:rsidR="008D26E9">
        <w:t>add detail and complexity to</w:t>
      </w:r>
      <w:r w:rsidR="008D6F3E">
        <w:t xml:space="preserve"> model</w:t>
      </w:r>
      <w:r w:rsidR="008D26E9">
        <w:t>s</w:t>
      </w:r>
      <w:r w:rsidR="008D6F3E">
        <w:t>, perhaps for fear of omitting some critical component</w:t>
      </w:r>
      <w:r w:rsidR="008D26E9">
        <w:t xml:space="preserve">.  Certainly, </w:t>
      </w:r>
      <w:r w:rsidR="000A64BC">
        <w:t>such a propensity</w:t>
      </w:r>
      <w:r w:rsidR="008D26E9">
        <w:t xml:space="preserve"> has been observed and remarked upon in the literature</w:t>
      </w:r>
      <w:r w:rsidR="00964722">
        <w:t>, with Salt</w:t>
      </w:r>
      <w:r w:rsidR="000A64BC">
        <w:t xml:space="preserve"> describing the tendency as “bagatellomania” </w:t>
      </w:r>
      <w:sdt>
        <w:sdtPr>
          <w:tag w:val="CTFMR36737351"/>
          <w:id w:val="1468394708"/>
          <w:lock w:val="contentLocked"/>
          <w:placeholder>
            <w:docPart w:val="DefaultPlaceholder_1081868574"/>
          </w:placeholder>
        </w:sdtPr>
        <w:sdtContent>
          <w:r w:rsidR="000A64BC">
            <w:t>(Salt, 2008)</w:t>
          </w:r>
        </w:sdtContent>
      </w:sdt>
      <w:r w:rsidR="00964722">
        <w:t xml:space="preserve"> </w:t>
      </w:r>
      <w:r w:rsidR="00897068">
        <w:t>driven by “trifle-worship”</w:t>
      </w:r>
      <w:r w:rsidR="0021510F">
        <w:t xml:space="preserve"> (a mistaken </w:t>
      </w:r>
      <w:r w:rsidR="0021510F">
        <w:lastRenderedPageBreak/>
        <w:t xml:space="preserve">belief that a more detailed model is a better model).  Salt </w:t>
      </w:r>
      <w:r w:rsidR="006751EF">
        <w:t xml:space="preserve">acknowledges that the appropriate level of complexity may be difficult to judge, but suggests that it is </w:t>
      </w:r>
      <w:r w:rsidR="006B02B4">
        <w:t xml:space="preserve">easier </w:t>
      </w:r>
      <w:r w:rsidR="005B4D45">
        <w:t>to add further detail if required than to remove it once incorporated</w:t>
      </w:r>
      <w:r w:rsidR="00615BCD">
        <w:t>.</w:t>
      </w:r>
      <w:r w:rsidR="00791313">
        <w:t xml:space="preserve">  Other authors offer some guidance as to where to draw the line.  </w:t>
      </w:r>
      <w:r w:rsidR="003B20DD">
        <w:t xml:space="preserve">Wahlström, for instance, </w:t>
      </w:r>
      <w:r w:rsidR="000B4C62">
        <w:t>proposes that “a model should be refined enough not to be trivial, but simple enough to bring forward only the essential characteristics of the real system”</w:t>
      </w:r>
      <w:r w:rsidR="006C5AC8">
        <w:t xml:space="preserve"> </w:t>
      </w:r>
      <w:sdt>
        <w:sdtPr>
          <w:tag w:val="CTFMR36737448"/>
          <w:id w:val="-171878338"/>
          <w:lock w:val="contentLocked"/>
          <w:placeholder>
            <w:docPart w:val="DefaultPlaceholder_1081868574"/>
          </w:placeholder>
        </w:sdtPr>
        <w:sdtContent>
          <w:r w:rsidR="006C5AC8">
            <w:t>(Wahlström, 1994)</w:t>
          </w:r>
        </w:sdtContent>
      </w:sdt>
      <w:r w:rsidR="006C5AC8">
        <w:t>, with Little echoing the sentiment thus: “Important phenomena should be put in the model and unimportant ones left out”</w:t>
      </w:r>
      <w:r w:rsidR="001B680F">
        <w:t xml:space="preserve"> </w:t>
      </w:r>
      <w:sdt>
        <w:sdtPr>
          <w:tag w:val="CTFMR36735464"/>
          <w:id w:val="-899752874"/>
          <w:lock w:val="contentLocked"/>
          <w:placeholder>
            <w:docPart w:val="DefaultPlaceholder_1081868574"/>
          </w:placeholder>
        </w:sdtPr>
        <w:sdtContent>
          <w:r w:rsidR="001B680F">
            <w:t>(Little, 2004)</w:t>
          </w:r>
        </w:sdtContent>
      </w:sdt>
      <w:r w:rsidR="006C5AC8">
        <w:t>.</w:t>
      </w:r>
      <w:r w:rsidR="00791313">
        <w:t xml:space="preserve"> </w:t>
      </w:r>
      <w:r w:rsidR="00211492">
        <w:t xml:space="preserve"> Others, such as Vaandrager, reference </w:t>
      </w:r>
      <w:r w:rsidR="00580EE1">
        <w:t xml:space="preserve">the </w:t>
      </w:r>
      <w:r w:rsidR="00580EE1" w:rsidRPr="00580EE1">
        <w:rPr>
          <w:i/>
        </w:rPr>
        <w:t>lex parsimoniae</w:t>
      </w:r>
      <w:r w:rsidR="00580EE1">
        <w:t xml:space="preserve"> espoused by </w:t>
      </w:r>
      <w:r w:rsidR="00715F1D">
        <w:t>William of Ockham in the 14</w:t>
      </w:r>
      <w:r w:rsidR="00715F1D" w:rsidRPr="005418C2">
        <w:t>th</w:t>
      </w:r>
      <w:r w:rsidR="00715F1D">
        <w:t xml:space="preserve"> century</w:t>
      </w:r>
      <w:r w:rsidR="00841524">
        <w:t>,</w:t>
      </w:r>
      <w:r w:rsidR="00544DC3">
        <w:t xml:space="preserve"> that </w:t>
      </w:r>
      <w:r w:rsidR="004A71BC" w:rsidRPr="005418C2">
        <w:t>in choosing between</w:t>
      </w:r>
      <w:r w:rsidR="004A71BC" w:rsidRPr="005418C2">
        <w:t xml:space="preserve"> </w:t>
      </w:r>
      <w:r w:rsidR="004A71BC" w:rsidRPr="005418C2">
        <w:t xml:space="preserve">a number of </w:t>
      </w:r>
      <w:r w:rsidR="00841524" w:rsidRPr="005418C2">
        <w:t xml:space="preserve">apparently equally valid </w:t>
      </w:r>
      <w:r w:rsidR="004A71BC" w:rsidRPr="005418C2">
        <w:t xml:space="preserve">hypotheses, </w:t>
      </w:r>
      <w:r w:rsidR="00841524" w:rsidRPr="005418C2">
        <w:t>preference should be given to that which relies on the fewest assumptions</w:t>
      </w:r>
      <w:r w:rsidR="005418C2">
        <w:t>.  This principle of parsimony</w:t>
      </w:r>
      <w:r w:rsidR="0034513F">
        <w:t>, often referred to as “Occam’s razor”,</w:t>
      </w:r>
      <w:r w:rsidR="005418C2">
        <w:t xml:space="preserve"> has been modified and adopted </w:t>
      </w:r>
      <w:r w:rsidR="009730C8">
        <w:t>in many fields of study.  Vaandrager</w:t>
      </w:r>
      <w:r w:rsidR="00280686">
        <w:t>’s take on it, with reference to modelling is as follows: “A good model is simple (but not too simple). Occam’s razor is a principle particularly relevant to modelling: among models with roughly equal predictive po</w:t>
      </w:r>
      <w:r w:rsidR="003F669C">
        <w:t>w</w:t>
      </w:r>
      <w:r w:rsidR="00280686">
        <w:t>er, the simplest one</w:t>
      </w:r>
      <w:r w:rsidR="0089269F">
        <w:t xml:space="preserve"> is the most desirable</w:t>
      </w:r>
      <w:r w:rsidR="00280686">
        <w:t>”</w:t>
      </w:r>
      <w:r w:rsidR="0089269F">
        <w:t xml:space="preserve"> </w:t>
      </w:r>
      <w:sdt>
        <w:sdtPr>
          <w:tag w:val="CTFMR36628040"/>
          <w:id w:val="1546102746"/>
          <w:lock w:val="contentLocked"/>
          <w:placeholder>
            <w:docPart w:val="DefaultPlaceholder_1081868574"/>
          </w:placeholder>
        </w:sdtPr>
        <w:sdtContent>
          <w:r w:rsidR="0089269F">
            <w:t>(Vaandrager, 2014)</w:t>
          </w:r>
        </w:sdtContent>
      </w:sdt>
      <w:r w:rsidR="0089269F">
        <w:t>.</w:t>
      </w:r>
      <w:r w:rsidR="003F669C">
        <w:t xml:space="preserve">  In determining what is important, it may be </w:t>
      </w:r>
      <w:r w:rsidR="0089269F">
        <w:t>instructive</w:t>
      </w:r>
      <w:r w:rsidR="003F669C">
        <w:t xml:space="preserve"> to consider </w:t>
      </w:r>
      <w:r w:rsidR="001F5387">
        <w:t xml:space="preserve">carefully </w:t>
      </w:r>
      <w:r w:rsidR="003F669C">
        <w:t xml:space="preserve">the </w:t>
      </w:r>
      <w:r w:rsidR="0029305A">
        <w:t xml:space="preserve">model’s purpose, a point made by Pidd </w:t>
      </w:r>
      <w:r w:rsidR="00862997">
        <w:t xml:space="preserve">who, in acknowledging the incompleteness of a model, says “the representation is partial, and the partiality is governed by people’s intended use of the model” </w:t>
      </w:r>
      <w:sdt>
        <w:sdtPr>
          <w:tag w:val="CTFMR36616565"/>
          <w:id w:val="1903557468"/>
          <w:lock w:val="contentLocked"/>
          <w:placeholder>
            <w:docPart w:val="DefaultPlaceholder_1081868574"/>
          </w:placeholder>
        </w:sdtPr>
        <w:sdtContent>
          <w:r w:rsidR="00AD510F">
            <w:t>(Pidd, 1999)</w:t>
          </w:r>
        </w:sdtContent>
      </w:sdt>
      <w:r w:rsidR="00AD510F">
        <w:t>.</w:t>
      </w:r>
    </w:p>
    <w:p w14:paraId="56B2B3B0" w14:textId="77777777" w:rsidR="002030CF" w:rsidRDefault="002030CF" w:rsidP="00DD0FAC">
      <w:pPr>
        <w:pStyle w:val="NoSpacing"/>
      </w:pPr>
    </w:p>
    <w:p w14:paraId="20A4553C" w14:textId="35014C8A" w:rsidR="002030CF" w:rsidRDefault="002030CF" w:rsidP="002030CF">
      <w:pPr>
        <w:pStyle w:val="Heading3"/>
      </w:pPr>
      <w:r>
        <w:t>A model should be well framed</w:t>
      </w:r>
    </w:p>
    <w:p w14:paraId="6B86FF69" w14:textId="77777777" w:rsidR="002030CF" w:rsidRDefault="002030CF" w:rsidP="002030CF"/>
    <w:p w14:paraId="0DE22B78" w14:textId="10DF5536" w:rsidR="002030CF" w:rsidRPr="002030CF" w:rsidRDefault="00AD1D16" w:rsidP="002030CF">
      <w:pPr>
        <w:pStyle w:val="NoSpacing"/>
      </w:pPr>
      <w:r>
        <w:t xml:space="preserve">Dewey said that “a problem well put is half solved” </w:t>
      </w:r>
      <w:sdt>
        <w:sdtPr>
          <w:tag w:val="CTFMR36645048"/>
          <w:id w:val="-1868748775"/>
          <w:lock w:val="contentLocked"/>
          <w:placeholder>
            <w:docPart w:val="DefaultPlaceholder_1081868574"/>
          </w:placeholder>
        </w:sdtPr>
        <w:sdtContent>
          <w:r>
            <w:t>(Dewey, 1938)</w:t>
          </w:r>
        </w:sdtContent>
      </w:sdt>
      <w:r>
        <w:t xml:space="preserve">, </w:t>
      </w:r>
      <w:r w:rsidR="001431EF">
        <w:t>although Einst</w:t>
      </w:r>
      <w:r w:rsidR="00B619CA">
        <w:t xml:space="preserve">ein before him seems to place an even </w:t>
      </w:r>
      <w:r w:rsidR="001431EF">
        <w:t xml:space="preserve">greater proportional </w:t>
      </w:r>
      <w:r w:rsidR="00B619CA">
        <w:t>importance on problem structuring</w:t>
      </w:r>
      <w:r w:rsidR="00720B06">
        <w:t>, having reputedly declared, “If I had an hour to solve a problem</w:t>
      </w:r>
      <w:r w:rsidR="00C96BC3">
        <w:t>,</w:t>
      </w:r>
      <w:r w:rsidR="00720B06">
        <w:t xml:space="preserve"> I’d spend 55 minutes thinking about the problem and 5 minutes thinking about solutions”</w:t>
      </w:r>
      <w:r w:rsidR="00C96BC3">
        <w:t>.  He</w:t>
      </w:r>
      <w:r w:rsidR="00831563">
        <w:t xml:space="preserve"> is</w:t>
      </w:r>
      <w:r w:rsidR="00C96BC3">
        <w:t xml:space="preserve"> also credited with </w:t>
      </w:r>
      <w:r w:rsidR="00831563">
        <w:t>expressing the same sentiment with these words: “The formulation of the problem is often more essential than its solution, which may be merely a matter of mathematical or experimental skill”.</w:t>
      </w:r>
      <w:r w:rsidR="00192662">
        <w:t xml:space="preserve">  Pidd </w:t>
      </w:r>
      <w:r w:rsidR="00B67F67">
        <w:t>highlights one of the benefits of appropriate framing by intimating that “structuring a problem properly is a key to forming a lower bound on the optimal simplicity of a formal model”</w:t>
      </w:r>
      <w:r w:rsidR="00D92967">
        <w:t xml:space="preserve">.  </w:t>
      </w:r>
      <w:r w:rsidR="00D92967">
        <w:t xml:space="preserve">The structuring, or framing, of the problem to be modelled </w:t>
      </w:r>
      <w:r w:rsidR="00D92967">
        <w:t xml:space="preserve">also </w:t>
      </w:r>
      <w:r w:rsidR="00D92967">
        <w:t xml:space="preserve">incorporates Williams’ inducement to make use of “formal, theoretically based languages”.  </w:t>
      </w:r>
      <w:r w:rsidR="00D92967">
        <w:t xml:space="preserve"> Often the problem will be expressed in terms of recognised </w:t>
      </w:r>
      <w:r w:rsidR="00CC2474">
        <w:t xml:space="preserve">approaches or algorithms, such as the linear program model in the case study of interest here.  Frequently too, </w:t>
      </w:r>
      <w:r w:rsidR="00E01E25">
        <w:t>models</w:t>
      </w:r>
      <w:r w:rsidR="00CC2474">
        <w:t xml:space="preserve"> will rely upon or build on previously published work</w:t>
      </w:r>
      <w:r w:rsidR="004C0338">
        <w:t xml:space="preserve">: this </w:t>
      </w:r>
      <w:r w:rsidR="004C0338">
        <w:lastRenderedPageBreak/>
        <w:t xml:space="preserve">has the potential benefit of permitting a sense of familiarity with the workings of the model </w:t>
      </w:r>
      <w:r w:rsidR="00E01E25">
        <w:t>for those who wish to study it.</w:t>
      </w:r>
      <w:r w:rsidR="005A5117">
        <w:t xml:space="preserve">  Morris refers to this anchor as</w:t>
      </w:r>
      <w:r w:rsidR="000C004C">
        <w:t xml:space="preserve"> “relatedness”</w:t>
      </w:r>
      <w:r w:rsidR="002C4757">
        <w:t xml:space="preserve"> and asks “How many previously known theorems or results does the model bring to bear upon the problem?” </w:t>
      </w:r>
      <w:sdt>
        <w:sdtPr>
          <w:tag w:val="CTFMR36736057"/>
          <w:id w:val="-1007592933"/>
          <w:lock w:val="contentLocked"/>
          <w:placeholder>
            <w:docPart w:val="DefaultPlaceholder_1081868574"/>
          </w:placeholder>
        </w:sdtPr>
        <w:sdtContent>
          <w:r w:rsidR="002C4757">
            <w:t>(Morris, 1967)</w:t>
          </w:r>
        </w:sdtContent>
      </w:sdt>
      <w:r w:rsidR="002C4757">
        <w:t>.</w:t>
      </w:r>
      <w:bookmarkStart w:id="0" w:name="_GoBack"/>
      <w:bookmarkEnd w:id="0"/>
      <w:r w:rsidR="005A5117">
        <w:t xml:space="preserve"> </w:t>
      </w:r>
    </w:p>
    <w:sectPr w:rsidR="002030CF" w:rsidRPr="002030CF"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 w:id="1">
    <w:p w14:paraId="67DB23A2" w14:textId="0E38F18F" w:rsidR="00483038" w:rsidRDefault="00483038">
      <w:pPr>
        <w:pStyle w:val="FootnoteText"/>
      </w:pPr>
      <w:r>
        <w:rPr>
          <w:rStyle w:val="FootnoteReference"/>
        </w:rPr>
        <w:footnoteRef/>
      </w:r>
      <w:r>
        <w:t xml:space="preserve"> </w:t>
      </w:r>
      <w:r w:rsidR="00763197" w:rsidRPr="00567530">
        <w:t>“One of the first things taught in introductory statistics textbooks is that correlation is not causation. It is also one of the first things forgotten.”</w:t>
      </w:r>
      <w:r w:rsidR="00763197">
        <w:t xml:space="preserve"> </w:t>
      </w:r>
      <w:sdt>
        <w:sdtPr>
          <w:tag w:val="CTFMR36785088"/>
          <w:id w:val="222487219"/>
          <w:lock w:val="contentLocked"/>
          <w:placeholder>
            <w:docPart w:val="12894C6354874DBA9E9CE75DB57F0FD4"/>
          </w:placeholder>
        </w:sdtPr>
        <w:sdtEndPr/>
        <w:sdtContent>
          <w:r w:rsidR="00763197">
            <w:t>(Sowell, 1995)</w:t>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11CE3"/>
    <w:rsid w:val="00033D14"/>
    <w:rsid w:val="00035912"/>
    <w:rsid w:val="00035C83"/>
    <w:rsid w:val="000438F7"/>
    <w:rsid w:val="00046B20"/>
    <w:rsid w:val="00046E30"/>
    <w:rsid w:val="00065144"/>
    <w:rsid w:val="00065E33"/>
    <w:rsid w:val="000666C5"/>
    <w:rsid w:val="000727A0"/>
    <w:rsid w:val="00087495"/>
    <w:rsid w:val="00092A2E"/>
    <w:rsid w:val="000947D1"/>
    <w:rsid w:val="000A466E"/>
    <w:rsid w:val="000A64BC"/>
    <w:rsid w:val="000B0D33"/>
    <w:rsid w:val="000B19A9"/>
    <w:rsid w:val="000B4C62"/>
    <w:rsid w:val="000C004C"/>
    <w:rsid w:val="000D257A"/>
    <w:rsid w:val="000E1AF6"/>
    <w:rsid w:val="00123301"/>
    <w:rsid w:val="0012772C"/>
    <w:rsid w:val="001328E0"/>
    <w:rsid w:val="001431EF"/>
    <w:rsid w:val="001549A5"/>
    <w:rsid w:val="001600B5"/>
    <w:rsid w:val="00177CAB"/>
    <w:rsid w:val="001830A4"/>
    <w:rsid w:val="0018524D"/>
    <w:rsid w:val="00192662"/>
    <w:rsid w:val="00196263"/>
    <w:rsid w:val="001970A2"/>
    <w:rsid w:val="001A0E42"/>
    <w:rsid w:val="001A426D"/>
    <w:rsid w:val="001B680F"/>
    <w:rsid w:val="001B6FCA"/>
    <w:rsid w:val="001B7D45"/>
    <w:rsid w:val="001D0C82"/>
    <w:rsid w:val="001D3410"/>
    <w:rsid w:val="001D4898"/>
    <w:rsid w:val="001E1260"/>
    <w:rsid w:val="001F204D"/>
    <w:rsid w:val="001F5387"/>
    <w:rsid w:val="00200BD0"/>
    <w:rsid w:val="00200C4C"/>
    <w:rsid w:val="002030CF"/>
    <w:rsid w:val="00211492"/>
    <w:rsid w:val="0021510F"/>
    <w:rsid w:val="00225739"/>
    <w:rsid w:val="00226AF2"/>
    <w:rsid w:val="0023264B"/>
    <w:rsid w:val="0025294C"/>
    <w:rsid w:val="00266B95"/>
    <w:rsid w:val="00280686"/>
    <w:rsid w:val="002922C7"/>
    <w:rsid w:val="0029305A"/>
    <w:rsid w:val="002961DB"/>
    <w:rsid w:val="002C4757"/>
    <w:rsid w:val="002C701C"/>
    <w:rsid w:val="002C79B3"/>
    <w:rsid w:val="002E2DCC"/>
    <w:rsid w:val="002E3703"/>
    <w:rsid w:val="002E3FB3"/>
    <w:rsid w:val="002F4328"/>
    <w:rsid w:val="00307BD3"/>
    <w:rsid w:val="003215E0"/>
    <w:rsid w:val="0032313F"/>
    <w:rsid w:val="00323882"/>
    <w:rsid w:val="0033006B"/>
    <w:rsid w:val="0034103B"/>
    <w:rsid w:val="0034513F"/>
    <w:rsid w:val="00351B47"/>
    <w:rsid w:val="00372F80"/>
    <w:rsid w:val="003731DE"/>
    <w:rsid w:val="00374BE5"/>
    <w:rsid w:val="00375966"/>
    <w:rsid w:val="0037710C"/>
    <w:rsid w:val="003A798E"/>
    <w:rsid w:val="003B0C3D"/>
    <w:rsid w:val="003B1519"/>
    <w:rsid w:val="003B20DD"/>
    <w:rsid w:val="003F669C"/>
    <w:rsid w:val="00401CCB"/>
    <w:rsid w:val="00404BE9"/>
    <w:rsid w:val="00406433"/>
    <w:rsid w:val="0041429A"/>
    <w:rsid w:val="00414464"/>
    <w:rsid w:val="00424D6E"/>
    <w:rsid w:val="0042706B"/>
    <w:rsid w:val="00427204"/>
    <w:rsid w:val="00431090"/>
    <w:rsid w:val="00434B70"/>
    <w:rsid w:val="00443B9D"/>
    <w:rsid w:val="00450682"/>
    <w:rsid w:val="00460FE1"/>
    <w:rsid w:val="00470951"/>
    <w:rsid w:val="00470D4B"/>
    <w:rsid w:val="00474D7F"/>
    <w:rsid w:val="00483038"/>
    <w:rsid w:val="00486014"/>
    <w:rsid w:val="00487921"/>
    <w:rsid w:val="00490C9D"/>
    <w:rsid w:val="004A71BC"/>
    <w:rsid w:val="004B0F59"/>
    <w:rsid w:val="004C0338"/>
    <w:rsid w:val="004C58C6"/>
    <w:rsid w:val="004C6B21"/>
    <w:rsid w:val="004F075A"/>
    <w:rsid w:val="005017ED"/>
    <w:rsid w:val="0050429E"/>
    <w:rsid w:val="005052AC"/>
    <w:rsid w:val="005149D6"/>
    <w:rsid w:val="005219D1"/>
    <w:rsid w:val="0054058B"/>
    <w:rsid w:val="005412DA"/>
    <w:rsid w:val="005418C2"/>
    <w:rsid w:val="00544DC3"/>
    <w:rsid w:val="00546D81"/>
    <w:rsid w:val="005509B8"/>
    <w:rsid w:val="0055218E"/>
    <w:rsid w:val="00552ECE"/>
    <w:rsid w:val="005561F6"/>
    <w:rsid w:val="005607EE"/>
    <w:rsid w:val="0056385E"/>
    <w:rsid w:val="00567530"/>
    <w:rsid w:val="00572901"/>
    <w:rsid w:val="00580EE1"/>
    <w:rsid w:val="00582AE4"/>
    <w:rsid w:val="00591E64"/>
    <w:rsid w:val="005932A0"/>
    <w:rsid w:val="005A492C"/>
    <w:rsid w:val="005A5117"/>
    <w:rsid w:val="005B4D45"/>
    <w:rsid w:val="005C0468"/>
    <w:rsid w:val="005C0C45"/>
    <w:rsid w:val="005C67D0"/>
    <w:rsid w:val="005C6D37"/>
    <w:rsid w:val="005D789B"/>
    <w:rsid w:val="005E2AC4"/>
    <w:rsid w:val="005E4A67"/>
    <w:rsid w:val="005F5893"/>
    <w:rsid w:val="00615BCD"/>
    <w:rsid w:val="00617619"/>
    <w:rsid w:val="0063328F"/>
    <w:rsid w:val="00647F72"/>
    <w:rsid w:val="00660A3D"/>
    <w:rsid w:val="006751EF"/>
    <w:rsid w:val="00675F4C"/>
    <w:rsid w:val="00690049"/>
    <w:rsid w:val="00696A5F"/>
    <w:rsid w:val="0069705A"/>
    <w:rsid w:val="006B02B4"/>
    <w:rsid w:val="006C15B4"/>
    <w:rsid w:val="006C3884"/>
    <w:rsid w:val="006C5AC8"/>
    <w:rsid w:val="006D1699"/>
    <w:rsid w:val="006F21AD"/>
    <w:rsid w:val="007115E5"/>
    <w:rsid w:val="00715F1D"/>
    <w:rsid w:val="00716E5E"/>
    <w:rsid w:val="00720B06"/>
    <w:rsid w:val="00721714"/>
    <w:rsid w:val="007247E7"/>
    <w:rsid w:val="00726C93"/>
    <w:rsid w:val="007309D3"/>
    <w:rsid w:val="00734002"/>
    <w:rsid w:val="00763197"/>
    <w:rsid w:val="00781180"/>
    <w:rsid w:val="0079004F"/>
    <w:rsid w:val="00791313"/>
    <w:rsid w:val="0079369C"/>
    <w:rsid w:val="00796309"/>
    <w:rsid w:val="007C74A3"/>
    <w:rsid w:val="007D2E56"/>
    <w:rsid w:val="007D52B1"/>
    <w:rsid w:val="007D7C4C"/>
    <w:rsid w:val="00800E7A"/>
    <w:rsid w:val="0081056B"/>
    <w:rsid w:val="00811817"/>
    <w:rsid w:val="00815338"/>
    <w:rsid w:val="00822A8E"/>
    <w:rsid w:val="0082344B"/>
    <w:rsid w:val="00831563"/>
    <w:rsid w:val="00834757"/>
    <w:rsid w:val="00834BE0"/>
    <w:rsid w:val="008374C5"/>
    <w:rsid w:val="00841524"/>
    <w:rsid w:val="00844BC1"/>
    <w:rsid w:val="00847888"/>
    <w:rsid w:val="008609E9"/>
    <w:rsid w:val="00862997"/>
    <w:rsid w:val="0086602F"/>
    <w:rsid w:val="00866873"/>
    <w:rsid w:val="00866A94"/>
    <w:rsid w:val="00871050"/>
    <w:rsid w:val="00886E2F"/>
    <w:rsid w:val="008916DB"/>
    <w:rsid w:val="0089269F"/>
    <w:rsid w:val="00892A2D"/>
    <w:rsid w:val="008934E4"/>
    <w:rsid w:val="00893B19"/>
    <w:rsid w:val="0089684F"/>
    <w:rsid w:val="00896B56"/>
    <w:rsid w:val="00897068"/>
    <w:rsid w:val="008A01FD"/>
    <w:rsid w:val="008A2265"/>
    <w:rsid w:val="008C2BE7"/>
    <w:rsid w:val="008C6BA8"/>
    <w:rsid w:val="008D26E9"/>
    <w:rsid w:val="008D6F3E"/>
    <w:rsid w:val="008E26AB"/>
    <w:rsid w:val="008E30BD"/>
    <w:rsid w:val="008E6E20"/>
    <w:rsid w:val="008E73B0"/>
    <w:rsid w:val="008F3E21"/>
    <w:rsid w:val="008F6D60"/>
    <w:rsid w:val="00923C65"/>
    <w:rsid w:val="00927F37"/>
    <w:rsid w:val="0093195D"/>
    <w:rsid w:val="00952029"/>
    <w:rsid w:val="00963781"/>
    <w:rsid w:val="00964722"/>
    <w:rsid w:val="009730C8"/>
    <w:rsid w:val="00977930"/>
    <w:rsid w:val="00985722"/>
    <w:rsid w:val="00996A25"/>
    <w:rsid w:val="00997CBE"/>
    <w:rsid w:val="009A348C"/>
    <w:rsid w:val="009D16B5"/>
    <w:rsid w:val="009F5CC8"/>
    <w:rsid w:val="00A07C3F"/>
    <w:rsid w:val="00A22D46"/>
    <w:rsid w:val="00A36341"/>
    <w:rsid w:val="00A37A11"/>
    <w:rsid w:val="00A42891"/>
    <w:rsid w:val="00A4686D"/>
    <w:rsid w:val="00A557B8"/>
    <w:rsid w:val="00A55EEB"/>
    <w:rsid w:val="00A6084F"/>
    <w:rsid w:val="00A61C30"/>
    <w:rsid w:val="00A747F7"/>
    <w:rsid w:val="00A846EB"/>
    <w:rsid w:val="00AB1329"/>
    <w:rsid w:val="00AB47D5"/>
    <w:rsid w:val="00AB669E"/>
    <w:rsid w:val="00AC10D6"/>
    <w:rsid w:val="00AD1D16"/>
    <w:rsid w:val="00AD510F"/>
    <w:rsid w:val="00AE141A"/>
    <w:rsid w:val="00AE1EEC"/>
    <w:rsid w:val="00AE3723"/>
    <w:rsid w:val="00AE5D7F"/>
    <w:rsid w:val="00AE6088"/>
    <w:rsid w:val="00AF1803"/>
    <w:rsid w:val="00AF3BD8"/>
    <w:rsid w:val="00B0538E"/>
    <w:rsid w:val="00B12E35"/>
    <w:rsid w:val="00B23CD0"/>
    <w:rsid w:val="00B261C1"/>
    <w:rsid w:val="00B26D87"/>
    <w:rsid w:val="00B37726"/>
    <w:rsid w:val="00B431B7"/>
    <w:rsid w:val="00B45A97"/>
    <w:rsid w:val="00B52071"/>
    <w:rsid w:val="00B60E42"/>
    <w:rsid w:val="00B619CA"/>
    <w:rsid w:val="00B6203A"/>
    <w:rsid w:val="00B62C77"/>
    <w:rsid w:val="00B645BB"/>
    <w:rsid w:val="00B66241"/>
    <w:rsid w:val="00B67F67"/>
    <w:rsid w:val="00B705C4"/>
    <w:rsid w:val="00B8728A"/>
    <w:rsid w:val="00BB07BC"/>
    <w:rsid w:val="00BC22DA"/>
    <w:rsid w:val="00BC2F1D"/>
    <w:rsid w:val="00BC6C59"/>
    <w:rsid w:val="00BD4229"/>
    <w:rsid w:val="00BE171E"/>
    <w:rsid w:val="00BE34A7"/>
    <w:rsid w:val="00BE5FB2"/>
    <w:rsid w:val="00C10244"/>
    <w:rsid w:val="00C1284A"/>
    <w:rsid w:val="00C14CE7"/>
    <w:rsid w:val="00C357D3"/>
    <w:rsid w:val="00C56066"/>
    <w:rsid w:val="00C71BFE"/>
    <w:rsid w:val="00C86735"/>
    <w:rsid w:val="00C87003"/>
    <w:rsid w:val="00C96BC3"/>
    <w:rsid w:val="00CA1166"/>
    <w:rsid w:val="00CA6854"/>
    <w:rsid w:val="00CB09AE"/>
    <w:rsid w:val="00CC2474"/>
    <w:rsid w:val="00CC2776"/>
    <w:rsid w:val="00CE0904"/>
    <w:rsid w:val="00D03549"/>
    <w:rsid w:val="00D234BF"/>
    <w:rsid w:val="00D240CA"/>
    <w:rsid w:val="00D30099"/>
    <w:rsid w:val="00D368DC"/>
    <w:rsid w:val="00D419AF"/>
    <w:rsid w:val="00D57968"/>
    <w:rsid w:val="00D86E73"/>
    <w:rsid w:val="00D876CB"/>
    <w:rsid w:val="00D92967"/>
    <w:rsid w:val="00DA6FFF"/>
    <w:rsid w:val="00DB1853"/>
    <w:rsid w:val="00DB2B79"/>
    <w:rsid w:val="00DD0FAC"/>
    <w:rsid w:val="00DE221C"/>
    <w:rsid w:val="00DE7AA4"/>
    <w:rsid w:val="00E00704"/>
    <w:rsid w:val="00E01E25"/>
    <w:rsid w:val="00E137CD"/>
    <w:rsid w:val="00E14443"/>
    <w:rsid w:val="00E3576D"/>
    <w:rsid w:val="00E5350A"/>
    <w:rsid w:val="00E542A3"/>
    <w:rsid w:val="00E54574"/>
    <w:rsid w:val="00E64C23"/>
    <w:rsid w:val="00E70B21"/>
    <w:rsid w:val="00E714EE"/>
    <w:rsid w:val="00E722D3"/>
    <w:rsid w:val="00E73BF0"/>
    <w:rsid w:val="00E74701"/>
    <w:rsid w:val="00E8568D"/>
    <w:rsid w:val="00E908A1"/>
    <w:rsid w:val="00EC1054"/>
    <w:rsid w:val="00EC3FAD"/>
    <w:rsid w:val="00EC4C20"/>
    <w:rsid w:val="00ED0702"/>
    <w:rsid w:val="00EF4DDB"/>
    <w:rsid w:val="00F079EF"/>
    <w:rsid w:val="00F1172A"/>
    <w:rsid w:val="00F4461D"/>
    <w:rsid w:val="00F515BD"/>
    <w:rsid w:val="00F5366D"/>
    <w:rsid w:val="00F779CC"/>
    <w:rsid w:val="00FA4D67"/>
    <w:rsid w:val="00FC0AC2"/>
    <w:rsid w:val="00FC261B"/>
    <w:rsid w:val="00FC6988"/>
    <w:rsid w:val="00FD0D62"/>
    <w:rsid w:val="00FE06D5"/>
    <w:rsid w:val="00FE43CB"/>
    <w:rsid w:val="00FE4DEE"/>
    <w:rsid w:val="00FF0BFB"/>
    <w:rsid w:val="00FF32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62392F8"/>
  <w15:docId w15:val="{1E6D9B5E-6981-4627-81BD-983834E7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8916DB"/>
    <w:pPr>
      <w:spacing w:line="360" w:lineRule="auto"/>
      <w:ind w:firstLine="0"/>
      <w:jc w:val="both"/>
    </w:p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F1172A"/>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1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8916DB"/>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 w:type="character" w:styleId="Hyperlink">
    <w:name w:val="Hyperlink"/>
    <w:basedOn w:val="DefaultParagraphFont"/>
    <w:uiPriority w:val="99"/>
    <w:unhideWhenUsed/>
    <w:rsid w:val="00AB132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tymonline.com/index.php?term=model&amp;allowed_in_frame=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12894C6354874DBA9E9CE75DB57F0FD4"/>
        <w:category>
          <w:name w:val="General"/>
          <w:gallery w:val="placeholder"/>
        </w:category>
        <w:types>
          <w:type w:val="bbPlcHdr"/>
        </w:types>
        <w:behaviors>
          <w:behavior w:val="content"/>
        </w:behaviors>
        <w:guid w:val="{236DD840-08D7-479A-B96D-DD272AB7EBB1}"/>
      </w:docPartPr>
      <w:docPartBody>
        <w:p w:rsidR="00C13A3F" w:rsidRDefault="00AB1B30" w:rsidP="00AB1B30">
          <w:pPr>
            <w:pStyle w:val="12894C6354874DBA9E9CE75DB57F0FD4"/>
          </w:pPr>
          <w:r w:rsidRPr="00CB56AE">
            <w:rPr>
              <w:rStyle w:val="PlaceholderText"/>
            </w:rPr>
            <w:t>Click here to enter text.</w:t>
          </w:r>
        </w:p>
      </w:docPartBody>
    </w:docPart>
    <w:docPart>
      <w:docPartPr>
        <w:name w:val="80369118E52B4B9ABEB02E51D0EFEA97"/>
        <w:category>
          <w:name w:val="General"/>
          <w:gallery w:val="placeholder"/>
        </w:category>
        <w:types>
          <w:type w:val="bbPlcHdr"/>
        </w:types>
        <w:behaviors>
          <w:behavior w:val="content"/>
        </w:behaviors>
        <w:guid w:val="{890A2F0E-7543-4301-BA90-3E21A44CA0F9}"/>
      </w:docPartPr>
      <w:docPartBody>
        <w:p w:rsidR="00C13A3F" w:rsidRDefault="00AB1B30" w:rsidP="00AB1B30">
          <w:pPr>
            <w:pStyle w:val="80369118E52B4B9ABEB02E51D0EFEA97"/>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AA6F1B"/>
    <w:rsid w:val="00AB1B30"/>
    <w:rsid w:val="00C13A3F"/>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B30"/>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 w:type="paragraph" w:customStyle="1" w:styleId="80369118E52B4B9ABEB02E51D0EFEA97">
    <w:name w:val="80369118E52B4B9ABEB02E51D0EFEA97"/>
    <w:rsid w:val="00AB1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A3F13-9255-47B0-B23C-00C966D8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5512</TotalTime>
  <Pages>9</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17459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29</cp:revision>
  <dcterms:created xsi:type="dcterms:W3CDTF">2014-11-22T16:17:00Z</dcterms:created>
  <dcterms:modified xsi:type="dcterms:W3CDTF">2014-11-27T20:00:00Z</dcterms:modified>
</cp:coreProperties>
</file>