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E6F" w:rsidRPr="00517F7D" w:rsidRDefault="00D47E6F" w:rsidP="00672E2C">
      <w:pPr>
        <w:pStyle w:val="Heading2"/>
      </w:pPr>
      <w:r>
        <w:t>What constitutes a “good” model?</w:t>
      </w:r>
    </w:p>
    <w:p w:rsidR="000C2B53" w:rsidRDefault="000C2B53" w:rsidP="00672E2C">
      <w:pPr>
        <w:pStyle w:val="NoSpacing"/>
      </w:pPr>
    </w:p>
    <w:p w:rsidR="00517F7D" w:rsidRDefault="00517F7D" w:rsidP="00672E2C">
      <w:pPr>
        <w:pStyle w:val="NoSpacing"/>
      </w:pPr>
    </w:p>
    <w:p w:rsidR="00D47E6F" w:rsidRDefault="00D47E6F" w:rsidP="00672E2C">
      <w:pPr>
        <w:pStyle w:val="Heading3"/>
      </w:pPr>
      <w:r>
        <w:t>A model is a representation of reality</w:t>
      </w:r>
    </w:p>
    <w:p w:rsidR="00D47E6F" w:rsidRDefault="00D47E6F" w:rsidP="00672E2C"/>
    <w:p w:rsidR="00D47E6F" w:rsidRDefault="00D47E6F" w:rsidP="00672E2C">
      <w:pPr>
        <w:pStyle w:val="NoSpacing"/>
      </w:pPr>
      <w:r>
        <w:t>A model can never equate, in scale, detail, or complexity to that which it purports to represent.  In the event that such an accomplishment were possible, then there would be no advantage to be gained from studying the model as opposed to the reality itself.  Korzybski</w:t>
      </w:r>
      <w:r w:rsidR="00980CB1">
        <w:t xml:space="preserve"> reminds</w:t>
      </w:r>
      <w:r>
        <w:t xml:space="preserve"> us that “the map is not the territory”</w:t>
      </w:r>
      <w:r w:rsidR="002878DA">
        <w:t xml:space="preserve"> </w:t>
      </w:r>
      <w:sdt>
        <w:sdtPr>
          <w:tag w:val="CTFMR36636408"/>
          <w:id w:val="1461538175"/>
          <w:lock w:val="contentLocked"/>
          <w:placeholder>
            <w:docPart w:val="FE570A6233B04C8BA37D5EFC6415B25E"/>
          </w:placeholder>
        </w:sdtPr>
        <w:sdtContent>
          <w:r w:rsidR="002878DA">
            <w:t>(Korzybski, 1931)</w:t>
          </w:r>
        </w:sdtContent>
      </w:sdt>
      <w:r w:rsidR="002878DA">
        <w:t>, distinguishing between the model and reality.</w:t>
      </w:r>
      <w:r w:rsidR="005F2A13">
        <w:t xml:space="preserve"> A</w:t>
      </w:r>
      <w:r>
        <w:t xml:space="preserve"> </w:t>
      </w:r>
      <w:r w:rsidR="006707B1">
        <w:t>mapping</w:t>
      </w:r>
      <w:r>
        <w:t xml:space="preserve"> of reality does not become a model</w:t>
      </w:r>
      <w:r w:rsidR="005F2A13">
        <w:t>, however,</w:t>
      </w:r>
      <w:r>
        <w:t xml:space="preserve"> until it is externalised and </w:t>
      </w:r>
      <w:r w:rsidR="006707B1">
        <w:t>formally</w:t>
      </w:r>
      <w:r>
        <w:t xml:space="preserve"> stated, </w:t>
      </w:r>
      <w:r w:rsidR="005F2A13">
        <w:t xml:space="preserve">thus allowing it to be subject to </w:t>
      </w:r>
      <w:r w:rsidR="006707B1">
        <w:t xml:space="preserve">independent </w:t>
      </w:r>
      <w:r w:rsidR="005F2A13">
        <w:t>scrutiny</w:t>
      </w:r>
      <w:r>
        <w:t xml:space="preserve"> </w:t>
      </w:r>
      <w:sdt>
        <w:sdtPr>
          <w:tag w:val="CTFMR36616565"/>
          <w:id w:val="-1526863299"/>
          <w:lock w:val="contentLocked"/>
          <w:placeholder>
            <w:docPart w:val="F9556D8D47734B228EC7F34126DFC555"/>
          </w:placeholder>
        </w:sdtPr>
        <w:sdtContent>
          <w:r>
            <w:t>(Pidd, 1999)</w:t>
          </w:r>
        </w:sdtContent>
      </w:sdt>
      <w:r>
        <w:t xml:space="preserve">. </w:t>
      </w:r>
    </w:p>
    <w:p w:rsidR="006707B1" w:rsidRDefault="006707B1" w:rsidP="00672E2C">
      <w:pPr>
        <w:pStyle w:val="NoSpacing"/>
      </w:pPr>
    </w:p>
    <w:p w:rsidR="00D47E6F" w:rsidRDefault="00D47E6F" w:rsidP="00672E2C">
      <w:pPr>
        <w:pStyle w:val="NoSpacing"/>
      </w:pPr>
    </w:p>
    <w:p w:rsidR="00D47E6F" w:rsidRDefault="00D47E6F" w:rsidP="00672E2C">
      <w:pPr>
        <w:pStyle w:val="Heading3"/>
      </w:pPr>
      <w:r>
        <w:t>A model reflects one of many possible interpretations of a real scenario</w:t>
      </w:r>
    </w:p>
    <w:p w:rsidR="00D47E6F" w:rsidRDefault="00D47E6F" w:rsidP="00672E2C"/>
    <w:p w:rsidR="00D47E6F" w:rsidRDefault="0014555E" w:rsidP="00672E2C">
      <w:pPr>
        <w:pStyle w:val="NoSpacing"/>
      </w:pPr>
      <w:r>
        <w:t>Model construction and interpretation are coloured by an individual’s</w:t>
      </w:r>
      <w:r w:rsidR="00EB478E">
        <w:t xml:space="preserve"> unique</w:t>
      </w:r>
      <w:r w:rsidR="00D47E6F">
        <w:t xml:space="preserve"> se</w:t>
      </w:r>
      <w:r>
        <w:t xml:space="preserve">t of values, beliefs and biases. </w:t>
      </w:r>
      <w:r w:rsidR="007E11B6">
        <w:t>Ideally</w:t>
      </w:r>
      <w:r w:rsidR="00D47E6F">
        <w:t xml:space="preserve">, any prejudices incorporated into the model </w:t>
      </w:r>
      <w:r w:rsidR="007E11B6">
        <w:t>should be</w:t>
      </w:r>
      <w:r w:rsidR="00D47E6F">
        <w:t xml:space="preserve"> those of the intended users of the model</w:t>
      </w:r>
      <w:r w:rsidR="00D170C6">
        <w:t xml:space="preserve">, </w:t>
      </w:r>
      <w:r w:rsidR="005A0C04">
        <w:t>as Little points out</w:t>
      </w:r>
      <w:r w:rsidR="00D47E6F">
        <w:t xml:space="preserve"> in his description of a model as a “decision calculus” </w:t>
      </w:r>
      <w:sdt>
        <w:sdtPr>
          <w:tag w:val="CTFMR36735464"/>
          <w:id w:val="1260264054"/>
          <w:lock w:val="contentLocked"/>
          <w:placeholder>
            <w:docPart w:val="F9556D8D47734B228EC7F34126DFC555"/>
          </w:placeholder>
        </w:sdtPr>
        <w:sdtContent>
          <w:r w:rsidR="00D47E6F">
            <w:t>(Little, 2004)</w:t>
          </w:r>
        </w:sdtContent>
      </w:sdt>
      <w:r w:rsidR="00D170C6">
        <w:t>.</w:t>
      </w:r>
      <w:r w:rsidR="00D47E6F">
        <w:t xml:space="preserve"> </w:t>
      </w:r>
      <w:r w:rsidR="005A0C04">
        <w:t>I</w:t>
      </w:r>
      <w:r w:rsidR="00F71021">
        <w:t>t is</w:t>
      </w:r>
      <w:r w:rsidR="00D47E6F">
        <w:t xml:space="preserve"> </w:t>
      </w:r>
      <w:r w:rsidR="005A0C04">
        <w:t>prudent</w:t>
      </w:r>
      <w:r w:rsidR="00D47E6F">
        <w:t xml:space="preserve"> to talk </w:t>
      </w:r>
      <w:r w:rsidR="00F71021">
        <w:t xml:space="preserve">of a model’s output </w:t>
      </w:r>
      <w:r w:rsidR="00D47E6F">
        <w:t xml:space="preserve">in terms of expectation, perhaps based on experience and with reference to the model assumptions, but always mindful of the advice of Barabba, in what has been termed Barabba’s Law: “Never say the model says” </w:t>
      </w:r>
      <w:sdt>
        <w:sdtPr>
          <w:tag w:val="CTFMR36634006"/>
          <w:id w:val="-778871331"/>
          <w:lock w:val="contentLocked"/>
          <w:placeholder>
            <w:docPart w:val="F9556D8D47734B228EC7F34126DFC555"/>
          </w:placeholder>
        </w:sdtPr>
        <w:sdtContent>
          <w:r w:rsidR="00D47E6F">
            <w:t>(Barabba, 1994)</w:t>
          </w:r>
        </w:sdtContent>
      </w:sdt>
      <w:r w:rsidR="00D47E6F">
        <w:t>.</w:t>
      </w:r>
    </w:p>
    <w:p w:rsidR="00D47E6F" w:rsidRDefault="00D47E6F" w:rsidP="00672E2C">
      <w:pPr>
        <w:pStyle w:val="NoSpacing"/>
      </w:pPr>
    </w:p>
    <w:p w:rsidR="00D47E6F" w:rsidRDefault="00D47E6F" w:rsidP="00672E2C">
      <w:pPr>
        <w:pStyle w:val="NoSpacing"/>
      </w:pPr>
    </w:p>
    <w:p w:rsidR="00D47E6F" w:rsidRDefault="00D47E6F" w:rsidP="00672E2C">
      <w:pPr>
        <w:pStyle w:val="Heading3"/>
      </w:pPr>
      <w:r>
        <w:t>A model should strive for simplicity as well as simplification</w:t>
      </w:r>
    </w:p>
    <w:p w:rsidR="00D47E6F" w:rsidRDefault="00D47E6F" w:rsidP="00672E2C"/>
    <w:p w:rsidR="00D47E6F" w:rsidRDefault="006D5F50" w:rsidP="00672E2C">
      <w:pPr>
        <w:pStyle w:val="NoSpacing"/>
      </w:pPr>
      <w:r>
        <w:t>T</w:t>
      </w:r>
      <w:r w:rsidR="00EB7336">
        <w:t xml:space="preserve">he </w:t>
      </w:r>
      <w:r w:rsidR="002371A6">
        <w:t>tendency</w:t>
      </w:r>
      <w:r w:rsidR="00D47E6F">
        <w:t xml:space="preserve"> to </w:t>
      </w:r>
      <w:r w:rsidR="00D913A3">
        <w:t>complicate</w:t>
      </w:r>
      <w:r w:rsidR="00D47E6F">
        <w:t xml:space="preserve"> models, perhaps </w:t>
      </w:r>
      <w:r w:rsidR="002371A6">
        <w:t>arising from</w:t>
      </w:r>
      <w:r w:rsidR="00D47E6F">
        <w:t xml:space="preserve"> fear of omitting some critical component</w:t>
      </w:r>
      <w:r>
        <w:t>,</w:t>
      </w:r>
      <w:r w:rsidR="00D47E6F">
        <w:t xml:space="preserve"> </w:t>
      </w:r>
      <w:r w:rsidR="00EB7336">
        <w:t>is well documented</w:t>
      </w:r>
      <w:r w:rsidR="00D47E6F">
        <w:t xml:space="preserve">, with Salt describing </w:t>
      </w:r>
      <w:r w:rsidR="002371A6">
        <w:t>it</w:t>
      </w:r>
      <w:r w:rsidR="00D47E6F">
        <w:t xml:space="preserve"> as “bagatellomania” </w:t>
      </w:r>
      <w:sdt>
        <w:sdtPr>
          <w:tag w:val="CTFMR36737351"/>
          <w:id w:val="1468394708"/>
          <w:lock w:val="contentLocked"/>
          <w:placeholder>
            <w:docPart w:val="F9556D8D47734B228EC7F34126DFC555"/>
          </w:placeholder>
        </w:sdtPr>
        <w:sdtContent>
          <w:r w:rsidR="00D47E6F">
            <w:t>(Salt, 2008)</w:t>
          </w:r>
        </w:sdtContent>
      </w:sdt>
      <w:r w:rsidR="00200A34">
        <w:t xml:space="preserve"> before suggesting</w:t>
      </w:r>
      <w:r w:rsidR="00D47E6F">
        <w:t xml:space="preserve"> that it is easier to add detail than to remove it.  Wahlström</w:t>
      </w:r>
      <w:r w:rsidR="00596E89">
        <w:t xml:space="preserve"> </w:t>
      </w:r>
      <w:sdt>
        <w:sdtPr>
          <w:tag w:val="CTFMR36737448"/>
          <w:id w:val="-171878338"/>
          <w:lock w:val="contentLocked"/>
          <w:placeholder>
            <w:docPart w:val="F9556D8D47734B228EC7F34126DFC555"/>
          </w:placeholder>
        </w:sdtPr>
        <w:sdtContent>
          <w:r w:rsidR="00D47E6F">
            <w:t>(Wahlström, 1994)</w:t>
          </w:r>
        </w:sdtContent>
      </w:sdt>
      <w:r w:rsidR="00D47E6F">
        <w:t xml:space="preserve"> </w:t>
      </w:r>
      <w:r w:rsidR="0063552E">
        <w:t>and</w:t>
      </w:r>
      <w:r w:rsidR="00D47E6F">
        <w:t xml:space="preserve"> Little </w:t>
      </w:r>
      <w:sdt>
        <w:sdtPr>
          <w:tag w:val="CTFMR36735464"/>
          <w:id w:val="-652518839"/>
          <w:lock w:val="contentLocked"/>
          <w:placeholder>
            <w:docPart w:val="DefaultPlaceholder_1081868574"/>
          </w:placeholder>
        </w:sdtPr>
        <w:sdtContent>
          <w:r w:rsidR="0063552E">
            <w:t>(Little, 2004)</w:t>
          </w:r>
        </w:sdtContent>
      </w:sdt>
      <w:r w:rsidR="003204A7">
        <w:t xml:space="preserve"> both extol the virtues of including </w:t>
      </w:r>
      <w:r w:rsidR="003C295D">
        <w:t xml:space="preserve">only </w:t>
      </w:r>
      <w:r w:rsidR="003204A7">
        <w:t xml:space="preserve">information that </w:t>
      </w:r>
      <w:r w:rsidR="00D913A3">
        <w:t>reveals</w:t>
      </w:r>
      <w:r w:rsidR="003C295D">
        <w:t xml:space="preserve"> a system’</w:t>
      </w:r>
      <w:r w:rsidR="001B5D90">
        <w:t xml:space="preserve">s most salient features, whilst </w:t>
      </w:r>
      <w:r w:rsidR="00D47E6F">
        <w:t>Vaandrager</w:t>
      </w:r>
      <w:r w:rsidR="006337D6">
        <w:t xml:space="preserve"> applies the principle of ‘</w:t>
      </w:r>
      <w:r w:rsidR="00D47E6F">
        <w:t>Occam’s razor</w:t>
      </w:r>
      <w:r w:rsidR="006337D6">
        <w:t xml:space="preserve">’ in stating that </w:t>
      </w:r>
      <w:r w:rsidR="00181F9D">
        <w:t>“</w:t>
      </w:r>
      <w:r w:rsidR="00D47E6F">
        <w:t xml:space="preserve">among models with roughly equal predictive power, the simplest one is the most desirable” </w:t>
      </w:r>
      <w:sdt>
        <w:sdtPr>
          <w:tag w:val="CTFMR36628040"/>
          <w:id w:val="1546102746"/>
          <w:lock w:val="contentLocked"/>
          <w:placeholder>
            <w:docPart w:val="F9556D8D47734B228EC7F34126DFC555"/>
          </w:placeholder>
        </w:sdtPr>
        <w:sdtContent>
          <w:r w:rsidR="00D47E6F">
            <w:t>(Vaandrager, 2014)</w:t>
          </w:r>
        </w:sdtContent>
      </w:sdt>
      <w:r w:rsidR="00D47E6F">
        <w:t xml:space="preserve">.  </w:t>
      </w:r>
      <w:r w:rsidR="00200A34">
        <w:t>‘Importance’ may be de</w:t>
      </w:r>
      <w:r w:rsidR="00AC39F8">
        <w:t>d</w:t>
      </w:r>
      <w:r w:rsidR="00200A34">
        <w:t xml:space="preserve">uced </w:t>
      </w:r>
      <w:r w:rsidR="00AC39F8">
        <w:t>from</w:t>
      </w:r>
      <w:r w:rsidR="00D47E6F">
        <w:t xml:space="preserve"> the model’s purpose</w:t>
      </w:r>
      <w:r>
        <w:t xml:space="preserve"> </w:t>
      </w:r>
      <w:sdt>
        <w:sdtPr>
          <w:tag w:val="CTFMR36616565"/>
          <w:id w:val="1903557468"/>
          <w:lock w:val="contentLocked"/>
          <w:placeholder>
            <w:docPart w:val="F9556D8D47734B228EC7F34126DFC555"/>
          </w:placeholder>
        </w:sdtPr>
        <w:sdtContent>
          <w:r w:rsidR="00D47E6F">
            <w:t>(Pidd, 1999)</w:t>
          </w:r>
        </w:sdtContent>
      </w:sdt>
      <w:r w:rsidR="006F51DE">
        <w:t>,</w:t>
      </w:r>
      <w:r w:rsidR="009E4F30">
        <w:t xml:space="preserve"> </w:t>
      </w:r>
      <w:r w:rsidR="002C4A97">
        <w:t>although</w:t>
      </w:r>
      <w:r w:rsidR="009E4F30">
        <w:t xml:space="preserve"> one must balance ‘simplicity’ with ‘completeness’</w:t>
      </w:r>
      <w:r w:rsidR="00173D68">
        <w:t xml:space="preserve">, </w:t>
      </w:r>
      <w:r w:rsidR="00D47E6F">
        <w:t xml:space="preserve">particularly with respect to </w:t>
      </w:r>
      <w:r w:rsidR="00173D68">
        <w:t xml:space="preserve">the </w:t>
      </w:r>
      <w:r w:rsidR="00D47E6F">
        <w:t>more qualitative components of a model</w:t>
      </w:r>
      <w:r w:rsidR="00173D68">
        <w:t xml:space="preserve"> </w:t>
      </w:r>
      <w:sdt>
        <w:sdtPr>
          <w:tag w:val="CTFMR36735464"/>
          <w:id w:val="-919948555"/>
          <w:lock w:val="contentLocked"/>
          <w:placeholder>
            <w:docPart w:val="F9556D8D47734B228EC7F34126DFC555"/>
          </w:placeholder>
        </w:sdtPr>
        <w:sdtContent>
          <w:r w:rsidR="00D47E6F">
            <w:t>(Little, 2004)</w:t>
          </w:r>
        </w:sdtContent>
      </w:sdt>
      <w:r w:rsidR="00D47E6F">
        <w:t>.</w:t>
      </w:r>
    </w:p>
    <w:p w:rsidR="00D47E6F" w:rsidRDefault="00D47E6F" w:rsidP="00672E2C">
      <w:pPr>
        <w:pStyle w:val="NoSpacing"/>
      </w:pPr>
    </w:p>
    <w:p w:rsidR="00D47E6F" w:rsidRDefault="00D47E6F" w:rsidP="00672E2C">
      <w:pPr>
        <w:pStyle w:val="Heading3"/>
      </w:pPr>
      <w:r>
        <w:t>A model should be well framed</w:t>
      </w:r>
    </w:p>
    <w:p w:rsidR="00D47E6F" w:rsidRDefault="00D47E6F" w:rsidP="00672E2C"/>
    <w:p w:rsidR="00D47E6F" w:rsidRDefault="00D47E6F" w:rsidP="00672E2C">
      <w:pPr>
        <w:pStyle w:val="NoSpacing"/>
      </w:pPr>
      <w:r>
        <w:t xml:space="preserve"> “</w:t>
      </w:r>
      <w:r w:rsidR="000D662E">
        <w:t>A</w:t>
      </w:r>
      <w:r>
        <w:t xml:space="preserve"> problem well put is half solved” </w:t>
      </w:r>
      <w:sdt>
        <w:sdtPr>
          <w:tag w:val="CTFMR36645048"/>
          <w:id w:val="-1868748775"/>
          <w:lock w:val="contentLocked"/>
          <w:placeholder>
            <w:docPart w:val="F9556D8D47734B228EC7F34126DFC555"/>
          </w:placeholder>
        </w:sdtPr>
        <w:sdtContent>
          <w:r>
            <w:t>(Dewey, 1938)</w:t>
          </w:r>
        </w:sdtContent>
      </w:sdt>
      <w:r>
        <w:t xml:space="preserve">, although Einstein </w:t>
      </w:r>
      <w:r w:rsidR="000D662E">
        <w:t>goes further</w:t>
      </w:r>
      <w:r>
        <w:t xml:space="preserve">, having reputedly declared, “If I had an hour to solve a problem, I’d spend 55 minutes thinking about the problem and 5 minutes thinking about solutions”.  </w:t>
      </w:r>
      <w:r w:rsidR="001D013A">
        <w:t>Appropriate</w:t>
      </w:r>
      <w:r w:rsidR="0057620D">
        <w:t xml:space="preserve"> problem structuring </w:t>
      </w:r>
      <w:r w:rsidR="002458C3">
        <w:t xml:space="preserve">is crucial in optimising a model’s level of detail </w:t>
      </w:r>
      <w:sdt>
        <w:sdtPr>
          <w:tag w:val="CTFMR36616565"/>
          <w:id w:val="-448238229"/>
          <w:lock w:val="contentLocked"/>
          <w:placeholder>
            <w:docPart w:val="DefaultPlaceholder_1081868574"/>
          </w:placeholder>
        </w:sdtPr>
        <w:sdtContent>
          <w:r w:rsidR="007E5C08">
            <w:t>(Pidd, 1999)</w:t>
          </w:r>
        </w:sdtContent>
      </w:sdt>
      <w:r w:rsidR="001D013A">
        <w:t xml:space="preserve"> and </w:t>
      </w:r>
      <w:r w:rsidR="00217E4F">
        <w:t>also</w:t>
      </w:r>
      <w:r>
        <w:t xml:space="preserve"> incorporates Williams’ inducement to make use of “formal, theoretically based languages”</w:t>
      </w:r>
      <w:r w:rsidR="00F715BE">
        <w:t xml:space="preserve"> </w:t>
      </w:r>
      <w:sdt>
        <w:sdtPr>
          <w:tag w:val="CTFMR36939741"/>
          <w:id w:val="1888911269"/>
          <w:lock w:val="contentLocked"/>
          <w:placeholder>
            <w:docPart w:val="DefaultPlaceholder_1081868574"/>
          </w:placeholder>
        </w:sdtPr>
        <w:sdtContent>
          <w:r w:rsidR="001D013A">
            <w:t>(Williams, 2008)</w:t>
          </w:r>
        </w:sdtContent>
      </w:sdt>
      <w:r>
        <w:t xml:space="preserve">.   </w:t>
      </w:r>
      <w:r w:rsidR="0027400F">
        <w:t>The expression of a problem</w:t>
      </w:r>
      <w:r>
        <w:t xml:space="preserve"> in terms of recognised algorithms</w:t>
      </w:r>
      <w:r w:rsidR="0027400F">
        <w:t xml:space="preserve"> or </w:t>
      </w:r>
      <w:r>
        <w:t>previously published work has the potential benefit of permitting a sense of familiarity with the workings of the model</w:t>
      </w:r>
      <w:r w:rsidR="004A57D6">
        <w:t xml:space="preserve">, a </w:t>
      </w:r>
      <w:r w:rsidR="006967FE">
        <w:t>quality</w:t>
      </w:r>
      <w:r w:rsidR="004A57D6">
        <w:t xml:space="preserve"> that</w:t>
      </w:r>
      <w:r>
        <w:t xml:space="preserve"> Morris </w:t>
      </w:r>
      <w:r w:rsidR="006967FE">
        <w:t xml:space="preserve">calls </w:t>
      </w:r>
      <w:r>
        <w:t xml:space="preserve">“relatedness” </w:t>
      </w:r>
      <w:sdt>
        <w:sdtPr>
          <w:tag w:val="CTFMR36736057"/>
          <w:id w:val="-1007592933"/>
          <w:lock w:val="contentLocked"/>
          <w:placeholder>
            <w:docPart w:val="F9556D8D47734B228EC7F34126DFC555"/>
          </w:placeholder>
        </w:sdtPr>
        <w:sdtContent>
          <w:r>
            <w:t>(Morris, 1967)</w:t>
          </w:r>
        </w:sdtContent>
      </w:sdt>
      <w:r>
        <w:t xml:space="preserve">. </w:t>
      </w:r>
    </w:p>
    <w:p w:rsidR="00D47E6F" w:rsidRDefault="00D47E6F" w:rsidP="00672E2C">
      <w:pPr>
        <w:pStyle w:val="NoSpacing"/>
      </w:pPr>
    </w:p>
    <w:p w:rsidR="00D47E6F" w:rsidRDefault="00D47E6F" w:rsidP="00672E2C">
      <w:pPr>
        <w:pStyle w:val="Heading3"/>
      </w:pPr>
      <w:r>
        <w:t>A model should have a (specific) purpose</w:t>
      </w:r>
    </w:p>
    <w:p w:rsidR="00D47E6F" w:rsidRDefault="00D47E6F" w:rsidP="00672E2C"/>
    <w:p w:rsidR="00D47E6F" w:rsidRPr="00C55E1B" w:rsidRDefault="006967FE" w:rsidP="00672E2C">
      <w:pPr>
        <w:pStyle w:val="NoSpacing"/>
      </w:pPr>
      <w:r>
        <w:t>A</w:t>
      </w:r>
      <w:r w:rsidR="009A39E9">
        <w:t xml:space="preserve"> good model should have a cl</w:t>
      </w:r>
      <w:r w:rsidR="004754FC">
        <w:t>early stated object and purpose</w:t>
      </w:r>
      <w:r w:rsidR="00D47E6F">
        <w:t xml:space="preserve"> </w:t>
      </w:r>
      <w:r w:rsidR="00F80F3E">
        <w:t xml:space="preserve">, although Pidd contends that </w:t>
      </w:r>
      <w:r w:rsidR="00F80F3E">
        <w:t>one does not imply the other</w:t>
      </w:r>
      <w:r w:rsidR="00F80F3E">
        <w:t xml:space="preserve"> </w:t>
      </w:r>
      <w:sdt>
        <w:sdtPr>
          <w:tag w:val="CTFMR36616565"/>
          <w:id w:val="1242304580"/>
          <w:lock w:val="contentLocked"/>
          <w:placeholder>
            <w:docPart w:val="0E9D2140597D4E819DD5CE2DC34CF246"/>
          </w:placeholder>
        </w:sdtPr>
        <w:sdtContent>
          <w:r w:rsidR="00F80F3E">
            <w:t>(Pidd, 1999)</w:t>
          </w:r>
        </w:sdtContent>
      </w:sdt>
      <w:r w:rsidR="00F80F3E">
        <w:t xml:space="preserve"> </w:t>
      </w:r>
      <w:r w:rsidR="00D47E6F">
        <w:t xml:space="preserve">and several purpose-specific models </w:t>
      </w:r>
      <w:r w:rsidR="009B0836">
        <w:t>are preferable to</w:t>
      </w:r>
      <w:r w:rsidR="00D47E6F">
        <w:t xml:space="preserve"> a single multi-purpose one </w:t>
      </w:r>
      <w:sdt>
        <w:sdtPr>
          <w:tag w:val="CTFMR36628040"/>
          <w:id w:val="496691593"/>
          <w:lock w:val="contentLocked"/>
          <w:placeholder>
            <w:docPart w:val="F9556D8D47734B228EC7F34126DFC555"/>
          </w:placeholder>
        </w:sdtPr>
        <w:sdtContent>
          <w:r w:rsidR="00D47E6F">
            <w:t>(Vaandrager, 2014)</w:t>
          </w:r>
        </w:sdtContent>
      </w:sdt>
      <w:r w:rsidR="00D47E6F">
        <w:t xml:space="preserve">.  Willemain </w:t>
      </w:r>
      <w:r w:rsidR="004754FC">
        <w:t>also favours</w:t>
      </w:r>
      <w:r w:rsidR="00D47E6F">
        <w:t xml:space="preserve"> the creation of “a unique model for each problem” </w:t>
      </w:r>
      <w:sdt>
        <w:sdtPr>
          <w:tag w:val="CTFMR36737498"/>
          <w:id w:val="566463504"/>
          <w:lock w:val="contentLocked"/>
          <w:placeholder>
            <w:docPart w:val="F9556D8D47734B228EC7F34126DFC555"/>
          </w:placeholder>
        </w:sdtPr>
        <w:sdtContent>
          <w:r w:rsidR="00D47E6F">
            <w:t>(Willemain, 1994)</w:t>
          </w:r>
        </w:sdtContent>
      </w:sdt>
      <w:r w:rsidR="00D47E6F">
        <w:t xml:space="preserve">.  </w:t>
      </w:r>
      <w:r w:rsidR="00305E84">
        <w:t>S</w:t>
      </w:r>
      <w:r w:rsidR="00D47E6F">
        <w:t>implification and specificity are fused in Phillips</w:t>
      </w:r>
      <w:r w:rsidR="00305E84">
        <w:t>’</w:t>
      </w:r>
      <w:r w:rsidR="00D47E6F">
        <w:t xml:space="preserve"> “requisite model”, </w:t>
      </w:r>
      <w:r w:rsidR="00305E84">
        <w:t>defined</w:t>
      </w:r>
      <w:r w:rsidR="00D47E6F">
        <w:t xml:space="preserve"> as “a model whose form and content are sufficient to solve a particular problem” </w:t>
      </w:r>
      <w:sdt>
        <w:sdtPr>
          <w:tag w:val="CTFMR36736359"/>
          <w:id w:val="-2094078610"/>
          <w:lock w:val="contentLocked"/>
          <w:placeholder>
            <w:docPart w:val="F9556D8D47734B228EC7F34126DFC555"/>
          </w:placeholder>
        </w:sdtPr>
        <w:sdtContent>
          <w:r w:rsidR="00D47E6F">
            <w:t>(Phillips, 1984)</w:t>
          </w:r>
        </w:sdtContent>
      </w:sdt>
      <w:r w:rsidR="00D47E6F">
        <w:t xml:space="preserve">.  Landry </w:t>
      </w:r>
      <w:r w:rsidR="00D47E6F">
        <w:rPr>
          <w:i/>
        </w:rPr>
        <w:t>et al</w:t>
      </w:r>
      <w:r w:rsidR="00D47E6F">
        <w:t xml:space="preserve"> </w:t>
      </w:r>
      <w:sdt>
        <w:sdtPr>
          <w:tag w:val="CTFMR36735658"/>
          <w:id w:val="1360244191"/>
          <w:lock w:val="contentLocked"/>
          <w:placeholder>
            <w:docPart w:val="F9556D8D47734B228EC7F34126DFC555"/>
          </w:placeholder>
        </w:sdtPr>
        <w:sdtContent>
          <w:r w:rsidR="00D47E6F">
            <w:t>(Landry, Banville and Oral, 1996)</w:t>
          </w:r>
        </w:sdtContent>
      </w:sdt>
      <w:r w:rsidR="00D47E6F">
        <w:t xml:space="preserve"> and Wahlström </w:t>
      </w:r>
      <w:sdt>
        <w:sdtPr>
          <w:tag w:val="CTFMR36737448"/>
          <w:id w:val="-1441593683"/>
          <w:lock w:val="contentLocked"/>
          <w:placeholder>
            <w:docPart w:val="F9556D8D47734B228EC7F34126DFC555"/>
          </w:placeholder>
        </w:sdtPr>
        <w:sdtContent>
          <w:r w:rsidR="00D47E6F">
            <w:t>(Wahlström, 1994)</w:t>
          </w:r>
        </w:sdtContent>
      </w:sdt>
      <w:r w:rsidR="00D47E6F">
        <w:t xml:space="preserve"> </w:t>
      </w:r>
      <w:r w:rsidR="00DF1EBD">
        <w:t>note that</w:t>
      </w:r>
      <w:r w:rsidR="00D47E6F">
        <w:t xml:space="preserve"> </w:t>
      </w:r>
      <w:r w:rsidR="000D7E13">
        <w:t>a model’s purpose</w:t>
      </w:r>
      <w:r w:rsidR="00DF1EBD">
        <w:t xml:space="preserve"> incorporates elements</w:t>
      </w:r>
      <w:r w:rsidR="00D47E6F">
        <w:t xml:space="preserve"> of knowledge creation, thought promotion, increased understanding and decision support</w:t>
      </w:r>
      <w:bookmarkStart w:id="0" w:name="_GoBack"/>
      <w:bookmarkEnd w:id="0"/>
      <w:r w:rsidR="00D47E6F">
        <w:t>.</w:t>
      </w:r>
    </w:p>
    <w:p w:rsidR="00D47E6F" w:rsidRDefault="00D47E6F" w:rsidP="00672E2C">
      <w:pPr>
        <w:pStyle w:val="NoSpacing"/>
      </w:pPr>
    </w:p>
    <w:p w:rsidR="00D47E6F" w:rsidRDefault="00D47E6F" w:rsidP="00672E2C">
      <w:pPr>
        <w:pStyle w:val="Heading3"/>
      </w:pPr>
      <w:r>
        <w:t>A model should be useful and usable</w:t>
      </w:r>
    </w:p>
    <w:p w:rsidR="00D47E6F" w:rsidRDefault="00D47E6F" w:rsidP="00672E2C"/>
    <w:p w:rsidR="00D47E6F" w:rsidRDefault="000313C1" w:rsidP="00672E2C">
      <w:pPr>
        <w:pStyle w:val="NoSpacing"/>
      </w:pPr>
      <w:r>
        <w:t xml:space="preserve">Misleading output </w:t>
      </w:r>
      <w:r w:rsidR="00836C64">
        <w:t>is</w:t>
      </w:r>
      <w:r w:rsidR="00D47E6F">
        <w:t xml:space="preserve"> undesirable, but so too is that which </w:t>
      </w:r>
      <w:r>
        <w:t>might be</w:t>
      </w:r>
      <w:r w:rsidR="00D47E6F">
        <w:t xml:space="preserve"> anticipated,</w:t>
      </w:r>
      <w:r w:rsidR="00836C64">
        <w:t xml:space="preserve"> </w:t>
      </w:r>
      <w:r w:rsidR="00D47E6F">
        <w:t xml:space="preserve">since no fresh insight is gained </w:t>
      </w:r>
      <w:sdt>
        <w:sdtPr>
          <w:tag w:val="CTFMR36737448"/>
          <w:id w:val="2079708354"/>
          <w:lock w:val="contentLocked"/>
          <w:placeholder>
            <w:docPart w:val="F9556D8D47734B228EC7F34126DFC555"/>
          </w:placeholder>
        </w:sdtPr>
        <w:sdtContent>
          <w:r w:rsidR="00D47E6F">
            <w:t>(Wahlström, 1994)</w:t>
          </w:r>
        </w:sdtContent>
      </w:sdt>
      <w:r w:rsidR="00D47E6F">
        <w:t xml:space="preserve">.  </w:t>
      </w:r>
      <w:r w:rsidR="00B02D34">
        <w:t>T</w:t>
      </w:r>
      <w:r w:rsidR="00D47E6F">
        <w:t>he usefulness of a model is tied inexorably to the conditions that led to its creation</w:t>
      </w:r>
      <w:r w:rsidR="001E7EED">
        <w:t xml:space="preserve"> and </w:t>
      </w:r>
      <w:r w:rsidR="00CF6574">
        <w:t xml:space="preserve">so </w:t>
      </w:r>
      <w:r w:rsidR="001E7EED">
        <w:t>a</w:t>
      </w:r>
      <w:r w:rsidR="000D333E">
        <w:t xml:space="preserve"> change of ownership, </w:t>
      </w:r>
      <w:r w:rsidR="001E7EED">
        <w:t>scenario or environment</w:t>
      </w:r>
      <w:r w:rsidR="000D333E">
        <w:t xml:space="preserve"> may </w:t>
      </w:r>
      <w:r w:rsidR="001E7EED">
        <w:t>p</w:t>
      </w:r>
      <w:r w:rsidR="00CF6574">
        <w:t>rejudice</w:t>
      </w:r>
      <w:r w:rsidR="000D333E">
        <w:t xml:space="preserve"> the model</w:t>
      </w:r>
      <w:r w:rsidR="00CF6574">
        <w:t>’s value</w:t>
      </w:r>
      <w:r w:rsidR="000D333E">
        <w:t xml:space="preserve"> </w:t>
      </w:r>
      <w:sdt>
        <w:sdtPr>
          <w:tag w:val="CTFMR36736359"/>
          <w:id w:val="-1291665650"/>
          <w:lock w:val="contentLocked"/>
          <w:placeholder>
            <w:docPart w:val="DefaultPlaceholder_1081868574"/>
          </w:placeholder>
        </w:sdtPr>
        <w:sdtContent>
          <w:r w:rsidR="00B02D34">
            <w:t>(Phillips, 1984)</w:t>
          </w:r>
        </w:sdtContent>
      </w:sdt>
      <w:r w:rsidR="000D333E">
        <w:t>.</w:t>
      </w:r>
      <w:r w:rsidR="007B5552">
        <w:t xml:space="preserve"> </w:t>
      </w:r>
      <w:r w:rsidR="003A13AA">
        <w:t>F</w:t>
      </w:r>
      <w:r w:rsidR="00D47E6F">
        <w:t xml:space="preserve">or a model to be ‘usable’ the user interface must be </w:t>
      </w:r>
      <w:r w:rsidR="007B5552">
        <w:t xml:space="preserve">sufficiently intuitive </w:t>
      </w:r>
      <w:sdt>
        <w:sdtPr>
          <w:tag w:val="CTFMR36735464"/>
          <w:id w:val="-180739755"/>
          <w:lock w:val="contentLocked"/>
          <w:placeholder>
            <w:docPart w:val="F9556D8D47734B228EC7F34126DFC555"/>
          </w:placeholder>
        </w:sdtPr>
        <w:sdtContent>
          <w:r w:rsidR="00D47E6F">
            <w:t>(Little, 2004)</w:t>
          </w:r>
        </w:sdtContent>
      </w:sdt>
      <w:r w:rsidR="003A13AA">
        <w:t xml:space="preserve">, </w:t>
      </w:r>
      <w:r w:rsidR="003F029F">
        <w:t xml:space="preserve">although </w:t>
      </w:r>
      <w:r w:rsidR="00AE6A0E">
        <w:t>there is a</w:t>
      </w:r>
      <w:r w:rsidR="00D47E6F">
        <w:t xml:space="preserve"> trade-off between </w:t>
      </w:r>
      <w:r w:rsidR="00DE6E84">
        <w:t>usability</w:t>
      </w:r>
      <w:r w:rsidR="003F029F">
        <w:t xml:space="preserve"> and </w:t>
      </w:r>
      <w:r w:rsidR="00AE6A0E">
        <w:t>adequate intricacy</w:t>
      </w:r>
      <w:r w:rsidR="005C5466">
        <w:t xml:space="preserve"> </w:t>
      </w:r>
      <w:sdt>
        <w:sdtPr>
          <w:tag w:val="CTFMR36735658"/>
          <w:id w:val="-122552623"/>
          <w:lock w:val="contentLocked"/>
          <w:placeholder>
            <w:docPart w:val="F9556D8D47734B228EC7F34126DFC555"/>
          </w:placeholder>
        </w:sdtPr>
        <w:sdtContent>
          <w:r w:rsidR="00D47E6F">
            <w:t>(Landry, Banville and Oral, 1996)</w:t>
          </w:r>
        </w:sdtContent>
      </w:sdt>
      <w:r w:rsidR="00D47E6F">
        <w:t xml:space="preserve">.  Usability may also be affected by </w:t>
      </w:r>
      <w:r w:rsidR="005C5466">
        <w:t xml:space="preserve">less obvious </w:t>
      </w:r>
      <w:r w:rsidR="00D47E6F">
        <w:t xml:space="preserve">factors, such as financial and resource implications </w:t>
      </w:r>
      <w:sdt>
        <w:sdtPr>
          <w:tag w:val="CTFMR36735592"/>
          <w:id w:val="-1850017268"/>
          <w:lock w:val="contentLocked"/>
          <w:placeholder>
            <w:docPart w:val="F9556D8D47734B228EC7F34126DFC555"/>
          </w:placeholder>
        </w:sdtPr>
        <w:sdtContent>
          <w:r w:rsidR="00D47E6F">
            <w:t>(Gass, 1987)</w:t>
          </w:r>
        </w:sdtContent>
      </w:sdt>
      <w:r w:rsidR="00D47E6F">
        <w:t>.</w:t>
      </w:r>
    </w:p>
    <w:p w:rsidR="00D47E6F" w:rsidRDefault="00D47E6F" w:rsidP="00672E2C">
      <w:pPr>
        <w:pStyle w:val="NoSpacing"/>
      </w:pPr>
    </w:p>
    <w:p w:rsidR="00D47E6F" w:rsidRDefault="00D47E6F" w:rsidP="00672E2C">
      <w:pPr>
        <w:pStyle w:val="NoSpacing"/>
      </w:pPr>
    </w:p>
    <w:p w:rsidR="00D47E6F" w:rsidRDefault="00D47E6F" w:rsidP="00672E2C">
      <w:pPr>
        <w:pStyle w:val="Heading3"/>
      </w:pPr>
      <w:r>
        <w:t>A model should be flexible</w:t>
      </w:r>
    </w:p>
    <w:p w:rsidR="00D47E6F" w:rsidRDefault="00D47E6F" w:rsidP="00672E2C"/>
    <w:p w:rsidR="00D47E6F" w:rsidRDefault="00D47E6F" w:rsidP="00672E2C">
      <w:pPr>
        <w:pStyle w:val="NoSpacing"/>
      </w:pPr>
      <w:r>
        <w:t xml:space="preserve">A model may be considered flexible by virtue of adaptability or extensibility.  The division between these two properties is somewhat blurred, but adaptability connotes evolution of capability with retention of original objective, a feature advocated by Little </w:t>
      </w:r>
      <w:sdt>
        <w:sdtPr>
          <w:tag w:val="CTFMR36735464"/>
          <w:id w:val="-2140029623"/>
          <w:lock w:val="contentLocked"/>
          <w:placeholder>
            <w:docPart w:val="F9556D8D47734B228EC7F34126DFC555"/>
          </w:placeholder>
        </w:sdtPr>
        <w:sdtContent>
          <w:r>
            <w:t>(Little, 2004)</w:t>
          </w:r>
        </w:sdtContent>
      </w:sdt>
      <w:r>
        <w:t xml:space="preserve">.  Extensability, conversely, implies a branching of purpose either by progressive growth of the original model, or preferably by seeding a generation of related models designed for application to a class of similar (yet unique) problems </w:t>
      </w:r>
      <w:sdt>
        <w:sdtPr>
          <w:tag w:val="CTFMR36628040"/>
          <w:id w:val="171609650"/>
          <w:lock w:val="contentLocked"/>
          <w:placeholder>
            <w:docPart w:val="F9556D8D47734B228EC7F34126DFC555"/>
          </w:placeholder>
        </w:sdtPr>
        <w:sdtContent>
          <w:r>
            <w:t>(Vaandrager, 2014)</w:t>
          </w:r>
        </w:sdtContent>
      </w:sdt>
      <w:r>
        <w:t>.</w:t>
      </w:r>
    </w:p>
    <w:p w:rsidR="00D47E6F" w:rsidRDefault="00D47E6F" w:rsidP="00672E2C">
      <w:pPr>
        <w:pStyle w:val="NoSpacing"/>
      </w:pPr>
    </w:p>
    <w:p w:rsidR="00D47E6F" w:rsidRDefault="00D47E6F" w:rsidP="00672E2C">
      <w:pPr>
        <w:pStyle w:val="NoSpacing"/>
      </w:pPr>
    </w:p>
    <w:p w:rsidR="00D47E6F" w:rsidRDefault="00D47E6F" w:rsidP="00672E2C">
      <w:pPr>
        <w:pStyle w:val="Heading3"/>
      </w:pPr>
      <w:r>
        <w:t>A model should be robust and produce valid results</w:t>
      </w:r>
    </w:p>
    <w:p w:rsidR="00D47E6F" w:rsidRDefault="00D47E6F" w:rsidP="00672E2C"/>
    <w:p w:rsidR="00D47E6F" w:rsidRDefault="00D47E6F" w:rsidP="00672E2C">
      <w:pPr>
        <w:pStyle w:val="NoSpacing"/>
      </w:pPr>
      <w:r>
        <w:t>A robust model is one that is capable of tolerating deviations from the underlying assumptions to some satisfactory degree</w:t>
      </w:r>
      <w:r w:rsidR="009D6A0C">
        <w:t xml:space="preserve"> </w:t>
      </w:r>
      <w:sdt>
        <w:sdtPr>
          <w:tag w:val="CTFMR36736057"/>
          <w:id w:val="40021081"/>
          <w:lock w:val="contentLocked"/>
          <w:placeholder>
            <w:docPart w:val="F9556D8D47734B228EC7F34126DFC555"/>
          </w:placeholder>
        </w:sdtPr>
        <w:sdtContent>
          <w:r>
            <w:t>(Morris, 1967)</w:t>
          </w:r>
        </w:sdtContent>
      </w:sdt>
      <w:r>
        <w:t xml:space="preserve">.  </w:t>
      </w:r>
      <w:r w:rsidR="009D6A0C">
        <w:t>Little offers a</w:t>
      </w:r>
      <w:r>
        <w:t xml:space="preserve"> more pragmatic </w:t>
      </w:r>
      <w:r w:rsidR="009D6A0C">
        <w:t>description</w:t>
      </w:r>
      <w:r>
        <w:t xml:space="preserve">: “Robust. Here I mean that a user should find it difficult to make the model give bad answers” </w:t>
      </w:r>
      <w:sdt>
        <w:sdtPr>
          <w:tag w:val="CTFMR36735464"/>
          <w:id w:val="-328976435"/>
          <w:lock w:val="contentLocked"/>
          <w:placeholder>
            <w:docPart w:val="F9556D8D47734B228EC7F34126DFC555"/>
          </w:placeholder>
        </w:sdtPr>
        <w:sdtContent>
          <w:r>
            <w:t>(Little, 2004)</w:t>
          </w:r>
        </w:sdtContent>
      </w:sdt>
      <w:r>
        <w:t>.</w:t>
      </w:r>
      <w:r w:rsidR="00CE0705">
        <w:t xml:space="preserve"> </w:t>
      </w:r>
      <w:r w:rsidR="00BE29F7">
        <w:t>V</w:t>
      </w:r>
      <w:r>
        <w:t xml:space="preserve">alidation </w:t>
      </w:r>
      <w:r w:rsidR="00BE29F7">
        <w:t>requires</w:t>
      </w:r>
      <w:r>
        <w:t xml:space="preserve"> that the output of the model is a plausible portrayal of the system of regard </w:t>
      </w:r>
      <w:sdt>
        <w:sdtPr>
          <w:tag w:val="CTFMR36737448"/>
          <w:id w:val="-1876459802"/>
          <w:lock w:val="contentLocked"/>
          <w:placeholder>
            <w:docPart w:val="F9556D8D47734B228EC7F34126DFC555"/>
          </w:placeholder>
        </w:sdtPr>
        <w:sdtContent>
          <w:r>
            <w:t>(Wahlström, 1994)</w:t>
          </w:r>
        </w:sdtContent>
      </w:sdt>
      <w:r w:rsidR="001F4D98">
        <w:t xml:space="preserve">, although the </w:t>
      </w:r>
      <w:r>
        <w:t xml:space="preserve">validity is dependent on the subjective appraisal of the model’s output by those who engage with </w:t>
      </w:r>
      <w:sdt>
        <w:sdtPr>
          <w:tag w:val="CTFMR36735658"/>
          <w:id w:val="1251089349"/>
          <w:lock w:val="contentLocked"/>
          <w:placeholder>
            <w:docPart w:val="F9556D8D47734B228EC7F34126DFC555"/>
          </w:placeholder>
        </w:sdtPr>
        <w:sdtContent>
          <w:r>
            <w:t>(Landry, Banville and Oral, 1996)</w:t>
          </w:r>
        </w:sdtContent>
      </w:sdt>
      <w:r>
        <w:t>.</w:t>
      </w:r>
    </w:p>
    <w:p w:rsidR="00D47E6F" w:rsidRDefault="00D47E6F" w:rsidP="00672E2C">
      <w:pPr>
        <w:pStyle w:val="NoSpacing"/>
      </w:pPr>
    </w:p>
    <w:p w:rsidR="00D47E6F" w:rsidRDefault="00D47E6F" w:rsidP="00672E2C">
      <w:pPr>
        <w:pStyle w:val="Heading3"/>
      </w:pPr>
      <w:r>
        <w:t>A model should be transparent</w:t>
      </w:r>
    </w:p>
    <w:p w:rsidR="00D47E6F" w:rsidRDefault="00D47E6F" w:rsidP="00672E2C"/>
    <w:p w:rsidR="00D47E6F" w:rsidRDefault="00D47E6F" w:rsidP="00672E2C">
      <w:pPr>
        <w:pStyle w:val="NoSpacing"/>
      </w:pPr>
      <w:r>
        <w:t xml:space="preserve">Salt warns against concealing the underlying workings of a model, </w:t>
      </w:r>
      <w:r w:rsidR="005F4947">
        <w:t>(</w:t>
      </w:r>
      <w:r>
        <w:t>“the black box mistake”</w:t>
      </w:r>
      <w:r w:rsidR="005F4947">
        <w:t>)</w:t>
      </w:r>
      <w:r>
        <w:t xml:space="preserve"> </w:t>
      </w:r>
      <w:sdt>
        <w:sdtPr>
          <w:tag w:val="CTFMR36737351"/>
          <w:id w:val="-1635788779"/>
          <w:lock w:val="contentLocked"/>
          <w:placeholder>
            <w:docPart w:val="F9556D8D47734B228EC7F34126DFC555"/>
          </w:placeholder>
        </w:sdtPr>
        <w:sdtContent>
          <w:r>
            <w:t>(Salt, 2008)</w:t>
          </w:r>
        </w:sdtContent>
      </w:sdt>
      <w:r w:rsidR="005F4947">
        <w:t xml:space="preserve"> because, as</w:t>
      </w:r>
      <w:r>
        <w:t xml:space="preserve"> Pidd </w:t>
      </w:r>
      <w:r w:rsidR="005F4947">
        <w:t>concurs</w:t>
      </w:r>
      <w:r>
        <w:t xml:space="preserve">, hidden mechanisms may engender distrust of the model (and/or modeller) </w:t>
      </w:r>
      <w:sdt>
        <w:sdtPr>
          <w:tag w:val="CTFMR36616565"/>
          <w:id w:val="415821903"/>
          <w:lock w:val="contentLocked"/>
          <w:placeholder>
            <w:docPart w:val="F9556D8D47734B228EC7F34126DFC555"/>
          </w:placeholder>
        </w:sdtPr>
        <w:sdtContent>
          <w:r>
            <w:t>(Pidd, 1999)</w:t>
          </w:r>
        </w:sdtContent>
      </w:sdt>
      <w:r>
        <w:t xml:space="preserve">, potentially rendering the model useless.  </w:t>
      </w:r>
    </w:p>
    <w:p w:rsidR="00D47E6F" w:rsidRDefault="00D47E6F" w:rsidP="00672E2C">
      <w:pPr>
        <w:pStyle w:val="NoSpacing"/>
      </w:pPr>
    </w:p>
    <w:p w:rsidR="00D47E6F" w:rsidRDefault="00D47E6F" w:rsidP="00672E2C">
      <w:pPr>
        <w:pStyle w:val="Heading3"/>
      </w:pPr>
      <w:r>
        <w:t>Putting it all together</w:t>
      </w:r>
    </w:p>
    <w:p w:rsidR="00D47E6F" w:rsidRDefault="00D47E6F" w:rsidP="00672E2C"/>
    <w:p w:rsidR="00D47E6F" w:rsidRDefault="0007288B" w:rsidP="00672E2C">
      <w:pPr>
        <w:pStyle w:val="NoSpacing"/>
      </w:pPr>
      <w:r>
        <w:t>In an attempt to rank some of the qualities above, Willemain asked</w:t>
      </w:r>
      <w:r w:rsidR="00D47E6F">
        <w:t xml:space="preserve"> “twelve selected expert modelers” to list the “qualities of an effective model” in order of importance </w:t>
      </w:r>
      <w:sdt>
        <w:sdtPr>
          <w:tag w:val="CTFMR36737498"/>
          <w:id w:val="585580425"/>
          <w:lock w:val="contentLocked"/>
          <w:placeholder>
            <w:docPart w:val="F9556D8D47734B228EC7F34126DFC555"/>
          </w:placeholder>
        </w:sdtPr>
        <w:sdtContent>
          <w:r w:rsidR="00D47E6F">
            <w:t>(Willemain, 1994)</w:t>
          </w:r>
        </w:sdtContent>
      </w:sdt>
      <w:r w:rsidR="00D47E6F">
        <w:t>.  The summary of responses was as follows: “1) validity, 2) usability, 3) value to the client, 4) feasibility, and 5) aptness for client’s problem”.</w:t>
      </w:r>
    </w:p>
    <w:p w:rsidR="00D47E6F" w:rsidRDefault="00D47E6F" w:rsidP="00672E2C">
      <w:pPr>
        <w:pStyle w:val="NoSpacing"/>
      </w:pPr>
    </w:p>
    <w:p w:rsidR="00D47E6F" w:rsidRDefault="00D47E6F" w:rsidP="00672E2C">
      <w:pPr>
        <w:pStyle w:val="NoSpacing"/>
      </w:pPr>
      <w:r>
        <w:t xml:space="preserve">Finally, in contemplating the desirable features of a model, Vaandrager </w:t>
      </w:r>
      <w:sdt>
        <w:sdtPr>
          <w:tag w:val="CTFMR36628040"/>
          <w:id w:val="-1290119992"/>
          <w:lock w:val="contentLocked"/>
          <w:placeholder>
            <w:docPart w:val="F9556D8D47734B228EC7F34126DFC555"/>
          </w:placeholder>
        </w:sdtPr>
        <w:sdtContent>
          <w:r>
            <w:t>(Vaandrager, 2014)</w:t>
          </w:r>
        </w:sdtContent>
      </w:sdt>
      <w:r>
        <w:t xml:space="preserve"> offers </w:t>
      </w:r>
      <w:r w:rsidR="00541AC7">
        <w:t>the following</w:t>
      </w:r>
      <w:r w:rsidR="000B2BB1">
        <w:t xml:space="preserve"> thoughts</w:t>
      </w:r>
      <w:r>
        <w:t>:</w:t>
      </w:r>
    </w:p>
    <w:p w:rsidR="00D47E6F" w:rsidRDefault="00D47E6F" w:rsidP="00672E2C">
      <w:pPr>
        <w:pStyle w:val="NoSpacing"/>
      </w:pPr>
    </w:p>
    <w:p w:rsidR="00D47E6F" w:rsidRDefault="00D47E6F" w:rsidP="00672E2C">
      <w:pPr>
        <w:pStyle w:val="Quote"/>
      </w:pPr>
      <w:r>
        <w:t>“Often, the criteria are hard to meet and typically several of them are conflicting. In practice, a good model is often one which constitutes the best possible compromise, given the current state-of-the-art of tools for modelling and analysis.  But a truly beautiful model meets all the criteria!”</w:t>
      </w:r>
    </w:p>
    <w:p w:rsidR="00115DF6" w:rsidRPr="00D47E6F" w:rsidRDefault="00115DF6" w:rsidP="00D47E6F"/>
    <w:sectPr w:rsidR="00115DF6" w:rsidRPr="00D47E6F" w:rsidSect="000E1AF6">
      <w:headerReference w:type="default" r:id="rId7"/>
      <w:footerReference w:type="default" r:id="rId8"/>
      <w:pgSz w:w="11906" w:h="16838"/>
      <w:pgMar w:top="1985" w:right="1440" w:bottom="1985"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449" w:rsidRDefault="00333449" w:rsidP="00333449">
      <w:r>
        <w:separator/>
      </w:r>
    </w:p>
  </w:endnote>
  <w:endnote w:type="continuationSeparator" w:id="0">
    <w:p w:rsidR="00333449" w:rsidRDefault="00333449" w:rsidP="00333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333449">
      <w:trPr>
        <w:trHeight w:hRule="exact" w:val="115"/>
        <w:jc w:val="center"/>
      </w:trPr>
      <w:tc>
        <w:tcPr>
          <w:tcW w:w="4686" w:type="dxa"/>
          <w:shd w:val="clear" w:color="auto" w:fill="5B9BD5" w:themeFill="accent1"/>
          <w:tcMar>
            <w:top w:w="0" w:type="dxa"/>
            <w:bottom w:w="0" w:type="dxa"/>
          </w:tcMar>
        </w:tcPr>
        <w:p w:rsidR="00333449" w:rsidRDefault="00333449">
          <w:pPr>
            <w:pStyle w:val="Header"/>
            <w:rPr>
              <w:caps/>
              <w:sz w:val="18"/>
            </w:rPr>
          </w:pPr>
        </w:p>
      </w:tc>
      <w:tc>
        <w:tcPr>
          <w:tcW w:w="4674" w:type="dxa"/>
          <w:shd w:val="clear" w:color="auto" w:fill="5B9BD5" w:themeFill="accent1"/>
          <w:tcMar>
            <w:top w:w="0" w:type="dxa"/>
            <w:bottom w:w="0" w:type="dxa"/>
          </w:tcMar>
        </w:tcPr>
        <w:p w:rsidR="00333449" w:rsidRDefault="00333449">
          <w:pPr>
            <w:pStyle w:val="Header"/>
            <w:jc w:val="right"/>
            <w:rPr>
              <w:caps/>
              <w:sz w:val="18"/>
            </w:rPr>
          </w:pPr>
        </w:p>
      </w:tc>
    </w:tr>
    <w:tr w:rsidR="00333449">
      <w:trPr>
        <w:jc w:val="center"/>
      </w:trPr>
      <w:sdt>
        <w:sdtPr>
          <w:rPr>
            <w:caps/>
            <w:color w:val="808080" w:themeColor="background1" w:themeShade="80"/>
            <w:sz w:val="18"/>
            <w:szCs w:val="18"/>
          </w:rPr>
          <w:alias w:val="Author"/>
          <w:tag w:val=""/>
          <w:id w:val="171593411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333449" w:rsidRDefault="00333449">
              <w:pPr>
                <w:pStyle w:val="Footer"/>
                <w:rPr>
                  <w:caps/>
                  <w:color w:val="808080" w:themeColor="background1" w:themeShade="80"/>
                  <w:sz w:val="18"/>
                  <w:szCs w:val="18"/>
                </w:rPr>
              </w:pPr>
              <w:r>
                <w:rPr>
                  <w:caps/>
                  <w:color w:val="808080" w:themeColor="background1" w:themeShade="80"/>
                  <w:sz w:val="18"/>
                  <w:szCs w:val="18"/>
                </w:rPr>
                <w:t>Kerr</w:t>
              </w:r>
            </w:p>
          </w:tc>
        </w:sdtContent>
      </w:sdt>
      <w:tc>
        <w:tcPr>
          <w:tcW w:w="4674" w:type="dxa"/>
          <w:shd w:val="clear" w:color="auto" w:fill="auto"/>
          <w:vAlign w:val="center"/>
        </w:tcPr>
        <w:p w:rsidR="00333449" w:rsidRDefault="00333449">
          <w:pPr>
            <w:pStyle w:val="Footer"/>
            <w:jc w:val="right"/>
            <w:rPr>
              <w:caps/>
              <w:color w:val="808080" w:themeColor="background1" w:themeShade="80"/>
              <w:sz w:val="18"/>
              <w:szCs w:val="18"/>
            </w:rPr>
          </w:pPr>
        </w:p>
      </w:tc>
    </w:tr>
  </w:tbl>
  <w:p w:rsidR="00333449" w:rsidRDefault="00333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449" w:rsidRDefault="00333449" w:rsidP="00333449">
      <w:r>
        <w:separator/>
      </w:r>
    </w:p>
  </w:footnote>
  <w:footnote w:type="continuationSeparator" w:id="0">
    <w:p w:rsidR="00333449" w:rsidRDefault="00333449" w:rsidP="00333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08"/>
      <w:gridCol w:w="4518"/>
    </w:tblGrid>
    <w:tr w:rsidR="00333449">
      <w:trPr>
        <w:jc w:val="center"/>
      </w:trPr>
      <w:sdt>
        <w:sdtPr>
          <w:rPr>
            <w:caps/>
            <w:color w:val="FFFFFF" w:themeColor="background1"/>
            <w:sz w:val="18"/>
            <w:szCs w:val="18"/>
          </w:rPr>
          <w:alias w:val="Title"/>
          <w:tag w:val=""/>
          <w:id w:val="-734387847"/>
          <w:placeholder>
            <w:docPart w:val="25EE4CAF98E74FE099346D137B5B4E1B"/>
          </w:placeholder>
          <w:showingPlcHd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333449" w:rsidRDefault="00333449" w:rsidP="00035C83">
              <w:pPr>
                <w:pStyle w:val="Header"/>
                <w:rPr>
                  <w:caps/>
                  <w:color w:val="FFFFFF" w:themeColor="background1"/>
                  <w:sz w:val="18"/>
                  <w:szCs w:val="18"/>
                </w:rPr>
              </w:pPr>
              <w:r w:rsidRPr="00CB56AE">
                <w:rPr>
                  <w:rStyle w:val="PlaceholderText"/>
                </w:rPr>
                <w:t>Click here to enter text.</w:t>
              </w:r>
            </w:p>
          </w:tc>
        </w:sdtContent>
      </w:sdt>
      <w:tc>
        <w:tcPr>
          <w:tcW w:w="4674" w:type="dxa"/>
          <w:shd w:val="clear" w:color="auto" w:fill="ED7D31" w:themeFill="accent2"/>
          <w:vAlign w:val="center"/>
        </w:tcPr>
        <w:p w:rsidR="00333449" w:rsidRDefault="00333449">
          <w:pPr>
            <w:pStyle w:val="Header"/>
            <w:jc w:val="right"/>
            <w:rPr>
              <w:caps/>
              <w:color w:val="FFFFFF" w:themeColor="background1"/>
              <w:sz w:val="18"/>
              <w:szCs w:val="18"/>
            </w:rPr>
          </w:pPr>
          <w:r>
            <w:rPr>
              <w:caps/>
              <w:color w:val="FFFFFF" w:themeColor="background1"/>
              <w:sz w:val="18"/>
              <w:szCs w:val="18"/>
            </w:rPr>
            <w:t>November 2014</w:t>
          </w:r>
        </w:p>
      </w:tc>
    </w:tr>
    <w:tr w:rsidR="00333449">
      <w:trPr>
        <w:trHeight w:hRule="exact" w:val="115"/>
        <w:jc w:val="center"/>
      </w:trPr>
      <w:tc>
        <w:tcPr>
          <w:tcW w:w="4686" w:type="dxa"/>
          <w:shd w:val="clear" w:color="auto" w:fill="5B9BD5" w:themeFill="accent1"/>
          <w:tcMar>
            <w:top w:w="0" w:type="dxa"/>
            <w:bottom w:w="0" w:type="dxa"/>
          </w:tcMar>
        </w:tcPr>
        <w:p w:rsidR="00333449" w:rsidRDefault="00333449">
          <w:pPr>
            <w:pStyle w:val="Header"/>
            <w:rPr>
              <w:caps/>
              <w:color w:val="FFFFFF" w:themeColor="background1"/>
              <w:sz w:val="18"/>
              <w:szCs w:val="18"/>
            </w:rPr>
          </w:pPr>
        </w:p>
      </w:tc>
      <w:tc>
        <w:tcPr>
          <w:tcW w:w="4674" w:type="dxa"/>
          <w:shd w:val="clear" w:color="auto" w:fill="5B9BD5" w:themeFill="accent1"/>
          <w:tcMar>
            <w:top w:w="0" w:type="dxa"/>
            <w:bottom w:w="0" w:type="dxa"/>
          </w:tcMar>
        </w:tcPr>
        <w:p w:rsidR="00333449" w:rsidRDefault="00333449">
          <w:pPr>
            <w:pStyle w:val="Header"/>
            <w:rPr>
              <w:caps/>
              <w:color w:val="FFFFFF" w:themeColor="background1"/>
              <w:sz w:val="18"/>
              <w:szCs w:val="18"/>
            </w:rPr>
          </w:pPr>
        </w:p>
      </w:tc>
    </w:tr>
  </w:tbl>
  <w:p w:rsidR="00333449" w:rsidRDefault="003334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49"/>
    <w:rsid w:val="000021F7"/>
    <w:rsid w:val="00014481"/>
    <w:rsid w:val="000313C1"/>
    <w:rsid w:val="00071CA7"/>
    <w:rsid w:val="0007288B"/>
    <w:rsid w:val="000B2BB1"/>
    <w:rsid w:val="000B759A"/>
    <w:rsid w:val="000C2B53"/>
    <w:rsid w:val="000D333E"/>
    <w:rsid w:val="000D45DF"/>
    <w:rsid w:val="000D662E"/>
    <w:rsid w:val="000D7E13"/>
    <w:rsid w:val="000E18FB"/>
    <w:rsid w:val="00107DFB"/>
    <w:rsid w:val="00115DF6"/>
    <w:rsid w:val="0013215E"/>
    <w:rsid w:val="0014555E"/>
    <w:rsid w:val="00173D68"/>
    <w:rsid w:val="00181F9D"/>
    <w:rsid w:val="001969A7"/>
    <w:rsid w:val="001B5D90"/>
    <w:rsid w:val="001D013A"/>
    <w:rsid w:val="001E7EED"/>
    <w:rsid w:val="001F4D98"/>
    <w:rsid w:val="00200A34"/>
    <w:rsid w:val="00217E4F"/>
    <w:rsid w:val="0022708A"/>
    <w:rsid w:val="00233E6D"/>
    <w:rsid w:val="002371A6"/>
    <w:rsid w:val="002458C3"/>
    <w:rsid w:val="002469B7"/>
    <w:rsid w:val="00271F75"/>
    <w:rsid w:val="0027400F"/>
    <w:rsid w:val="002878DA"/>
    <w:rsid w:val="002C4A97"/>
    <w:rsid w:val="002D3186"/>
    <w:rsid w:val="00305E84"/>
    <w:rsid w:val="0031231B"/>
    <w:rsid w:val="003204A7"/>
    <w:rsid w:val="00333449"/>
    <w:rsid w:val="00355660"/>
    <w:rsid w:val="003A13AA"/>
    <w:rsid w:val="003B3B07"/>
    <w:rsid w:val="003C295D"/>
    <w:rsid w:val="003E4AFF"/>
    <w:rsid w:val="003F029F"/>
    <w:rsid w:val="00404AE6"/>
    <w:rsid w:val="00426B64"/>
    <w:rsid w:val="004351C5"/>
    <w:rsid w:val="004754FC"/>
    <w:rsid w:val="004A57D6"/>
    <w:rsid w:val="00517F7D"/>
    <w:rsid w:val="00541AC7"/>
    <w:rsid w:val="005612C6"/>
    <w:rsid w:val="0057620D"/>
    <w:rsid w:val="00592311"/>
    <w:rsid w:val="00596E89"/>
    <w:rsid w:val="005A0C04"/>
    <w:rsid w:val="005C0981"/>
    <w:rsid w:val="005C5466"/>
    <w:rsid w:val="005F2A13"/>
    <w:rsid w:val="005F4947"/>
    <w:rsid w:val="00605B36"/>
    <w:rsid w:val="006337D6"/>
    <w:rsid w:val="0063552E"/>
    <w:rsid w:val="006707B1"/>
    <w:rsid w:val="006967FE"/>
    <w:rsid w:val="006D5F50"/>
    <w:rsid w:val="006F51DE"/>
    <w:rsid w:val="00746ED5"/>
    <w:rsid w:val="00770631"/>
    <w:rsid w:val="007903F1"/>
    <w:rsid w:val="007B5552"/>
    <w:rsid w:val="007E11B6"/>
    <w:rsid w:val="007E5C08"/>
    <w:rsid w:val="00836C64"/>
    <w:rsid w:val="008410F5"/>
    <w:rsid w:val="00864A56"/>
    <w:rsid w:val="00885C1D"/>
    <w:rsid w:val="00887F19"/>
    <w:rsid w:val="008C5B45"/>
    <w:rsid w:val="0090011A"/>
    <w:rsid w:val="0090095B"/>
    <w:rsid w:val="00901035"/>
    <w:rsid w:val="00971625"/>
    <w:rsid w:val="00980CB1"/>
    <w:rsid w:val="009A39E9"/>
    <w:rsid w:val="009B0836"/>
    <w:rsid w:val="009D6A0C"/>
    <w:rsid w:val="009D7DB1"/>
    <w:rsid w:val="009E4F30"/>
    <w:rsid w:val="00A35AF4"/>
    <w:rsid w:val="00A82515"/>
    <w:rsid w:val="00AC39F8"/>
    <w:rsid w:val="00AD6D1B"/>
    <w:rsid w:val="00AE6A0E"/>
    <w:rsid w:val="00B02D34"/>
    <w:rsid w:val="00B85130"/>
    <w:rsid w:val="00BE29F7"/>
    <w:rsid w:val="00CE0705"/>
    <w:rsid w:val="00CF5F44"/>
    <w:rsid w:val="00CF6574"/>
    <w:rsid w:val="00D170C6"/>
    <w:rsid w:val="00D2513B"/>
    <w:rsid w:val="00D455EC"/>
    <w:rsid w:val="00D47E6F"/>
    <w:rsid w:val="00D565AE"/>
    <w:rsid w:val="00D70BC8"/>
    <w:rsid w:val="00D7544C"/>
    <w:rsid w:val="00D913A3"/>
    <w:rsid w:val="00D92F9C"/>
    <w:rsid w:val="00DE6E84"/>
    <w:rsid w:val="00DF101F"/>
    <w:rsid w:val="00DF1EBD"/>
    <w:rsid w:val="00DF6BF1"/>
    <w:rsid w:val="00E45D1E"/>
    <w:rsid w:val="00E61B40"/>
    <w:rsid w:val="00E768EE"/>
    <w:rsid w:val="00EA5C8D"/>
    <w:rsid w:val="00EB478E"/>
    <w:rsid w:val="00EB7336"/>
    <w:rsid w:val="00EC1D1E"/>
    <w:rsid w:val="00F71021"/>
    <w:rsid w:val="00F715BE"/>
    <w:rsid w:val="00F80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52ECD-5B32-4EE1-9127-26C3244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449"/>
    <w:pPr>
      <w:spacing w:after="0" w:line="240" w:lineRule="auto"/>
      <w:ind w:firstLine="360"/>
    </w:pPr>
    <w:rPr>
      <w:rFonts w:eastAsiaTheme="minorEastAsia"/>
    </w:rPr>
  </w:style>
  <w:style w:type="paragraph" w:styleId="Heading1">
    <w:name w:val="heading 1"/>
    <w:basedOn w:val="Normal"/>
    <w:next w:val="Normal"/>
    <w:link w:val="Heading1Char"/>
    <w:uiPriority w:val="9"/>
    <w:qFormat/>
    <w:rsid w:val="00333449"/>
    <w:pPr>
      <w:numPr>
        <w:numId w:val="1"/>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333449"/>
    <w:pPr>
      <w:numPr>
        <w:ilvl w:val="1"/>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333449"/>
    <w:pPr>
      <w:numPr>
        <w:ilvl w:val="2"/>
        <w:numId w:val="1"/>
      </w:num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333449"/>
    <w:pPr>
      <w:numPr>
        <w:ilvl w:val="3"/>
        <w:numId w:val="1"/>
      </w:numPr>
      <w:pBdr>
        <w:bottom w:val="single" w:sz="4" w:space="2" w:color="BDD6EE" w:themeColor="accent1" w:themeTint="66"/>
      </w:pBdr>
      <w:spacing w:before="200" w:after="8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333449"/>
    <w:pPr>
      <w:numPr>
        <w:ilvl w:val="4"/>
        <w:numId w:val="1"/>
      </w:numPr>
      <w:spacing w:before="200" w:after="8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333449"/>
    <w:pPr>
      <w:numPr>
        <w:ilvl w:val="5"/>
        <w:numId w:val="1"/>
      </w:numPr>
      <w:spacing w:before="280" w:after="10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333449"/>
    <w:pPr>
      <w:numPr>
        <w:ilvl w:val="6"/>
        <w:numId w:val="1"/>
      </w:numPr>
      <w:spacing w:before="320" w:after="10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333449"/>
    <w:pPr>
      <w:numPr>
        <w:ilvl w:val="7"/>
        <w:numId w:val="1"/>
      </w:numPr>
      <w:spacing w:before="320" w:after="10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333449"/>
    <w:pPr>
      <w:numPr>
        <w:ilvl w:val="8"/>
        <w:numId w:val="1"/>
      </w:num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449"/>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333449"/>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333449"/>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333449"/>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333449"/>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333449"/>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333449"/>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333449"/>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333449"/>
    <w:rPr>
      <w:rFonts w:asciiTheme="majorHAnsi" w:eastAsiaTheme="majorEastAsia" w:hAnsiTheme="majorHAnsi" w:cstheme="majorBidi"/>
      <w:i/>
      <w:iCs/>
      <w:color w:val="A5A5A5" w:themeColor="accent3"/>
      <w:sz w:val="20"/>
      <w:szCs w:val="20"/>
    </w:rPr>
  </w:style>
  <w:style w:type="character" w:styleId="PlaceholderText">
    <w:name w:val="Placeholder Text"/>
    <w:basedOn w:val="DefaultParagraphFont"/>
    <w:uiPriority w:val="99"/>
    <w:semiHidden/>
    <w:rsid w:val="00333449"/>
    <w:rPr>
      <w:color w:val="808080"/>
    </w:rPr>
  </w:style>
  <w:style w:type="paragraph" w:styleId="Title">
    <w:name w:val="Title"/>
    <w:basedOn w:val="Normal"/>
    <w:next w:val="Normal"/>
    <w:link w:val="TitleChar"/>
    <w:uiPriority w:val="10"/>
    <w:qFormat/>
    <w:rsid w:val="00333449"/>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333449"/>
    <w:rPr>
      <w:rFonts w:asciiTheme="majorHAnsi" w:eastAsiaTheme="majorEastAsia" w:hAnsiTheme="majorHAnsi" w:cstheme="majorBidi"/>
      <w:i/>
      <w:iCs/>
      <w:color w:val="1F4D78" w:themeColor="accent1" w:themeShade="7F"/>
      <w:sz w:val="60"/>
      <w:szCs w:val="60"/>
    </w:rPr>
  </w:style>
  <w:style w:type="paragraph" w:styleId="NoSpacing">
    <w:name w:val="No Spacing"/>
    <w:basedOn w:val="Normal"/>
    <w:link w:val="NoSpacingChar"/>
    <w:uiPriority w:val="1"/>
    <w:qFormat/>
    <w:rsid w:val="00333449"/>
    <w:pPr>
      <w:spacing w:line="360" w:lineRule="auto"/>
      <w:ind w:firstLine="0"/>
      <w:jc w:val="both"/>
    </w:pPr>
    <w:rPr>
      <w:sz w:val="24"/>
    </w:rPr>
  </w:style>
  <w:style w:type="paragraph" w:styleId="Quote">
    <w:name w:val="Quote"/>
    <w:basedOn w:val="Normal"/>
    <w:next w:val="Normal"/>
    <w:link w:val="QuoteChar"/>
    <w:uiPriority w:val="29"/>
    <w:qFormat/>
    <w:rsid w:val="00333449"/>
    <w:pPr>
      <w:spacing w:line="360" w:lineRule="auto"/>
      <w:ind w:firstLine="357"/>
    </w:pPr>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33449"/>
    <w:rPr>
      <w:rFonts w:asciiTheme="majorHAnsi" w:eastAsiaTheme="majorEastAsia" w:hAnsiTheme="majorHAnsi" w:cstheme="majorBidi"/>
      <w:i/>
      <w:iCs/>
      <w:color w:val="5A5A5A" w:themeColor="text1" w:themeTint="A5"/>
    </w:rPr>
  </w:style>
  <w:style w:type="paragraph" w:styleId="Header">
    <w:name w:val="header"/>
    <w:basedOn w:val="Normal"/>
    <w:link w:val="HeaderChar"/>
    <w:uiPriority w:val="99"/>
    <w:unhideWhenUsed/>
    <w:rsid w:val="00333449"/>
    <w:pPr>
      <w:tabs>
        <w:tab w:val="center" w:pos="4513"/>
        <w:tab w:val="right" w:pos="9026"/>
      </w:tabs>
    </w:pPr>
  </w:style>
  <w:style w:type="character" w:customStyle="1" w:styleId="HeaderChar">
    <w:name w:val="Header Char"/>
    <w:basedOn w:val="DefaultParagraphFont"/>
    <w:link w:val="Header"/>
    <w:uiPriority w:val="99"/>
    <w:rsid w:val="00333449"/>
    <w:rPr>
      <w:rFonts w:eastAsiaTheme="minorEastAsia"/>
    </w:rPr>
  </w:style>
  <w:style w:type="paragraph" w:styleId="Footer">
    <w:name w:val="footer"/>
    <w:basedOn w:val="Normal"/>
    <w:link w:val="FooterChar"/>
    <w:uiPriority w:val="99"/>
    <w:unhideWhenUsed/>
    <w:rsid w:val="00333449"/>
    <w:pPr>
      <w:tabs>
        <w:tab w:val="center" w:pos="4513"/>
        <w:tab w:val="right" w:pos="9026"/>
      </w:tabs>
    </w:pPr>
  </w:style>
  <w:style w:type="character" w:customStyle="1" w:styleId="FooterChar">
    <w:name w:val="Footer Char"/>
    <w:basedOn w:val="DefaultParagraphFont"/>
    <w:link w:val="Footer"/>
    <w:uiPriority w:val="99"/>
    <w:rsid w:val="00333449"/>
    <w:rPr>
      <w:rFonts w:eastAsiaTheme="minorEastAsia"/>
    </w:rPr>
  </w:style>
  <w:style w:type="character" w:customStyle="1" w:styleId="NoSpacingChar">
    <w:name w:val="No Spacing Char"/>
    <w:basedOn w:val="DefaultParagraphFont"/>
    <w:link w:val="NoSpacing"/>
    <w:uiPriority w:val="1"/>
    <w:rsid w:val="00333449"/>
    <w:rPr>
      <w:rFonts w:eastAsiaTheme="minorEastAsia"/>
      <w:sz w:val="24"/>
    </w:rPr>
  </w:style>
  <w:style w:type="paragraph" w:styleId="FootnoteText">
    <w:name w:val="footnote text"/>
    <w:basedOn w:val="Normal"/>
    <w:link w:val="FootnoteTextChar"/>
    <w:uiPriority w:val="99"/>
    <w:semiHidden/>
    <w:unhideWhenUsed/>
    <w:rsid w:val="00333449"/>
    <w:rPr>
      <w:sz w:val="20"/>
      <w:szCs w:val="20"/>
    </w:rPr>
  </w:style>
  <w:style w:type="character" w:customStyle="1" w:styleId="FootnoteTextChar">
    <w:name w:val="Footnote Text Char"/>
    <w:basedOn w:val="DefaultParagraphFont"/>
    <w:link w:val="FootnoteText"/>
    <w:uiPriority w:val="99"/>
    <w:semiHidden/>
    <w:rsid w:val="00333449"/>
    <w:rPr>
      <w:rFonts w:eastAsiaTheme="minorEastAsia"/>
      <w:sz w:val="20"/>
      <w:szCs w:val="20"/>
    </w:rPr>
  </w:style>
  <w:style w:type="character" w:styleId="FootnoteReference">
    <w:name w:val="footnote reference"/>
    <w:basedOn w:val="DefaultParagraphFont"/>
    <w:uiPriority w:val="99"/>
    <w:semiHidden/>
    <w:unhideWhenUsed/>
    <w:rsid w:val="00333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EE4CAF98E74FE099346D137B5B4E1B"/>
        <w:category>
          <w:name w:val="General"/>
          <w:gallery w:val="placeholder"/>
        </w:category>
        <w:types>
          <w:type w:val="bbPlcHdr"/>
        </w:types>
        <w:behaviors>
          <w:behavior w:val="content"/>
        </w:behaviors>
        <w:guid w:val="{F6D193AD-120B-46B9-833D-7A8587EF0411}"/>
      </w:docPartPr>
      <w:docPartBody>
        <w:p w:rsidR="00000000" w:rsidRDefault="00DE293C" w:rsidP="00DE293C">
          <w:pPr>
            <w:pStyle w:val="25EE4CAF98E74FE099346D137B5B4E1B"/>
          </w:pPr>
          <w:r w:rsidRPr="00CB56AE">
            <w:rPr>
              <w:rStyle w:val="PlaceholderText"/>
            </w:rPr>
            <w:t>Click here to enter text.</w:t>
          </w:r>
        </w:p>
      </w:docPartBody>
    </w:docPart>
    <w:docPart>
      <w:docPartPr>
        <w:name w:val="F9556D8D47734B228EC7F34126DFC555"/>
        <w:category>
          <w:name w:val="General"/>
          <w:gallery w:val="placeholder"/>
        </w:category>
        <w:types>
          <w:type w:val="bbPlcHdr"/>
        </w:types>
        <w:behaviors>
          <w:behavior w:val="content"/>
        </w:behaviors>
        <w:guid w:val="{A812E75C-8EC5-40FB-8507-F0ACF34533DF}"/>
      </w:docPartPr>
      <w:docPartBody>
        <w:p w:rsidR="00000000" w:rsidRDefault="00DE293C" w:rsidP="00DE293C">
          <w:pPr>
            <w:pStyle w:val="F9556D8D47734B228EC7F34126DFC555"/>
          </w:pPr>
          <w:r w:rsidRPr="00CB56AE">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8481E3F8-00B4-4752-8820-E62176557791}"/>
      </w:docPartPr>
      <w:docPartBody>
        <w:p w:rsidR="00000000" w:rsidRDefault="00DE293C">
          <w:r w:rsidRPr="00CD4A41">
            <w:rPr>
              <w:rStyle w:val="PlaceholderText"/>
            </w:rPr>
            <w:t>Click here to enter text.</w:t>
          </w:r>
        </w:p>
      </w:docPartBody>
    </w:docPart>
    <w:docPart>
      <w:docPartPr>
        <w:name w:val="FE570A6233B04C8BA37D5EFC6415B25E"/>
        <w:category>
          <w:name w:val="General"/>
          <w:gallery w:val="placeholder"/>
        </w:category>
        <w:types>
          <w:type w:val="bbPlcHdr"/>
        </w:types>
        <w:behaviors>
          <w:behavior w:val="content"/>
        </w:behaviors>
        <w:guid w:val="{53F95120-6F39-4634-A5B3-AADB69DD00B8}"/>
      </w:docPartPr>
      <w:docPartBody>
        <w:p w:rsidR="00000000" w:rsidRDefault="00DE293C" w:rsidP="00DE293C">
          <w:pPr>
            <w:pStyle w:val="FE570A6233B04C8BA37D5EFC6415B25E"/>
          </w:pPr>
          <w:r w:rsidRPr="00CB56AE">
            <w:rPr>
              <w:rStyle w:val="PlaceholderText"/>
            </w:rPr>
            <w:t>Click here to enter text.</w:t>
          </w:r>
        </w:p>
      </w:docPartBody>
    </w:docPart>
    <w:docPart>
      <w:docPartPr>
        <w:name w:val="0E9D2140597D4E819DD5CE2DC34CF246"/>
        <w:category>
          <w:name w:val="General"/>
          <w:gallery w:val="placeholder"/>
        </w:category>
        <w:types>
          <w:type w:val="bbPlcHdr"/>
        </w:types>
        <w:behaviors>
          <w:behavior w:val="content"/>
        </w:behaviors>
        <w:guid w:val="{5BEE2144-6DD3-4D7F-9CFB-0862B6963262}"/>
      </w:docPartPr>
      <w:docPartBody>
        <w:p w:rsidR="00000000" w:rsidRDefault="00DE293C" w:rsidP="00DE293C">
          <w:pPr>
            <w:pStyle w:val="0E9D2140597D4E819DD5CE2DC34CF246"/>
          </w:pPr>
          <w:r w:rsidRPr="00CB56A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3C"/>
    <w:rsid w:val="00DE2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93C"/>
    <w:rPr>
      <w:color w:val="808080"/>
    </w:rPr>
  </w:style>
  <w:style w:type="paragraph" w:customStyle="1" w:styleId="07BE110A4CD544F895498DCED94769B6">
    <w:name w:val="07BE110A4CD544F895498DCED94769B6"/>
    <w:rsid w:val="00DE293C"/>
  </w:style>
  <w:style w:type="paragraph" w:customStyle="1" w:styleId="25EE4CAF98E74FE099346D137B5B4E1B">
    <w:name w:val="25EE4CAF98E74FE099346D137B5B4E1B"/>
    <w:rsid w:val="00DE293C"/>
  </w:style>
  <w:style w:type="paragraph" w:customStyle="1" w:styleId="322386800FE543EF90123B4AE1E26A62">
    <w:name w:val="322386800FE543EF90123B4AE1E26A62"/>
    <w:rsid w:val="00DE293C"/>
  </w:style>
  <w:style w:type="paragraph" w:customStyle="1" w:styleId="A6467E7090184141B3A73C019AD94355">
    <w:name w:val="A6467E7090184141B3A73C019AD94355"/>
    <w:rsid w:val="00DE293C"/>
  </w:style>
  <w:style w:type="paragraph" w:customStyle="1" w:styleId="C4C9EB8BD2484CD892B018AF3F94DAEC">
    <w:name w:val="C4C9EB8BD2484CD892B018AF3F94DAEC"/>
    <w:rsid w:val="00DE293C"/>
  </w:style>
  <w:style w:type="paragraph" w:customStyle="1" w:styleId="CB2AD20182EA43F59439BC4EAD035FEE">
    <w:name w:val="CB2AD20182EA43F59439BC4EAD035FEE"/>
    <w:rsid w:val="00DE293C"/>
  </w:style>
  <w:style w:type="paragraph" w:customStyle="1" w:styleId="F9556D8D47734B228EC7F34126DFC555">
    <w:name w:val="F9556D8D47734B228EC7F34126DFC555"/>
    <w:rsid w:val="00DE293C"/>
  </w:style>
  <w:style w:type="paragraph" w:customStyle="1" w:styleId="FE570A6233B04C8BA37D5EFC6415B25E">
    <w:name w:val="FE570A6233B04C8BA37D5EFC6415B25E"/>
    <w:rsid w:val="00DE293C"/>
  </w:style>
  <w:style w:type="paragraph" w:customStyle="1" w:styleId="0E9D2140597D4E819DD5CE2DC34CF246">
    <w:name w:val="0E9D2140597D4E819DD5CE2DC34CF246"/>
    <w:rsid w:val="00DE2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dc:creator>
  <cp:keywords/>
  <dc:description/>
  <cp:lastModifiedBy>Kerr</cp:lastModifiedBy>
  <cp:revision>1</cp:revision>
  <dcterms:created xsi:type="dcterms:W3CDTF">2014-11-28T11:36:00Z</dcterms:created>
  <dcterms:modified xsi:type="dcterms:W3CDTF">2014-11-28T17:47:00Z</dcterms:modified>
</cp:coreProperties>
</file>